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A8F9" w14:textId="77777777" w:rsidR="00630757" w:rsidRDefault="00630757" w:rsidP="00630757">
      <w:pPr>
        <w:spacing w:after="0" w:line="240" w:lineRule="auto"/>
        <w:rPr>
          <w:rFonts w:ascii="Times New Roman" w:hAnsi="Times New Roman" w:cs="Times New Roman"/>
        </w:rPr>
      </w:pPr>
      <w:r w:rsidRPr="002F5419">
        <w:rPr>
          <w:rFonts w:ascii="Times New Roman" w:hAnsi="Times New Roman" w:cs="Times New Roman"/>
        </w:rPr>
        <w:t>Kyle Krug</w:t>
      </w:r>
    </w:p>
    <w:p w14:paraId="586C347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Northwestern University</w:t>
      </w:r>
    </w:p>
    <w:p w14:paraId="4A25BB8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MSDS 451</w:t>
      </w:r>
    </w:p>
    <w:p w14:paraId="24982560" w14:textId="7CFAF96C" w:rsidR="00630757" w:rsidRDefault="00630757" w:rsidP="00630757">
      <w:pPr>
        <w:spacing w:after="0" w:line="240" w:lineRule="auto"/>
        <w:rPr>
          <w:rFonts w:ascii="Times New Roman" w:hAnsi="Times New Roman" w:cs="Times New Roman"/>
        </w:rPr>
      </w:pPr>
      <w:r>
        <w:rPr>
          <w:rFonts w:ascii="Times New Roman" w:hAnsi="Times New Roman" w:cs="Times New Roman"/>
        </w:rPr>
        <w:t xml:space="preserve">Checkpoint Assignment </w:t>
      </w:r>
      <w:r w:rsidR="00427D94">
        <w:rPr>
          <w:rFonts w:ascii="Times New Roman" w:hAnsi="Times New Roman" w:cs="Times New Roman"/>
        </w:rPr>
        <w:t>C</w:t>
      </w:r>
    </w:p>
    <w:p w14:paraId="7BDEACF6" w14:textId="77777777" w:rsidR="00630757" w:rsidRDefault="00630757" w:rsidP="00630757">
      <w:pPr>
        <w:rPr>
          <w:rFonts w:ascii="Times New Roman" w:hAnsi="Times New Roman" w:cs="Times New Roman"/>
        </w:rPr>
      </w:pPr>
    </w:p>
    <w:p w14:paraId="289E5873" w14:textId="67E32493" w:rsidR="00630757" w:rsidRPr="00DB40C9" w:rsidRDefault="00630757" w:rsidP="00630757">
      <w:pPr>
        <w:spacing w:line="480" w:lineRule="auto"/>
        <w:jc w:val="center"/>
        <w:rPr>
          <w:rFonts w:ascii="Times New Roman" w:hAnsi="Times New Roman" w:cs="Times New Roman"/>
          <w:b/>
          <w:bCs/>
          <w:sz w:val="32"/>
          <w:szCs w:val="32"/>
          <w:u w:val="single"/>
        </w:rPr>
      </w:pPr>
      <w:r w:rsidRPr="00DB40C9">
        <w:rPr>
          <w:rFonts w:ascii="Times New Roman" w:hAnsi="Times New Roman" w:cs="Times New Roman"/>
          <w:b/>
          <w:bCs/>
          <w:sz w:val="32"/>
          <w:szCs w:val="32"/>
          <w:u w:val="single"/>
        </w:rPr>
        <w:t xml:space="preserve"> Anabasis Transformative Technology Fund (ATTF)</w:t>
      </w:r>
      <w:r w:rsidR="00083927">
        <w:rPr>
          <w:rFonts w:ascii="Times New Roman" w:hAnsi="Times New Roman" w:cs="Times New Roman"/>
          <w:b/>
          <w:bCs/>
          <w:sz w:val="32"/>
          <w:szCs w:val="32"/>
          <w:u w:val="single"/>
        </w:rPr>
        <w:t xml:space="preserve"> </w:t>
      </w:r>
      <w:r w:rsidR="009706DA">
        <w:rPr>
          <w:rFonts w:ascii="Times New Roman" w:hAnsi="Times New Roman" w:cs="Times New Roman"/>
          <w:b/>
          <w:bCs/>
          <w:sz w:val="32"/>
          <w:szCs w:val="32"/>
          <w:u w:val="single"/>
        </w:rPr>
        <w:t>Advanced Portfolio Analysis</w:t>
      </w:r>
    </w:p>
    <w:p w14:paraId="5DB3E9A6" w14:textId="77777777" w:rsidR="00630757" w:rsidRDefault="00630757" w:rsidP="00630757">
      <w:pPr>
        <w:spacing w:line="480" w:lineRule="auto"/>
        <w:rPr>
          <w:rFonts w:ascii="Times New Roman" w:hAnsi="Times New Roman" w:cs="Times New Roman"/>
          <w:b/>
          <w:bCs/>
          <w:sz w:val="32"/>
          <w:szCs w:val="32"/>
        </w:rPr>
      </w:pPr>
      <w:r>
        <w:rPr>
          <w:rFonts w:ascii="Times New Roman" w:hAnsi="Times New Roman" w:cs="Times New Roman"/>
          <w:b/>
          <w:bCs/>
          <w:sz w:val="32"/>
          <w:szCs w:val="32"/>
        </w:rPr>
        <w:t>Introduction</w:t>
      </w:r>
    </w:p>
    <w:p w14:paraId="6FDD81D2" w14:textId="0682CBDE" w:rsidR="00D437AE" w:rsidRDefault="00630757" w:rsidP="000E3C43">
      <w:pPr>
        <w:spacing w:line="480" w:lineRule="auto"/>
        <w:ind w:firstLine="720"/>
        <w:rPr>
          <w:rFonts w:ascii="Times New Roman" w:hAnsi="Times New Roman" w:cs="Times New Roman"/>
        </w:rPr>
      </w:pPr>
      <w:r>
        <w:rPr>
          <w:rFonts w:ascii="Times New Roman" w:hAnsi="Times New Roman" w:cs="Times New Roman"/>
        </w:rPr>
        <w:t xml:space="preserve">This paper </w:t>
      </w:r>
      <w:r w:rsidR="00C9311B">
        <w:rPr>
          <w:rFonts w:ascii="Times New Roman" w:hAnsi="Times New Roman" w:cs="Times New Roman"/>
        </w:rPr>
        <w:t xml:space="preserve">extends the quantitative framework </w:t>
      </w:r>
      <w:r w:rsidR="005E0B86">
        <w:rPr>
          <w:rFonts w:ascii="Times New Roman" w:hAnsi="Times New Roman" w:cs="Times New Roman"/>
        </w:rPr>
        <w:t>developed across the prior assignments</w:t>
      </w:r>
      <w:r w:rsidR="00FB6F43">
        <w:rPr>
          <w:rFonts w:ascii="Times New Roman" w:hAnsi="Times New Roman" w:cs="Times New Roman"/>
        </w:rPr>
        <w:t xml:space="preserve"> for the ATTF</w:t>
      </w:r>
      <w:r w:rsidR="00D13F73">
        <w:rPr>
          <w:rFonts w:ascii="Times New Roman" w:hAnsi="Times New Roman" w:cs="Times New Roman"/>
        </w:rPr>
        <w:t xml:space="preserve"> by implementing comprehensive strategy evaluation with extended historical backtesting, pairs trading, multi-path Monte Carlo simulation, </w:t>
      </w:r>
      <w:r w:rsidR="0016104E">
        <w:rPr>
          <w:rFonts w:ascii="Times New Roman" w:hAnsi="Times New Roman" w:cs="Times New Roman"/>
        </w:rPr>
        <w:t>and fee sensitivity analysis.</w:t>
      </w:r>
      <w:r w:rsidR="007B3084">
        <w:rPr>
          <w:rFonts w:ascii="Times New Roman" w:hAnsi="Times New Roman" w:cs="Times New Roman"/>
        </w:rPr>
        <w:t xml:space="preserve"> </w:t>
      </w:r>
      <w:r w:rsidR="00147292">
        <w:rPr>
          <w:rFonts w:ascii="Times New Roman" w:hAnsi="Times New Roman" w:cs="Times New Roman"/>
        </w:rPr>
        <w:t xml:space="preserve">Checkpoint C seeks to answer several critical questions to validate the efficacy of the ATTF. </w:t>
      </w:r>
      <w:r w:rsidR="007B1E69">
        <w:rPr>
          <w:rFonts w:ascii="Times New Roman" w:hAnsi="Times New Roman" w:cs="Times New Roman"/>
        </w:rPr>
        <w:t>Can statistical arbitrage through pairs trading exploit correlation structures among AI Infrastructure stocks? How sensitive are strategy returns to variations in</w:t>
      </w:r>
      <w:r w:rsidR="0007713F">
        <w:rPr>
          <w:rFonts w:ascii="Times New Roman" w:hAnsi="Times New Roman" w:cs="Times New Roman"/>
        </w:rPr>
        <w:t xml:space="preserve"> fees? Can multi-path Monte Carlo simulation quantify the distribution of expected returns across alternative market scenarios? How does extending the backtest period to 26 years affect strategy performance evaluation?</w:t>
      </w:r>
    </w:p>
    <w:p w14:paraId="2AB5E7CB" w14:textId="4FB1C78A" w:rsidR="00F27919" w:rsidRDefault="00973BE1" w:rsidP="007A69D1">
      <w:pPr>
        <w:spacing w:line="480" w:lineRule="auto"/>
        <w:ind w:firstLine="720"/>
        <w:rPr>
          <w:rFonts w:ascii="Times New Roman" w:hAnsi="Times New Roman" w:cs="Times New Roman"/>
        </w:rPr>
      </w:pPr>
      <w:r>
        <w:rPr>
          <w:rFonts w:ascii="Times New Roman" w:hAnsi="Times New Roman" w:cs="Times New Roman"/>
        </w:rPr>
        <w:t xml:space="preserve">The transition from Programming Assignment 3’s automated trading framework to Checkpoint C’s comprehensive evaluation reflects the practical realities of fund management. </w:t>
      </w:r>
      <w:r w:rsidR="00277AEE">
        <w:rPr>
          <w:rFonts w:ascii="Times New Roman" w:hAnsi="Times New Roman" w:cs="Times New Roman"/>
        </w:rPr>
        <w:t>Superior performance does not guarantee implementable alpha if strategies prove fragile to fee structures, lack stable statistical relationships, or depend on single favorable market trajectory.</w:t>
      </w:r>
      <w:r w:rsidR="007C42BE">
        <w:rPr>
          <w:rFonts w:ascii="Times New Roman" w:hAnsi="Times New Roman" w:cs="Times New Roman"/>
        </w:rPr>
        <w:t xml:space="preserve"> This checkpoint implements rigorous validation across five distinct strategies, Clenow momentum, </w:t>
      </w:r>
      <w:r w:rsidR="00F27919">
        <w:rPr>
          <w:rFonts w:ascii="Times New Roman" w:hAnsi="Times New Roman" w:cs="Times New Roman"/>
        </w:rPr>
        <w:t>machine learning (ML) walk-forward, mean-reversion, hybrid regime-switching, and pairs trading.</w:t>
      </w:r>
      <w:r w:rsidR="007A69D1">
        <w:rPr>
          <w:rFonts w:ascii="Times New Roman" w:hAnsi="Times New Roman" w:cs="Times New Roman"/>
        </w:rPr>
        <w:t xml:space="preserve"> </w:t>
      </w:r>
      <w:r w:rsidR="00F27919">
        <w:rPr>
          <w:rFonts w:ascii="Times New Roman" w:hAnsi="Times New Roman" w:cs="Times New Roman"/>
        </w:rPr>
        <w:t xml:space="preserve">Utilizing </w:t>
      </w:r>
      <w:r w:rsidR="00413FD3">
        <w:rPr>
          <w:rFonts w:ascii="Times New Roman" w:hAnsi="Times New Roman" w:cs="Times New Roman"/>
        </w:rPr>
        <w:t>an expanded</w:t>
      </w:r>
      <w:r w:rsidR="00F27919">
        <w:rPr>
          <w:rFonts w:ascii="Times New Roman" w:hAnsi="Times New Roman" w:cs="Times New Roman"/>
        </w:rPr>
        <w:t xml:space="preserve"> </w:t>
      </w:r>
      <w:r w:rsidR="00413FD3">
        <w:rPr>
          <w:rFonts w:ascii="Times New Roman" w:hAnsi="Times New Roman" w:cs="Times New Roman"/>
        </w:rPr>
        <w:t>46</w:t>
      </w:r>
      <w:r w:rsidR="00DF1541">
        <w:rPr>
          <w:rFonts w:ascii="Times New Roman" w:hAnsi="Times New Roman" w:cs="Times New Roman"/>
        </w:rPr>
        <w:t>-security</w:t>
      </w:r>
      <w:r w:rsidR="00944B72">
        <w:rPr>
          <w:rFonts w:ascii="Times New Roman" w:hAnsi="Times New Roman" w:cs="Times New Roman"/>
        </w:rPr>
        <w:t xml:space="preserve"> universe of the ATTF, this analysis extends the historical sample from October 2015 </w:t>
      </w:r>
      <w:r w:rsidR="00DF1541">
        <w:rPr>
          <w:rFonts w:ascii="Times New Roman" w:hAnsi="Times New Roman" w:cs="Times New Roman"/>
        </w:rPr>
        <w:t xml:space="preserve">back to January 1999 for established securities and </w:t>
      </w:r>
      <w:r w:rsidR="00DF1541">
        <w:rPr>
          <w:rFonts w:ascii="Times New Roman" w:hAnsi="Times New Roman" w:cs="Times New Roman"/>
        </w:rPr>
        <w:lastRenderedPageBreak/>
        <w:t>ATTF proxies. This 26-year time</w:t>
      </w:r>
      <w:r w:rsidR="00F5253C">
        <w:rPr>
          <w:rFonts w:ascii="Times New Roman" w:hAnsi="Times New Roman" w:cs="Times New Roman"/>
        </w:rPr>
        <w:t>frame enables robust evaluation of strategy performance across multiple market cycles, including the dot-com crash and Great Financial Crisis, that have not been accounted for up to this point.</w:t>
      </w:r>
    </w:p>
    <w:p w14:paraId="7B7EB78A" w14:textId="4B089F80" w:rsidR="002D2820" w:rsidRDefault="00A87CE1" w:rsidP="000E3C43">
      <w:pPr>
        <w:spacing w:line="480" w:lineRule="auto"/>
        <w:ind w:firstLine="720"/>
        <w:rPr>
          <w:rFonts w:ascii="Times New Roman" w:hAnsi="Times New Roman" w:cs="Times New Roman"/>
        </w:rPr>
      </w:pPr>
      <w:r>
        <w:rPr>
          <w:rFonts w:ascii="Times New Roman" w:hAnsi="Times New Roman" w:cs="Times New Roman"/>
        </w:rPr>
        <w:t>The intended audience for this research includes portfolio managers evaluating systematic allocation strategies for thematic ETFs, quantitative analy</w:t>
      </w:r>
      <w:r w:rsidR="000F3996">
        <w:rPr>
          <w:rFonts w:ascii="Times New Roman" w:hAnsi="Times New Roman" w:cs="Times New Roman"/>
        </w:rPr>
        <w:t>sts assessing the robustness of momentum and mean-reversion signals in innovation sectors, institutional allocators determining appropriate fee structures for actively managed technology funds, and academic researchers studying the application of machine learning, regime detection, and pairs trading methodologies to high-volatility, momentum-driven asset classes.</w:t>
      </w:r>
    </w:p>
    <w:p w14:paraId="6FF240F6" w14:textId="4461DD7A" w:rsidR="00630757" w:rsidRPr="000F3996" w:rsidRDefault="00630757" w:rsidP="000F3996">
      <w:pPr>
        <w:spacing w:line="480" w:lineRule="auto"/>
        <w:rPr>
          <w:rFonts w:ascii="Times New Roman" w:hAnsi="Times New Roman" w:cs="Times New Roman"/>
        </w:rPr>
      </w:pPr>
      <w:r>
        <w:rPr>
          <w:rFonts w:ascii="Times New Roman" w:hAnsi="Times New Roman" w:cs="Times New Roman"/>
          <w:b/>
          <w:bCs/>
          <w:sz w:val="32"/>
          <w:szCs w:val="32"/>
        </w:rPr>
        <w:t>Literature Review</w:t>
      </w:r>
    </w:p>
    <w:p w14:paraId="402885C7" w14:textId="6D2E5735" w:rsidR="00280A7E" w:rsidRDefault="00630757" w:rsidP="007A69D1">
      <w:pPr>
        <w:autoSpaceDE w:val="0"/>
        <w:autoSpaceDN w:val="0"/>
        <w:adjustRightInd w:val="0"/>
        <w:spacing w:after="0" w:line="480" w:lineRule="auto"/>
        <w:ind w:firstLine="720"/>
        <w:rPr>
          <w:rFonts w:ascii="Times New Roman" w:hAnsi="Times New Roman" w:cs="Times New Roman"/>
        </w:rPr>
      </w:pPr>
      <w:r>
        <w:rPr>
          <w:rFonts w:ascii="Times New Roman" w:hAnsi="Times New Roman" w:cs="Times New Roman"/>
        </w:rPr>
        <w:t xml:space="preserve">The academic </w:t>
      </w:r>
      <w:r w:rsidR="000B4373">
        <w:rPr>
          <w:rFonts w:ascii="Times New Roman" w:hAnsi="Times New Roman" w:cs="Times New Roman"/>
        </w:rPr>
        <w:t xml:space="preserve">literature on </w:t>
      </w:r>
      <w:r w:rsidR="008E46C2">
        <w:rPr>
          <w:rFonts w:ascii="Times New Roman" w:hAnsi="Times New Roman" w:cs="Times New Roman"/>
        </w:rPr>
        <w:t>algorithmic trading, regime detection, pairs trading, and fee structures provides theoretical and empirical support for the methodologies employed in this checkpoint. Buil</w:t>
      </w:r>
      <w:r w:rsidR="00991E8E">
        <w:rPr>
          <w:rFonts w:ascii="Times New Roman" w:hAnsi="Times New Roman" w:cs="Times New Roman"/>
        </w:rPr>
        <w:t xml:space="preserve">ding on Checkpoint B’s review of portfolio optimization and Programming Assignment 3’s coverage of momentum strategies and regime detection, this section focuses on </w:t>
      </w:r>
      <w:r w:rsidR="00334890">
        <w:rPr>
          <w:rFonts w:ascii="Times New Roman" w:hAnsi="Times New Roman" w:cs="Times New Roman"/>
        </w:rPr>
        <w:t>specific</w:t>
      </w:r>
      <w:r w:rsidR="00991E8E">
        <w:rPr>
          <w:rFonts w:ascii="Times New Roman" w:hAnsi="Times New Roman" w:cs="Times New Roman"/>
        </w:rPr>
        <w:t xml:space="preserve"> literature informing pairs trading, multi-path Monte Carlo simulation, and fee sensitivity analysis.</w:t>
      </w:r>
      <w:r>
        <w:rPr>
          <w:rFonts w:ascii="Times New Roman" w:hAnsi="Times New Roman" w:cs="Times New Roman"/>
        </w:rPr>
        <w:t xml:space="preserve"> </w:t>
      </w:r>
      <w:r w:rsidR="00280A7E">
        <w:rPr>
          <w:rFonts w:ascii="Times New Roman" w:hAnsi="Times New Roman" w:cs="Times New Roman"/>
        </w:rPr>
        <w:t>Programming Assignment 3’s algorithmic trading framework builds on the systematic rules-based approach advocated by Pardo (2008), who emphasized the importance of mechanical execution rules that eliminate discretionary judgment.</w:t>
      </w:r>
      <w:r w:rsidR="0021063F">
        <w:rPr>
          <w:rFonts w:ascii="Times New Roman" w:hAnsi="Times New Roman" w:cs="Times New Roman"/>
        </w:rPr>
        <w:t xml:space="preserve"> The assignment’s multi-modal framework reflects De Prado (2018), who demonstrated that ensemble approaches combining multiple strategies </w:t>
      </w:r>
      <w:r w:rsidR="00BB55E0">
        <w:rPr>
          <w:rFonts w:ascii="Times New Roman" w:hAnsi="Times New Roman" w:cs="Times New Roman"/>
        </w:rPr>
        <w:t xml:space="preserve">reduced overfitting risk compared to single-model systems. Programming Assignment 3’s Hidden Markov Model (HMM) </w:t>
      </w:r>
      <w:r w:rsidR="000E63A1">
        <w:rPr>
          <w:rFonts w:ascii="Times New Roman" w:hAnsi="Times New Roman" w:cs="Times New Roman"/>
        </w:rPr>
        <w:t xml:space="preserve">regime-switching framework builds on Guidolin and </w:t>
      </w:r>
      <w:r w:rsidR="000E63A1">
        <w:rPr>
          <w:rFonts w:ascii="Times New Roman" w:hAnsi="Times New Roman" w:cs="Times New Roman"/>
        </w:rPr>
        <w:lastRenderedPageBreak/>
        <w:t xml:space="preserve">Timmermann (2008) who showed that tactical allocation based on regime classification can improve Sharpe ratios by avoiding bear markets and concentrating capital during bull markets. </w:t>
      </w:r>
    </w:p>
    <w:p w14:paraId="2641BD8F" w14:textId="57BA1732" w:rsidR="00335D6E" w:rsidRDefault="009245A6" w:rsidP="008E46C2">
      <w:pPr>
        <w:autoSpaceDE w:val="0"/>
        <w:autoSpaceDN w:val="0"/>
        <w:adjustRightInd w:val="0"/>
        <w:spacing w:after="0" w:line="480" w:lineRule="auto"/>
        <w:ind w:firstLine="720"/>
        <w:rPr>
          <w:rFonts w:ascii="Times New Roman" w:hAnsi="Times New Roman" w:cs="Times New Roman"/>
        </w:rPr>
      </w:pPr>
      <w:r>
        <w:rPr>
          <w:rFonts w:ascii="Times New Roman" w:hAnsi="Times New Roman" w:cs="Times New Roman"/>
        </w:rPr>
        <w:t>Garner (2019) demonstrated Python implementation of mean-reversion strategies with backtesting frameworks, empahsisizng the importance of z-score thresholds and lookback window selection. Chan (2020) provided empirical evidence that mean-reversion works best in range-bound markets with established support and resistance levels</w:t>
      </w:r>
      <w:r w:rsidR="004C6DB0">
        <w:rPr>
          <w:rFonts w:ascii="Times New Roman" w:hAnsi="Times New Roman" w:cs="Times New Roman"/>
        </w:rPr>
        <w:t xml:space="preserve">, while trending markets dominated by momentum effects render mean-reversion strategies unprofitable. </w:t>
      </w:r>
      <w:r w:rsidR="00833994">
        <w:rPr>
          <w:rFonts w:ascii="Times New Roman" w:hAnsi="Times New Roman" w:cs="Times New Roman"/>
        </w:rPr>
        <w:t xml:space="preserve">Programming Assignment 3’s implementation of Clenow momentum builds on </w:t>
      </w:r>
      <w:r w:rsidR="00EA38DF">
        <w:rPr>
          <w:rFonts w:ascii="Times New Roman" w:hAnsi="Times New Roman" w:cs="Times New Roman"/>
        </w:rPr>
        <w:t>Antonacci (2014, 2017), who showed that combining intermediate-term momentum with long-term trend filters reduces false signals during whipsaw markets.</w:t>
      </w:r>
    </w:p>
    <w:p w14:paraId="5FDB53A5" w14:textId="10A7B134" w:rsidR="008E46C2" w:rsidRDefault="00EB7682" w:rsidP="009537F5">
      <w:pPr>
        <w:autoSpaceDE w:val="0"/>
        <w:autoSpaceDN w:val="0"/>
        <w:adjustRightInd w:val="0"/>
        <w:spacing w:after="0" w:line="480" w:lineRule="auto"/>
        <w:ind w:firstLine="720"/>
        <w:rPr>
          <w:rFonts w:ascii="Times New Roman" w:hAnsi="Times New Roman" w:cs="Times New Roman"/>
        </w:rPr>
      </w:pPr>
      <w:r>
        <w:rPr>
          <w:rFonts w:ascii="Times New Roman" w:hAnsi="Times New Roman" w:cs="Times New Roman"/>
        </w:rPr>
        <w:t xml:space="preserve">Hudson and Thames (2024) provide a comprehensive overview of pairs trading </w:t>
      </w:r>
      <w:r w:rsidR="00A45509">
        <w:rPr>
          <w:rFonts w:ascii="Times New Roman" w:hAnsi="Times New Roman" w:cs="Times New Roman"/>
        </w:rPr>
        <w:t xml:space="preserve">methodologies, emphasizing the Engle-Granger cointegration test for identifying suitable pairs and z-score based entry/exit signals for mean-reversion trading. </w:t>
      </w:r>
      <w:r w:rsidR="007271F2">
        <w:rPr>
          <w:rFonts w:ascii="Times New Roman" w:hAnsi="Times New Roman" w:cs="Times New Roman"/>
        </w:rPr>
        <w:t xml:space="preserve">With the explicit </w:t>
      </w:r>
      <w:r w:rsidR="00CE41D7">
        <w:rPr>
          <w:rFonts w:ascii="Times New Roman" w:hAnsi="Times New Roman" w:cs="Times New Roman"/>
        </w:rPr>
        <w:t xml:space="preserve">emphasis on fee modeling for Checkpoint C, I looked at Moreira and Muir (2017) </w:t>
      </w:r>
      <w:r w:rsidR="009970D8">
        <w:rPr>
          <w:rFonts w:ascii="Times New Roman" w:hAnsi="Times New Roman" w:cs="Times New Roman"/>
        </w:rPr>
        <w:t>who showed that volatility-managed portfolios, which scale exposure inversely with volatility, generate higher Sharpe ratios than buy-and-hold strategies. Their results suggest that dynamic allocation strategies can improve risk-adjusted returns, but only if transaction costs remain modest. This led me to incorporate explicit modeling of transaction costs, ensuring that net-of-fees performance reflects realistic implementation costs.</w:t>
      </w:r>
    </w:p>
    <w:p w14:paraId="4CD6196F" w14:textId="77777777" w:rsidR="008E46C2" w:rsidRDefault="008E46C2" w:rsidP="00574600">
      <w:pPr>
        <w:autoSpaceDE w:val="0"/>
        <w:autoSpaceDN w:val="0"/>
        <w:adjustRightInd w:val="0"/>
        <w:spacing w:after="0" w:line="480" w:lineRule="auto"/>
        <w:rPr>
          <w:rFonts w:ascii="Times New Roman" w:hAnsi="Times New Roman" w:cs="Times New Roman"/>
        </w:rPr>
      </w:pPr>
    </w:p>
    <w:p w14:paraId="47494F9D" w14:textId="77777777" w:rsidR="00630757" w:rsidRDefault="00630757" w:rsidP="00B01F72">
      <w:pPr>
        <w:spacing w:line="480" w:lineRule="auto"/>
        <w:rPr>
          <w:rFonts w:ascii="Times New Roman" w:hAnsi="Times New Roman" w:cs="Times New Roman"/>
          <w:b/>
          <w:bCs/>
          <w:sz w:val="32"/>
          <w:szCs w:val="32"/>
        </w:rPr>
      </w:pPr>
      <w:r>
        <w:rPr>
          <w:rFonts w:ascii="Times New Roman" w:hAnsi="Times New Roman" w:cs="Times New Roman"/>
          <w:b/>
          <w:bCs/>
          <w:sz w:val="32"/>
          <w:szCs w:val="32"/>
        </w:rPr>
        <w:t>Methods</w:t>
      </w:r>
    </w:p>
    <w:p w14:paraId="67897E19" w14:textId="0B7884AF" w:rsidR="00A468A4" w:rsidRDefault="00CE13B3" w:rsidP="00B01F72">
      <w:pPr>
        <w:spacing w:line="480" w:lineRule="auto"/>
        <w:rPr>
          <w:rFonts w:ascii="Times New Roman" w:hAnsi="Times New Roman" w:cs="Times New Roman"/>
        </w:rPr>
      </w:pPr>
      <w:r>
        <w:rPr>
          <w:rFonts w:ascii="Times New Roman" w:hAnsi="Times New Roman" w:cs="Times New Roman"/>
        </w:rPr>
        <w:tab/>
      </w:r>
      <w:r w:rsidR="00A94514">
        <w:rPr>
          <w:rFonts w:ascii="Times New Roman" w:hAnsi="Times New Roman" w:cs="Times New Roman"/>
        </w:rPr>
        <w:t>Checkpoint C implements several methodological advances beyond Programming Assignment 3, including pairs trading</w:t>
      </w:r>
      <w:r w:rsidR="00A06C22">
        <w:rPr>
          <w:rFonts w:ascii="Times New Roman" w:hAnsi="Times New Roman" w:cs="Times New Roman"/>
        </w:rPr>
        <w:t xml:space="preserve"> analysis</w:t>
      </w:r>
      <w:r w:rsidR="00DE5C6D">
        <w:rPr>
          <w:rFonts w:ascii="Times New Roman" w:hAnsi="Times New Roman" w:cs="Times New Roman"/>
        </w:rPr>
        <w:t xml:space="preserve">, multi-path Monte Carlo simulation, fee </w:t>
      </w:r>
      <w:r w:rsidR="00DE5C6D">
        <w:rPr>
          <w:rFonts w:ascii="Times New Roman" w:hAnsi="Times New Roman" w:cs="Times New Roman"/>
        </w:rPr>
        <w:lastRenderedPageBreak/>
        <w:t xml:space="preserve">sensitivity </w:t>
      </w:r>
      <w:r w:rsidR="00044A2F">
        <w:rPr>
          <w:rFonts w:ascii="Times New Roman" w:hAnsi="Times New Roman" w:cs="Times New Roman"/>
        </w:rPr>
        <w:t>testing</w:t>
      </w:r>
      <w:r w:rsidR="00DE5C6D">
        <w:rPr>
          <w:rFonts w:ascii="Times New Roman" w:hAnsi="Times New Roman" w:cs="Times New Roman"/>
        </w:rPr>
        <w:t>, and extended historical backtesting.</w:t>
      </w:r>
      <w:r w:rsidR="0016628F">
        <w:rPr>
          <w:rFonts w:ascii="Times New Roman" w:hAnsi="Times New Roman" w:cs="Times New Roman"/>
        </w:rPr>
        <w:t xml:space="preserve"> The analysis maintains Programming Assignment 3’s rigorous walk-forward validation framework and HMM regime detection while adding strategies designed to exploit different sources of alpha and comprehensive sensitivity analysis to assess implementation robustness.</w:t>
      </w:r>
    </w:p>
    <w:p w14:paraId="3AD48DCD" w14:textId="1384F919" w:rsidR="0016628F" w:rsidRDefault="0016628F" w:rsidP="00B01F72">
      <w:pPr>
        <w:spacing w:line="480" w:lineRule="auto"/>
        <w:rPr>
          <w:rFonts w:ascii="Times New Roman" w:hAnsi="Times New Roman" w:cs="Times New Roman"/>
        </w:rPr>
      </w:pPr>
      <w:r>
        <w:rPr>
          <w:rFonts w:ascii="Times New Roman" w:hAnsi="Times New Roman" w:cs="Times New Roman"/>
        </w:rPr>
        <w:tab/>
      </w:r>
      <w:r w:rsidR="001E6400">
        <w:rPr>
          <w:rFonts w:ascii="Times New Roman" w:hAnsi="Times New Roman" w:cs="Times New Roman"/>
        </w:rPr>
        <w:t xml:space="preserve">The analysis utilizes </w:t>
      </w:r>
      <w:r w:rsidR="00AF6B1E">
        <w:rPr>
          <w:rFonts w:ascii="Times New Roman" w:hAnsi="Times New Roman" w:cs="Times New Roman"/>
        </w:rPr>
        <w:t>an expanded</w:t>
      </w:r>
      <w:r w:rsidR="001E6400">
        <w:rPr>
          <w:rFonts w:ascii="Times New Roman" w:hAnsi="Times New Roman" w:cs="Times New Roman"/>
        </w:rPr>
        <w:t xml:space="preserve"> </w:t>
      </w:r>
      <w:r w:rsidR="00AF6B1E">
        <w:rPr>
          <w:rFonts w:ascii="Times New Roman" w:hAnsi="Times New Roman" w:cs="Times New Roman"/>
        </w:rPr>
        <w:t>46</w:t>
      </w:r>
      <w:r w:rsidR="00A7400C">
        <w:rPr>
          <w:rFonts w:ascii="Times New Roman" w:hAnsi="Times New Roman" w:cs="Times New Roman"/>
        </w:rPr>
        <w:t>-security ATTF portfolio</w:t>
      </w:r>
      <w:r w:rsidR="00AF6B1E">
        <w:rPr>
          <w:rFonts w:ascii="Times New Roman" w:hAnsi="Times New Roman" w:cs="Times New Roman"/>
        </w:rPr>
        <w:t xml:space="preserve">, originally 22, </w:t>
      </w:r>
      <w:r w:rsidR="00FA42A6">
        <w:rPr>
          <w:rFonts w:ascii="Times New Roman" w:hAnsi="Times New Roman" w:cs="Times New Roman"/>
        </w:rPr>
        <w:t xml:space="preserve">to provide a robust </w:t>
      </w:r>
      <w:r w:rsidR="008801EE">
        <w:rPr>
          <w:rFonts w:ascii="Times New Roman" w:hAnsi="Times New Roman" w:cs="Times New Roman"/>
        </w:rPr>
        <w:t>portfolio for trading strategies.</w:t>
      </w:r>
      <w:r w:rsidR="00AF6B1E">
        <w:rPr>
          <w:rFonts w:ascii="Times New Roman" w:hAnsi="Times New Roman" w:cs="Times New Roman"/>
        </w:rPr>
        <w:t xml:space="preserve"> </w:t>
      </w:r>
      <w:r w:rsidR="00E033B5">
        <w:rPr>
          <w:rFonts w:ascii="Times New Roman" w:hAnsi="Times New Roman" w:cs="Times New Roman"/>
        </w:rPr>
        <w:t>To enable extended historical backtesting, the study employs sector proxy ETFs for the period 1999-2015. Individual security data spans October 2015 through October 2025. All prices incorporate dividend adjustments using Polygon.io’s adjusted close data to ensure accurate total return calculations.</w:t>
      </w:r>
      <w:r w:rsidR="00970EAF">
        <w:rPr>
          <w:rFonts w:ascii="Times New Roman" w:hAnsi="Times New Roman" w:cs="Times New Roman"/>
        </w:rPr>
        <w:t xml:space="preserve"> </w:t>
      </w:r>
      <w:r w:rsidR="008311E4">
        <w:rPr>
          <w:rFonts w:ascii="Times New Roman" w:hAnsi="Times New Roman" w:cs="Times New Roman"/>
        </w:rPr>
        <w:t xml:space="preserve">For each dividend payment, the adjustment factor is calculated as (1 + dividend/price), and all future prices are multiplied by this factor cumulatively. This approach ensures that returns reflect both capital appreciation and reinvested dividends. The SPY benchmark received identical dividend adjustment using its dividend payment history over the sample period. Log returns were calculated as ln(Pt/Pt-1) rather than simple percentage changes, offering the advantages of being </w:t>
      </w:r>
      <w:r w:rsidR="00EF66DA">
        <w:rPr>
          <w:rFonts w:ascii="Times New Roman" w:hAnsi="Times New Roman" w:cs="Times New Roman"/>
        </w:rPr>
        <w:t>additive</w:t>
      </w:r>
      <w:r w:rsidR="008311E4">
        <w:rPr>
          <w:rFonts w:ascii="Times New Roman" w:hAnsi="Times New Roman" w:cs="Times New Roman"/>
        </w:rPr>
        <w:t xml:space="preserve"> across time, enabling </w:t>
      </w:r>
      <w:r w:rsidR="00EF66DA">
        <w:rPr>
          <w:rFonts w:ascii="Times New Roman" w:hAnsi="Times New Roman" w:cs="Times New Roman"/>
        </w:rPr>
        <w:t>straightforward</w:t>
      </w:r>
      <w:r w:rsidR="008311E4">
        <w:rPr>
          <w:rFonts w:ascii="Times New Roman" w:hAnsi="Times New Roman" w:cs="Times New Roman"/>
        </w:rPr>
        <w:t xml:space="preserve"> multi-period return calculations, and approximating normal distribution properties suitable for mean-variance optimization.</w:t>
      </w:r>
      <w:r w:rsidR="00594801">
        <w:rPr>
          <w:rFonts w:ascii="Times New Roman" w:hAnsi="Times New Roman" w:cs="Times New Roman"/>
        </w:rPr>
        <w:t xml:space="preserve"> Equal-weighted returns within each sleeve were calculated as arithmetic averages of consti</w:t>
      </w:r>
      <w:r w:rsidR="00F8205F">
        <w:rPr>
          <w:rFonts w:ascii="Times New Roman" w:hAnsi="Times New Roman" w:cs="Times New Roman"/>
        </w:rPr>
        <w:t>tuent securities, with sleeve returns then aggregated according to target allocations to produce portfolio-level performance metrics.</w:t>
      </w:r>
    </w:p>
    <w:p w14:paraId="37F502DB" w14:textId="42C5147E" w:rsidR="00911A6C" w:rsidRDefault="00970EAF" w:rsidP="00B01F72">
      <w:pPr>
        <w:spacing w:line="480" w:lineRule="auto"/>
        <w:rPr>
          <w:rFonts w:ascii="Times New Roman" w:hAnsi="Times New Roman" w:cs="Times New Roman"/>
        </w:rPr>
      </w:pPr>
      <w:r>
        <w:rPr>
          <w:rFonts w:ascii="Times New Roman" w:hAnsi="Times New Roman" w:cs="Times New Roman"/>
        </w:rPr>
        <w:tab/>
        <w:t xml:space="preserve">Annualized statistics followed standard financial conventions with expected return calculated as mean daily log return multiplied by 252 trading days, and annualized volatility calculated as standard deviation of daily log returns multiplied by the square root of 252. The 4% annualized risk-free rate established in Checkpoint B was maintained for Sharpe ratio calculations, representing the approximate yield on 3-month Treasury bills and providing </w:t>
      </w:r>
      <w:r>
        <w:rPr>
          <w:rFonts w:ascii="Times New Roman" w:hAnsi="Times New Roman" w:cs="Times New Roman"/>
        </w:rPr>
        <w:lastRenderedPageBreak/>
        <w:t>consistent comparison to academic benchmarks where Sharpe ratios above 1.0 are considered excellent after subtracting the risk-free rate.</w:t>
      </w:r>
    </w:p>
    <w:p w14:paraId="68F44028" w14:textId="5A681C87" w:rsidR="00571B99" w:rsidRDefault="00FC2E9B" w:rsidP="00B01F72">
      <w:pPr>
        <w:spacing w:line="480" w:lineRule="auto"/>
        <w:rPr>
          <w:rFonts w:ascii="Times New Roman" w:hAnsi="Times New Roman" w:cs="Times New Roman"/>
        </w:rPr>
      </w:pPr>
      <w:r>
        <w:rPr>
          <w:rFonts w:ascii="Times New Roman" w:hAnsi="Times New Roman" w:cs="Times New Roman"/>
        </w:rPr>
        <w:tab/>
        <w:t xml:space="preserve">Checkpoint C substantially expands fee modeling to comprehensive sensitivity analysis across multiple cost scenarios. The baseline fee </w:t>
      </w:r>
      <w:r w:rsidR="00814729">
        <w:rPr>
          <w:rFonts w:ascii="Times New Roman" w:hAnsi="Times New Roman" w:cs="Times New Roman"/>
        </w:rPr>
        <w:t>structure</w:t>
      </w:r>
      <w:r>
        <w:rPr>
          <w:rFonts w:ascii="Times New Roman" w:hAnsi="Times New Roman" w:cs="Times New Roman"/>
        </w:rPr>
        <w:t xml:space="preserve"> reflects realistic hedge fund implementation costs with 1.5% annual management fee, 15 basis points per trade in transaction costs, and 5 basis points per trade in market impact costs, totaling 20 basis points per full round-trip transaction. T</w:t>
      </w:r>
      <w:r w:rsidR="00CC6CBC">
        <w:rPr>
          <w:rFonts w:ascii="Times New Roman" w:hAnsi="Times New Roman" w:cs="Times New Roman"/>
        </w:rPr>
        <w:t>he fee sensitivity grid evaluates strategy performance across distinct cost scenarios, varying management fees, transaction costs, and performance fees. For each combination, the analysis calculates net-of-fees CAGR, Sharpe ratio, and maximum drawdown for all strategies</w:t>
      </w:r>
      <w:r w:rsidR="00571B99">
        <w:rPr>
          <w:rFonts w:ascii="Times New Roman" w:hAnsi="Times New Roman" w:cs="Times New Roman"/>
        </w:rPr>
        <w:t xml:space="preserve">. This produces </w:t>
      </w:r>
      <w:r w:rsidR="00D63668">
        <w:rPr>
          <w:rFonts w:ascii="Times New Roman" w:hAnsi="Times New Roman" w:cs="Times New Roman"/>
        </w:rPr>
        <w:t xml:space="preserve">a </w:t>
      </w:r>
      <w:r w:rsidR="00571B99">
        <w:rPr>
          <w:rFonts w:ascii="Times New Roman" w:hAnsi="Times New Roman" w:cs="Times New Roman"/>
        </w:rPr>
        <w:t xml:space="preserve">comprehensive sensitivity table showing how each strategy’s risk-adjusted performance degrades as costs increase, enabling identification of implementation frictions </w:t>
      </w:r>
      <w:r w:rsidR="000F372E">
        <w:rPr>
          <w:rFonts w:ascii="Times New Roman" w:hAnsi="Times New Roman" w:cs="Times New Roman"/>
        </w:rPr>
        <w:t>and strategies</w:t>
      </w:r>
      <w:r w:rsidR="00571B99">
        <w:rPr>
          <w:rFonts w:ascii="Times New Roman" w:hAnsi="Times New Roman" w:cs="Times New Roman"/>
        </w:rPr>
        <w:t xml:space="preserve"> that collapse under realistic fee assumptions.</w:t>
      </w:r>
      <w:r w:rsidR="00E6689A">
        <w:rPr>
          <w:rFonts w:ascii="Times New Roman" w:hAnsi="Times New Roman" w:cs="Times New Roman"/>
        </w:rPr>
        <w:t xml:space="preserve"> </w:t>
      </w:r>
      <w:r w:rsidR="00571B99">
        <w:rPr>
          <w:rFonts w:ascii="Times New Roman" w:hAnsi="Times New Roman" w:cs="Times New Roman"/>
        </w:rPr>
        <w:t xml:space="preserve">CAPM provides the theoretical framework for calculating alpha and beta relative to the SPY benchmark. Beta is calculated as the covariance of portfolio returns with benchmark returns divided by the variance of benchmark returns, representing systematic market risk exposure. Alpha represents capturing excess returns beyond what beta predicts. </w:t>
      </w:r>
      <w:r w:rsidR="00887DE5">
        <w:rPr>
          <w:rFonts w:ascii="Times New Roman" w:hAnsi="Times New Roman" w:cs="Times New Roman"/>
        </w:rPr>
        <w:t xml:space="preserve">For Checkpoint C, </w:t>
      </w:r>
      <w:r w:rsidR="00F05C0D">
        <w:rPr>
          <w:rFonts w:ascii="Times New Roman" w:hAnsi="Times New Roman" w:cs="Times New Roman"/>
        </w:rPr>
        <w:t xml:space="preserve">positive </w:t>
      </w:r>
      <w:r w:rsidR="00887DE5">
        <w:rPr>
          <w:rFonts w:ascii="Times New Roman" w:hAnsi="Times New Roman" w:cs="Times New Roman"/>
        </w:rPr>
        <w:t>alpha quantifies whether momentum-based allocation, ML predictions, regime-switching tactics, mean-reversion signals, or pairs trading strategies add value beyond simply leveraging broad market exposure.</w:t>
      </w:r>
    </w:p>
    <w:p w14:paraId="1B612C8B" w14:textId="0C666C6A" w:rsidR="00D16C6D" w:rsidRDefault="00D16C6D" w:rsidP="00B01F72">
      <w:pPr>
        <w:spacing w:line="480" w:lineRule="auto"/>
        <w:rPr>
          <w:rFonts w:ascii="Times New Roman" w:hAnsi="Times New Roman" w:cs="Times New Roman"/>
        </w:rPr>
      </w:pPr>
      <w:r>
        <w:rPr>
          <w:rFonts w:ascii="Times New Roman" w:hAnsi="Times New Roman" w:cs="Times New Roman"/>
        </w:rPr>
        <w:tab/>
        <w:t xml:space="preserve">The Clenow momentum strategy maintained Programming Assignment 3’s dual-filter approach combining 90-day intermediate-term momentum with 200-day moving average trend confirmation. Each month-end, the strategy calculates 90-day percentage price changes for all </w:t>
      </w:r>
      <w:r w:rsidR="009A6383">
        <w:rPr>
          <w:rFonts w:ascii="Times New Roman" w:hAnsi="Times New Roman" w:cs="Times New Roman"/>
        </w:rPr>
        <w:t>46</w:t>
      </w:r>
      <w:r>
        <w:rPr>
          <w:rFonts w:ascii="Times New Roman" w:hAnsi="Times New Roman" w:cs="Times New Roman"/>
        </w:rPr>
        <w:t xml:space="preserve"> securities, applies the 200-day moving average filter to exclude securities trading below their long-term trend, ranks eligible securities by momentum score, and allocates equal weight to the </w:t>
      </w:r>
      <w:r>
        <w:rPr>
          <w:rFonts w:ascii="Times New Roman" w:hAnsi="Times New Roman" w:cs="Times New Roman"/>
        </w:rPr>
        <w:lastRenderedPageBreak/>
        <w:t>top 10 securities. The dual-filter design reflects empirical evidence that momentum strategies perform best when combined with trend-following filters, as pure momentum can suffer during trend reversals when high-momentum securities experience sharp corrections without the stabilizing influence of long-term trend confirmation.</w:t>
      </w:r>
    </w:p>
    <w:p w14:paraId="3559D9BF" w14:textId="3D19F303" w:rsidR="00940AA5" w:rsidRDefault="00940AA5" w:rsidP="00610292">
      <w:pPr>
        <w:spacing w:line="480" w:lineRule="auto"/>
        <w:ind w:firstLine="720"/>
        <w:rPr>
          <w:rFonts w:ascii="Times New Roman" w:hAnsi="Times New Roman" w:cs="Times New Roman"/>
        </w:rPr>
      </w:pPr>
      <w:r>
        <w:rPr>
          <w:rFonts w:ascii="Times New Roman" w:hAnsi="Times New Roman" w:cs="Times New Roman"/>
        </w:rPr>
        <w:t xml:space="preserve">The machine learning walk-forward strategy </w:t>
      </w:r>
      <w:r w:rsidR="005F0D7F">
        <w:rPr>
          <w:rFonts w:ascii="Times New Roman" w:hAnsi="Times New Roman" w:cs="Times New Roman"/>
        </w:rPr>
        <w:t xml:space="preserve">implements </w:t>
      </w:r>
      <w:r>
        <w:rPr>
          <w:rFonts w:ascii="Times New Roman" w:hAnsi="Times New Roman" w:cs="Times New Roman"/>
        </w:rPr>
        <w:t xml:space="preserve">monthly rebalancing with refined metrics calculations while maintaining rigorous out-of-sample validation across 70 testing periods. Ridge regression models with L2 regularization were trained on rolling 3-year historical windows to predict forward 21-day returns. The feature set included technical indicators calculated for each security such as 20-,60- and 120-day price momentum, 20- and 60-day return volatility, and 20- to 60-day moving average ratio. Market-wide features calculated from SPY returns included 20- and 60-day momentum and 20-day volatility, producing </w:t>
      </w:r>
      <w:r w:rsidR="00D11AF2">
        <w:rPr>
          <w:rFonts w:ascii="Times New Roman" w:hAnsi="Times New Roman" w:cs="Times New Roman"/>
        </w:rPr>
        <w:t>279</w:t>
      </w:r>
      <w:r>
        <w:rPr>
          <w:rFonts w:ascii="Times New Roman" w:hAnsi="Times New Roman" w:cs="Times New Roman"/>
        </w:rPr>
        <w:t xml:space="preserve"> total features. Features were standardized using training window statistics only to prevent information leakage from future data into historical predictions. The walk-forward validation procedure divided the 10-year sample into monthly testing periods, training each Ridge regression model on the prior 756 trading days, standardizing features using only training data statistics, predicting forward 21-day returns for all </w:t>
      </w:r>
      <w:r w:rsidR="00610292">
        <w:rPr>
          <w:rFonts w:ascii="Times New Roman" w:hAnsi="Times New Roman" w:cs="Times New Roman"/>
        </w:rPr>
        <w:t>46</w:t>
      </w:r>
      <w:r>
        <w:rPr>
          <w:rFonts w:ascii="Times New Roman" w:hAnsi="Times New Roman" w:cs="Times New Roman"/>
        </w:rPr>
        <w:t xml:space="preserve"> securities at each month-end, selecting the top 10 securities by predicted return with equal-weight allocation, holding positions for 21 trading days while calculating realized returns and transaction costs, then rolling forward one month and retraining the model on the updated data window. The monthly retraining frequency enables model adaptation to changing market conditions while maintaining sufficient training data stability for robust parameter estimation.</w:t>
      </w:r>
    </w:p>
    <w:p w14:paraId="49D90E02" w14:textId="460E61BC" w:rsidR="001F189F" w:rsidRDefault="001F189F" w:rsidP="001F189F">
      <w:pPr>
        <w:spacing w:line="480" w:lineRule="auto"/>
        <w:rPr>
          <w:rFonts w:ascii="Times New Roman" w:hAnsi="Times New Roman" w:cs="Times New Roman"/>
        </w:rPr>
      </w:pPr>
      <w:r>
        <w:rPr>
          <w:rFonts w:ascii="Times New Roman" w:hAnsi="Times New Roman" w:cs="Times New Roman"/>
        </w:rPr>
        <w:tab/>
        <w:t xml:space="preserve">The mean-reversion strategy calculates rolling 60-day mean and standard deviation of prices for each security, then computes z-scores as (current price-rolling mean)/rolling standard </w:t>
      </w:r>
      <w:r>
        <w:rPr>
          <w:rFonts w:ascii="Times New Roman" w:hAnsi="Times New Roman" w:cs="Times New Roman"/>
        </w:rPr>
        <w:lastRenderedPageBreak/>
        <w:t>deviation. Entry signals trigger when securities trade more than 0.3 standard deviations below their rolling mean, indicating potential oversold conditions</w:t>
      </w:r>
      <w:r w:rsidR="004D7AB5">
        <w:rPr>
          <w:rFonts w:ascii="Times New Roman" w:hAnsi="Times New Roman" w:cs="Times New Roman"/>
        </w:rPr>
        <w:t xml:space="preserve">, and exit </w:t>
      </w:r>
      <w:r>
        <w:rPr>
          <w:rFonts w:ascii="Times New Roman" w:hAnsi="Times New Roman" w:cs="Times New Roman"/>
        </w:rPr>
        <w:t>signals trigger when z-scores rise above 0.5 standard deviations, indicating return to fair value. Position sizing allocates equal weight to the top 10 most oversold securities with daily rebalancing as new signals generate. Checkpoint C extends this analysis by testing refined thresholds and expanding the sample to include established technology leaders with longer price histories, evaluating whether mean-reversion works for mature technology companies even if inappropriate for high-growth speculative securities.</w:t>
      </w:r>
    </w:p>
    <w:p w14:paraId="197F7A0A" w14:textId="446C3C33" w:rsidR="00CA4E0E" w:rsidRDefault="00CA4E0E" w:rsidP="00CA4E0E">
      <w:pPr>
        <w:spacing w:line="480" w:lineRule="auto"/>
        <w:rPr>
          <w:rFonts w:ascii="Times New Roman" w:hAnsi="Times New Roman" w:cs="Times New Roman"/>
        </w:rPr>
      </w:pPr>
      <w:r>
        <w:rPr>
          <w:rFonts w:ascii="Times New Roman" w:hAnsi="Times New Roman" w:cs="Times New Roman"/>
        </w:rPr>
        <w:tab/>
        <w:t>The hybrid regime-switching strategy dynamically allocat</w:t>
      </w:r>
      <w:r w:rsidR="00EC0F7D">
        <w:rPr>
          <w:rFonts w:ascii="Times New Roman" w:hAnsi="Times New Roman" w:cs="Times New Roman"/>
        </w:rPr>
        <w:t>ed</w:t>
      </w:r>
      <w:r>
        <w:rPr>
          <w:rFonts w:ascii="Times New Roman" w:hAnsi="Times New Roman" w:cs="Times New Roman"/>
        </w:rPr>
        <w:t xml:space="preserve"> capital based on </w:t>
      </w:r>
      <w:r w:rsidR="00E2508E">
        <w:rPr>
          <w:rFonts w:ascii="Times New Roman" w:hAnsi="Times New Roman" w:cs="Times New Roman"/>
        </w:rPr>
        <w:t>HMM</w:t>
      </w:r>
      <w:r>
        <w:rPr>
          <w:rFonts w:ascii="Times New Roman" w:hAnsi="Times New Roman" w:cs="Times New Roman"/>
        </w:rPr>
        <w:t xml:space="preserve"> classification of market conditions. A three-state HMM trained on SPY daily log returns identified bull, sideways, and bear market regimes based on return and volatility characteristics. In bull markets, the system allocates 40% to Clenow momentum and 60% to ML walk-forward strategies, blends these signals to select the top 10 securities, and implements equal-weight allocation to capture both trend-following persistence and machine learning pattern recognition. In sideways markets the system allocates 100% to ML, relying on its adaptive monthly retraining to navigate unstable conditions. In bear markets the system </w:t>
      </w:r>
      <w:r w:rsidR="001028D6">
        <w:rPr>
          <w:rFonts w:ascii="Times New Roman" w:hAnsi="Times New Roman" w:cs="Times New Roman"/>
        </w:rPr>
        <w:t xml:space="preserve">preserves capital by </w:t>
      </w:r>
      <w:r>
        <w:rPr>
          <w:rFonts w:ascii="Times New Roman" w:hAnsi="Times New Roman" w:cs="Times New Roman"/>
        </w:rPr>
        <w:t>mov</w:t>
      </w:r>
      <w:r w:rsidR="001028D6">
        <w:rPr>
          <w:rFonts w:ascii="Times New Roman" w:hAnsi="Times New Roman" w:cs="Times New Roman"/>
        </w:rPr>
        <w:t>ing</w:t>
      </w:r>
      <w:r>
        <w:rPr>
          <w:rFonts w:ascii="Times New Roman" w:hAnsi="Times New Roman" w:cs="Times New Roman"/>
        </w:rPr>
        <w:t xml:space="preserve"> entirely to cash equivalents with zero equity exposure. At each month-end rebalancing date, the system queries the HMM regime classification and implements the corresponding allocation, calculating transaction costs from the notional value of all position changes. A critical limitation of this approach is that the HMM trains on the full historical SPY sample, introducing look-ahead bias. For production implementation, the HMM requires expanding window re-estimation where model parameters update monthly using only data through the current date. The system identified </w:t>
      </w:r>
      <w:r>
        <w:rPr>
          <w:rFonts w:ascii="Times New Roman" w:hAnsi="Times New Roman" w:cs="Times New Roman"/>
        </w:rPr>
        <w:lastRenderedPageBreak/>
        <w:t>118 regime transitions over the 10-year sample</w:t>
      </w:r>
      <w:r w:rsidR="004D71C7">
        <w:rPr>
          <w:rFonts w:ascii="Times New Roman" w:hAnsi="Times New Roman" w:cs="Times New Roman"/>
        </w:rPr>
        <w:t xml:space="preserve">, </w:t>
      </w:r>
      <w:r>
        <w:rPr>
          <w:rFonts w:ascii="Times New Roman" w:hAnsi="Times New Roman" w:cs="Times New Roman"/>
        </w:rPr>
        <w:t>introducing transaction costs that may partially offset tactical allocation benefits.</w:t>
      </w:r>
    </w:p>
    <w:p w14:paraId="36812B50" w14:textId="78470BBA" w:rsidR="00745EAE" w:rsidRDefault="00745EAE" w:rsidP="00745EAE">
      <w:pPr>
        <w:spacing w:line="480" w:lineRule="auto"/>
        <w:rPr>
          <w:rFonts w:ascii="Times New Roman" w:hAnsi="Times New Roman" w:cs="Times New Roman"/>
        </w:rPr>
      </w:pPr>
      <w:r>
        <w:rPr>
          <w:rFonts w:ascii="Times New Roman" w:hAnsi="Times New Roman" w:cs="Times New Roman"/>
        </w:rPr>
        <w:tab/>
        <w:t>Checkpoint C introduces a pairs trading strategy implementing Engle-Granger cointegration methodology targeting NVDA and AMD as a correlated pair. The Engle-Granger cointegration test on full-sample price series determines whether the two securities maintain a stable long-term price relationship. P-values below 0.05 indicate cointegration, while p-values above 0.05 suggest lack of stable relationship unsuitable for pairs trading. Hedge ratio estimation uses Ordinary Least Squares (OLS) regression of NVDA prices on AMD prices to estimate the hedge ratio, representing the number of AMD shares to short per NVDA share held long to achieve market-neutral positioning. The validity of this approach depends critically on the cointegration p-value from the Engle-Granger test. High p-values exceeding 0.05 indicate that pairs trading will generate signals but lacks the fundamental statistical relationship necessary for profitable execution, leading to unpredictable losses from spread divergence rather than convergence.</w:t>
      </w:r>
    </w:p>
    <w:p w14:paraId="5745BF44" w14:textId="6EB8FCE2" w:rsidR="00E335C1" w:rsidRDefault="00E30B13" w:rsidP="00CA29DB">
      <w:pPr>
        <w:spacing w:line="480" w:lineRule="auto"/>
        <w:rPr>
          <w:rFonts w:ascii="Times New Roman" w:hAnsi="Times New Roman" w:cs="Times New Roman"/>
        </w:rPr>
      </w:pPr>
      <w:r>
        <w:rPr>
          <w:rFonts w:ascii="Times New Roman" w:hAnsi="Times New Roman" w:cs="Times New Roman"/>
        </w:rPr>
        <w:tab/>
        <w:t xml:space="preserve">Checkpoint C implements multi-path Monte Carlo simulation to quantify the distribution of strategy returns across alternative market scenarios. The simulation generates 200 synthetic datasets with statistical properties matching historical ATTF portfolio returns, trains strategies on each synthetic dataset independently, and evaluates performance distributions across all paths. For each of </w:t>
      </w:r>
      <w:r w:rsidR="00C5559B">
        <w:rPr>
          <w:rFonts w:ascii="Times New Roman" w:hAnsi="Times New Roman" w:cs="Times New Roman"/>
        </w:rPr>
        <w:t xml:space="preserve">the </w:t>
      </w:r>
      <w:r>
        <w:rPr>
          <w:rFonts w:ascii="Times New Roman" w:hAnsi="Times New Roman" w:cs="Times New Roman"/>
        </w:rPr>
        <w:t>200 paths, synthetic daily returns are generated from a Gaussian distribution using independent random number generators with unique seeds per path.</w:t>
      </w:r>
      <w:r w:rsidR="000537BF">
        <w:rPr>
          <w:rFonts w:ascii="Times New Roman" w:hAnsi="Times New Roman" w:cs="Times New Roman"/>
        </w:rPr>
        <w:t xml:space="preserve"> </w:t>
      </w:r>
      <w:r w:rsidR="008B4844">
        <w:rPr>
          <w:rFonts w:ascii="Times New Roman" w:hAnsi="Times New Roman" w:cs="Times New Roman"/>
        </w:rPr>
        <w:t>Strategies</w:t>
      </w:r>
      <w:r>
        <w:rPr>
          <w:rFonts w:ascii="Times New Roman" w:hAnsi="Times New Roman" w:cs="Times New Roman"/>
        </w:rPr>
        <w:t xml:space="preserve"> are trained on each synthetic path using identical methodologies as applied to historical data, with monthly rebalancing for momentum, quarterly rebalancing for hybrid, and no rebalancing for buy-and-hold.</w:t>
      </w:r>
      <w:r w:rsidR="00CA29DB">
        <w:rPr>
          <w:rFonts w:ascii="Times New Roman" w:hAnsi="Times New Roman" w:cs="Times New Roman"/>
        </w:rPr>
        <w:t xml:space="preserve"> </w:t>
      </w:r>
      <w:r w:rsidR="00E335C1">
        <w:rPr>
          <w:rFonts w:ascii="Times New Roman" w:hAnsi="Times New Roman" w:cs="Times New Roman"/>
        </w:rPr>
        <w:t>Realistic fees are applied to each strategy</w:t>
      </w:r>
      <w:r w:rsidR="00CA29DB">
        <w:rPr>
          <w:rFonts w:ascii="Times New Roman" w:hAnsi="Times New Roman" w:cs="Times New Roman"/>
        </w:rPr>
        <w:t xml:space="preserve">, and </w:t>
      </w:r>
      <w:r w:rsidR="00274E6E">
        <w:rPr>
          <w:rFonts w:ascii="Times New Roman" w:hAnsi="Times New Roman" w:cs="Times New Roman"/>
        </w:rPr>
        <w:t xml:space="preserve">CAGR, Sharpe ratio, and maximum </w:t>
      </w:r>
      <w:r w:rsidR="00274E6E">
        <w:rPr>
          <w:rFonts w:ascii="Times New Roman" w:hAnsi="Times New Roman" w:cs="Times New Roman"/>
        </w:rPr>
        <w:lastRenderedPageBreak/>
        <w:t>drawdown are calculated for each strategy on each path, producing distributions across 200 independent realizations. Summary statistics report 5</w:t>
      </w:r>
      <w:r w:rsidR="00274E6E" w:rsidRPr="00274E6E">
        <w:rPr>
          <w:rFonts w:ascii="Times New Roman" w:hAnsi="Times New Roman" w:cs="Times New Roman"/>
          <w:vertAlign w:val="superscript"/>
        </w:rPr>
        <w:t>th</w:t>
      </w:r>
      <w:r w:rsidR="00274E6E">
        <w:rPr>
          <w:rFonts w:ascii="Times New Roman" w:hAnsi="Times New Roman" w:cs="Times New Roman"/>
        </w:rPr>
        <w:t xml:space="preserve"> percentile</w:t>
      </w:r>
      <w:r w:rsidR="00786617">
        <w:rPr>
          <w:rFonts w:ascii="Times New Roman" w:hAnsi="Times New Roman" w:cs="Times New Roman"/>
        </w:rPr>
        <w:t xml:space="preserve"> (pessimistic)</w:t>
      </w:r>
      <w:r w:rsidR="00274E6E">
        <w:rPr>
          <w:rFonts w:ascii="Times New Roman" w:hAnsi="Times New Roman" w:cs="Times New Roman"/>
        </w:rPr>
        <w:t>, me</w:t>
      </w:r>
      <w:r w:rsidR="00786617">
        <w:rPr>
          <w:rFonts w:ascii="Times New Roman" w:hAnsi="Times New Roman" w:cs="Times New Roman"/>
        </w:rPr>
        <w:t>dian, and 95</w:t>
      </w:r>
      <w:r w:rsidR="00786617" w:rsidRPr="00786617">
        <w:rPr>
          <w:rFonts w:ascii="Times New Roman" w:hAnsi="Times New Roman" w:cs="Times New Roman"/>
          <w:vertAlign w:val="superscript"/>
        </w:rPr>
        <w:t>th</w:t>
      </w:r>
      <w:r w:rsidR="00786617">
        <w:rPr>
          <w:rFonts w:ascii="Times New Roman" w:hAnsi="Times New Roman" w:cs="Times New Roman"/>
        </w:rPr>
        <w:t xml:space="preserve"> percentile (optimistic)</w:t>
      </w:r>
      <w:r w:rsidR="00F40CDA">
        <w:rPr>
          <w:rFonts w:ascii="Times New Roman" w:hAnsi="Times New Roman" w:cs="Times New Roman"/>
        </w:rPr>
        <w:t xml:space="preserve"> outcomes, providing confidence bands for expected future returns under equivalent market conditions.</w:t>
      </w:r>
      <w:r w:rsidR="007B6769">
        <w:rPr>
          <w:rFonts w:ascii="Times New Roman" w:hAnsi="Times New Roman" w:cs="Times New Roman"/>
        </w:rPr>
        <w:t xml:space="preserve"> </w:t>
      </w:r>
      <w:r w:rsidR="00AA523F">
        <w:rPr>
          <w:rFonts w:ascii="Times New Roman" w:hAnsi="Times New Roman" w:cs="Times New Roman"/>
        </w:rPr>
        <w:t>This</w:t>
      </w:r>
      <w:r w:rsidR="007B6769">
        <w:rPr>
          <w:rFonts w:ascii="Times New Roman" w:hAnsi="Times New Roman" w:cs="Times New Roman"/>
        </w:rPr>
        <w:t xml:space="preserve"> approach provides a conservative baseline that maintains mean and volatility characteristics while testing strategy robustness to path-dependent noise, enabling assessment of whether historical single-path performance represents genuine strategy skill or lucky draw from return distribution.</w:t>
      </w:r>
    </w:p>
    <w:p w14:paraId="2C68A9D6" w14:textId="4F6C84BF" w:rsidR="00CF00F0" w:rsidRPr="00801E7B" w:rsidRDefault="007B6769" w:rsidP="00801E7B">
      <w:pPr>
        <w:spacing w:line="480" w:lineRule="auto"/>
        <w:ind w:firstLine="720"/>
        <w:rPr>
          <w:rFonts w:ascii="Times New Roman" w:hAnsi="Times New Roman" w:cs="Times New Roman"/>
        </w:rPr>
      </w:pPr>
      <w:r>
        <w:rPr>
          <w:rFonts w:ascii="Times New Roman" w:hAnsi="Times New Roman" w:cs="Times New Roman"/>
        </w:rPr>
        <w:t xml:space="preserve">All strategies were evaluated using consistent metrics over identical timeframes including CAGR, volatility, Sharpe ratio, maximum drawdown, and alpha/beta versus SPY. Three benchmarks provide performance comparison. The SPY buy-and-hold benchmark represents passive large-cap US equity </w:t>
      </w:r>
      <w:r w:rsidR="006D0735">
        <w:rPr>
          <w:rFonts w:ascii="Times New Roman" w:hAnsi="Times New Roman" w:cs="Times New Roman"/>
        </w:rPr>
        <w:t>exposure, the QQQ buy-and-hold benchmark provides technology-focuses Nasdaq-100 exposure</w:t>
      </w:r>
      <w:r w:rsidR="008A5EAF">
        <w:rPr>
          <w:rFonts w:ascii="Times New Roman" w:hAnsi="Times New Roman" w:cs="Times New Roman"/>
        </w:rPr>
        <w:t xml:space="preserve">, and the equal-weight ATTF benchmark implements naïve equal allocation to all </w:t>
      </w:r>
      <w:r w:rsidR="00742B2D">
        <w:rPr>
          <w:rFonts w:ascii="Times New Roman" w:hAnsi="Times New Roman" w:cs="Times New Roman"/>
        </w:rPr>
        <w:t>ATTF securities representing thematic exposure without active selection. All active strategies must exceed these benchmarks net of fees to demonstrate value creation from systematic trading rules rather than simply capturing beta exposure to technology sector growth.</w:t>
      </w:r>
      <w:r w:rsidR="00801E7B">
        <w:rPr>
          <w:rFonts w:ascii="Times New Roman" w:hAnsi="Times New Roman" w:cs="Times New Roman"/>
        </w:rPr>
        <w:t xml:space="preserve"> Extended backtesting (1999-2025) uses weighted proxy returns for the pre-2015 period, transitioning to individual security returns post-October 2015. This two-regime approach enables historical robustness testing while maintaining accuracy over the live ATTF existence period.</w:t>
      </w:r>
    </w:p>
    <w:p w14:paraId="359DC645" w14:textId="77777777" w:rsidR="009B2BBF" w:rsidRDefault="009B2BBF" w:rsidP="009B2BBF">
      <w:pPr>
        <w:pStyle w:val="NormalWeb"/>
        <w:spacing w:line="480" w:lineRule="auto"/>
        <w:rPr>
          <w:b/>
          <w:bCs/>
          <w:sz w:val="32"/>
          <w:szCs w:val="32"/>
        </w:rPr>
      </w:pPr>
      <w:r>
        <w:rPr>
          <w:b/>
          <w:bCs/>
          <w:sz w:val="32"/>
          <w:szCs w:val="32"/>
        </w:rPr>
        <w:t>Results</w:t>
      </w:r>
    </w:p>
    <w:p w14:paraId="3DBF8D93" w14:textId="7C084965" w:rsidR="0057669D" w:rsidRDefault="009B2BBF" w:rsidP="005A6B92">
      <w:pPr>
        <w:pStyle w:val="NormalWeb"/>
        <w:spacing w:line="480" w:lineRule="auto"/>
      </w:pPr>
      <w:r>
        <w:rPr>
          <w:b/>
          <w:bCs/>
          <w:sz w:val="32"/>
          <w:szCs w:val="32"/>
        </w:rPr>
        <w:tab/>
      </w:r>
      <w:r w:rsidR="006732C3">
        <w:t xml:space="preserve">Checkpoint C results </w:t>
      </w:r>
      <w:r w:rsidR="008471DB">
        <w:t xml:space="preserve">changed dramatically from previous assignments. </w:t>
      </w:r>
      <w:r w:rsidR="009E1F7B">
        <w:t xml:space="preserve">Up till now I have come to determine that my ML implementation suffered from look-ahead bias where shift(-test window) inadvertently pulled future returns backward into training data, causing overfit </w:t>
      </w:r>
      <w:r w:rsidR="009E1F7B">
        <w:lastRenderedPageBreak/>
        <w:t xml:space="preserve">performance exceeding 100% CAGR. After correcting this </w:t>
      </w:r>
      <w:r w:rsidR="001448C5">
        <w:t>for proper temporal alignment, ensuring features at time t used only data from t-1 to predict returns, performance normalized to 20</w:t>
      </w:r>
      <w:r w:rsidR="00D132DC">
        <w:t xml:space="preserve">.8 percent CAGR with 0.50 Sharpe. This correction </w:t>
      </w:r>
      <w:r w:rsidR="006732C3">
        <w:t>demonstrate</w:t>
      </w:r>
      <w:r w:rsidR="00D132DC">
        <w:t>s the critical importance of rigorous data validation in walk-forward systems.</w:t>
      </w:r>
      <w:r w:rsidR="006732C3">
        <w:t xml:space="preserve"> </w:t>
      </w:r>
      <w:r w:rsidR="00D132DC">
        <w:t>Clenow became the dominant trading strategy after this correction</w:t>
      </w:r>
      <w:r w:rsidR="00D22690">
        <w:t xml:space="preserve">. Additional analysis showed </w:t>
      </w:r>
      <w:r w:rsidR="006732C3">
        <w:t>pairs trading fail</w:t>
      </w:r>
      <w:r w:rsidR="00D22690">
        <w:t>ed</w:t>
      </w:r>
      <w:r w:rsidR="006732C3">
        <w:t xml:space="preserve"> to generate economically significant alpha due to non-cointegration between NVDA and AMD. Fee sensitivity analysis reveals substantial performance degradation across realistic cost structures, particularly for high-turnover strategies like Clenow. Mutli-path Monte Carlo simulation quantifies the distribution of expected returns across alternative market scenarios, with median outcomes</w:t>
      </w:r>
      <w:r w:rsidR="0016470A">
        <w:t xml:space="preserve"> </w:t>
      </w:r>
      <w:r w:rsidR="006732C3">
        <w:t>providing more conservative expectations than single-path historical backtests and revealing potential overfitting in the hybrid regime-switching framework.</w:t>
      </w:r>
    </w:p>
    <w:p w14:paraId="2C694006" w14:textId="0C636B31" w:rsidR="000337A9" w:rsidRDefault="006732C3" w:rsidP="005A6B92">
      <w:pPr>
        <w:pStyle w:val="NormalWeb"/>
        <w:spacing w:line="480" w:lineRule="auto"/>
      </w:pPr>
      <w:r>
        <w:tab/>
        <w:t xml:space="preserve">The comprehensive performance comparison across all strategies and benchmarks demonstrates </w:t>
      </w:r>
      <w:r w:rsidR="00E01DD6">
        <w:t>Clenow outperformance</w:t>
      </w:r>
      <w:r>
        <w:t xml:space="preserve"> (Table 1). The ML strategy </w:t>
      </w:r>
      <w:r w:rsidR="00595700">
        <w:t xml:space="preserve">performance dropped to 20.8% CAGR after fees with a 0.50 </w:t>
      </w:r>
      <w:r w:rsidR="00D87DC0">
        <w:t>Sharpe ratio</w:t>
      </w:r>
      <w:r w:rsidR="0001264A">
        <w:t xml:space="preserve">. </w:t>
      </w:r>
      <w:r w:rsidR="0026394E">
        <w:t xml:space="preserve">The Clenow strategy </w:t>
      </w:r>
      <w:r w:rsidR="008E76E2">
        <w:t xml:space="preserve">delivered the best results at 27.8% CAGR and </w:t>
      </w:r>
      <w:r w:rsidR="00B24EF9">
        <w:t>0.72 Sharpe.</w:t>
      </w:r>
      <w:r w:rsidR="00B834F1">
        <w:t xml:space="preserve"> </w:t>
      </w:r>
      <w:r w:rsidR="007A37E0">
        <w:t xml:space="preserve">The hybrid regime-switching system delivers compelling risk-adjusted performance that falls between pure momentum and machine learning strategies. Programming Assignment 3’s regime-aware allocation framework achieved </w:t>
      </w:r>
      <w:r w:rsidR="004A17EF">
        <w:t>21.2</w:t>
      </w:r>
      <w:r w:rsidR="007A37E0">
        <w:t xml:space="preserve">% CAGR with </w:t>
      </w:r>
      <w:r w:rsidR="004A17EF">
        <w:t>0.697</w:t>
      </w:r>
      <w:r w:rsidR="007A37E0">
        <w:t xml:space="preserve"> Sharpe ratio, representing strong</w:t>
      </w:r>
      <w:r w:rsidR="00150E25">
        <w:t>er</w:t>
      </w:r>
      <w:r w:rsidR="007A37E0">
        <w:t xml:space="preserve"> performance </w:t>
      </w:r>
      <w:r w:rsidR="00150E25">
        <w:t>than ML but less than Clenow</w:t>
      </w:r>
      <w:r w:rsidR="007A37E0">
        <w:t>. The system identified 118 regime transitions over the 10-year sample, averaging approximately 12 switches annually, introducing transaction costs that partially offset tactical allocation benefits but remain economically justified given the substantial drawdown reduction versus pure equity strategies.</w:t>
      </w:r>
    </w:p>
    <w:p w14:paraId="02A00493" w14:textId="77777777" w:rsidR="00461FAA" w:rsidRDefault="00461FAA" w:rsidP="005A6B92">
      <w:pPr>
        <w:pStyle w:val="NormalWeb"/>
        <w:spacing w:line="480" w:lineRule="auto"/>
      </w:pPr>
    </w:p>
    <w:p w14:paraId="440F5230" w14:textId="6B677E24" w:rsidR="009A6FCB" w:rsidRDefault="009A6FCB" w:rsidP="009A6FCB">
      <w:pPr>
        <w:pStyle w:val="NormalWeb"/>
        <w:spacing w:line="480" w:lineRule="auto"/>
        <w:jc w:val="center"/>
        <w:rPr>
          <w:b/>
          <w:bCs/>
          <w:sz w:val="22"/>
          <w:szCs w:val="22"/>
        </w:rPr>
      </w:pPr>
      <w:r>
        <w:rPr>
          <w:b/>
          <w:bCs/>
          <w:sz w:val="22"/>
          <w:szCs w:val="22"/>
        </w:rPr>
        <w:t>Table 1: Final Strategy Comparison (Net of All Fees)</w:t>
      </w:r>
    </w:p>
    <w:p w14:paraId="6557D104" w14:textId="68F678C0" w:rsidR="009A6FCB" w:rsidRDefault="00461FAA" w:rsidP="009A6FCB">
      <w:pPr>
        <w:pStyle w:val="NormalWeb"/>
        <w:spacing w:line="480" w:lineRule="auto"/>
        <w:jc w:val="center"/>
        <w:rPr>
          <w:b/>
          <w:bCs/>
          <w:sz w:val="22"/>
          <w:szCs w:val="22"/>
        </w:rPr>
      </w:pPr>
      <w:r w:rsidRPr="00461FAA">
        <w:rPr>
          <w:b/>
          <w:bCs/>
          <w:noProof/>
          <w:sz w:val="22"/>
          <w:szCs w:val="22"/>
        </w:rPr>
        <w:drawing>
          <wp:inline distT="0" distB="0" distL="0" distR="0" wp14:anchorId="52835410" wp14:editId="1C13DBE3">
            <wp:extent cx="4130398" cy="1539373"/>
            <wp:effectExtent l="0" t="0" r="3810" b="3810"/>
            <wp:docPr id="684554035"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4035" name="Picture 1" descr="A white rectangular object with black text&#10;&#10;AI-generated content may be incorrect."/>
                    <pic:cNvPicPr/>
                  </pic:nvPicPr>
                  <pic:blipFill>
                    <a:blip r:embed="rId6"/>
                    <a:stretch>
                      <a:fillRect/>
                    </a:stretch>
                  </pic:blipFill>
                  <pic:spPr>
                    <a:xfrm>
                      <a:off x="0" y="0"/>
                      <a:ext cx="4130398" cy="1539373"/>
                    </a:xfrm>
                    <a:prstGeom prst="rect">
                      <a:avLst/>
                    </a:prstGeom>
                  </pic:spPr>
                </pic:pic>
              </a:graphicData>
            </a:graphic>
          </wp:inline>
        </w:drawing>
      </w:r>
    </w:p>
    <w:p w14:paraId="7FF9FFA2" w14:textId="66670705" w:rsidR="0009780C" w:rsidRDefault="0009780C" w:rsidP="0009780C">
      <w:pPr>
        <w:pStyle w:val="NormalWeb"/>
        <w:spacing w:line="480" w:lineRule="auto"/>
      </w:pPr>
      <w:r>
        <w:tab/>
      </w:r>
      <w:r w:rsidR="00461FAA">
        <w:t>Mean-Reversion had the lowest CAGR in the expanded portfolio universe at 5.63% CAGR</w:t>
      </w:r>
      <w:r w:rsidR="00157961">
        <w:t xml:space="preserve"> and Sharpe of 0.155, performing the worst in the expanded universe</w:t>
      </w:r>
      <w:r w:rsidR="00461FAA">
        <w:t xml:space="preserve">. </w:t>
      </w:r>
      <w:r w:rsidR="001333DC">
        <w:t xml:space="preserve">This </w:t>
      </w:r>
      <w:r w:rsidR="00F05A35">
        <w:t xml:space="preserve">performance </w:t>
      </w:r>
      <w:r w:rsidR="001333DC">
        <w:t xml:space="preserve">confirms that transformative technology stocks in the </w:t>
      </w:r>
      <w:r w:rsidR="00157961">
        <w:t xml:space="preserve">expanded </w:t>
      </w:r>
      <w:r w:rsidR="001333DC">
        <w:t>ATTF universe exhibit persistent momentum and trending behavior rather than mean-reverting price dynamics.</w:t>
      </w:r>
      <w:r w:rsidR="00157961">
        <w:t xml:space="preserve"> I would like to note that when tested on the original ATTF 22 stock portfolio Mean-Reversion actually performed better than ML after the look-ahead bias was corrected, suggesting that ML performs </w:t>
      </w:r>
      <w:r w:rsidR="00B61A36">
        <w:t>when it has the ability to pick winners across a variety of equities and Mean-Reversion has the inverse relationship.</w:t>
      </w:r>
    </w:p>
    <w:p w14:paraId="53C229B7" w14:textId="05E26D5A" w:rsidR="007E6387" w:rsidRDefault="007E6387" w:rsidP="007E6387">
      <w:pPr>
        <w:pStyle w:val="NormalWeb"/>
        <w:spacing w:line="480" w:lineRule="auto"/>
      </w:pPr>
      <w:r>
        <w:tab/>
        <w:t>The pairs trading strategy targeting NVDA-AMD</w:t>
      </w:r>
      <w:r w:rsidR="00C46859">
        <w:t xml:space="preserve"> (Table 2)</w:t>
      </w:r>
      <w:r>
        <w:t xml:space="preserve"> as correlated AI chip manufacturers delivered strongly negative returns, confirming that high correlation does not imply cointegration stability necessary for profitable statistical arbitrage. The strategy achieved -3.61% CAGR with -6.831 Sharpe ratio and -55.02% maximum drawdown after fees, representing capital destruction rather than risk-adjusted return generation. The Engle-Granger cointegration test yielded p-value of 0.9329, far above the 0.05 threshold required for statistical significance, confirming that NVDA and AMD prices do not maintain a stable long-term </w:t>
      </w:r>
      <w:r>
        <w:lastRenderedPageBreak/>
        <w:t>equilibrium relationship suitable for pairs trading. The beta near zero confirms market-neutral positioning as designed, successfully eliminating systematic risk exposure. However, market-neutral does not imply profitability. The strategy eliminated systematic risk but failed to generate spread-convergence returns necessary to compensate for 46.3% annual turnover costs. The negative alpha of -0.076 indicates pure destruction of capital.</w:t>
      </w:r>
    </w:p>
    <w:p w14:paraId="7C079F33" w14:textId="6638BBB5" w:rsidR="00D73718" w:rsidRPr="00D73718" w:rsidRDefault="00D73718" w:rsidP="00D73718">
      <w:pPr>
        <w:pStyle w:val="NormalWeb"/>
        <w:spacing w:line="480" w:lineRule="auto"/>
        <w:jc w:val="center"/>
        <w:rPr>
          <w:b/>
          <w:bCs/>
          <w:sz w:val="22"/>
          <w:szCs w:val="22"/>
        </w:rPr>
      </w:pPr>
      <w:r>
        <w:rPr>
          <w:b/>
          <w:bCs/>
          <w:sz w:val="22"/>
          <w:szCs w:val="22"/>
        </w:rPr>
        <w:t>Table 2: Pairs Trading</w:t>
      </w:r>
      <w:r w:rsidR="00C46859">
        <w:rPr>
          <w:b/>
          <w:bCs/>
          <w:sz w:val="22"/>
          <w:szCs w:val="22"/>
        </w:rPr>
        <w:t xml:space="preserve"> (NVDA-AMD)</w:t>
      </w:r>
    </w:p>
    <w:p w14:paraId="06028A3C" w14:textId="22B72EB2" w:rsidR="00631A77" w:rsidRDefault="00D73718" w:rsidP="00A77073">
      <w:pPr>
        <w:pStyle w:val="NormalWeb"/>
        <w:spacing w:line="480" w:lineRule="auto"/>
        <w:jc w:val="center"/>
      </w:pPr>
      <w:r w:rsidRPr="00D73718">
        <w:rPr>
          <w:noProof/>
        </w:rPr>
        <w:drawing>
          <wp:inline distT="0" distB="0" distL="0" distR="0" wp14:anchorId="5AD0C1FB" wp14:editId="69D84927">
            <wp:extent cx="2796782" cy="3977985"/>
            <wp:effectExtent l="0" t="0" r="3810" b="3810"/>
            <wp:docPr id="7672203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20392" name="Picture 1" descr="A screenshot of a computer screen&#10;&#10;AI-generated content may be incorrect."/>
                    <pic:cNvPicPr/>
                  </pic:nvPicPr>
                  <pic:blipFill>
                    <a:blip r:embed="rId7"/>
                    <a:stretch>
                      <a:fillRect/>
                    </a:stretch>
                  </pic:blipFill>
                  <pic:spPr>
                    <a:xfrm>
                      <a:off x="0" y="0"/>
                      <a:ext cx="2796782" cy="3977985"/>
                    </a:xfrm>
                    <a:prstGeom prst="rect">
                      <a:avLst/>
                    </a:prstGeom>
                  </pic:spPr>
                </pic:pic>
              </a:graphicData>
            </a:graphic>
          </wp:inline>
        </w:drawing>
      </w:r>
    </w:p>
    <w:p w14:paraId="04038F38" w14:textId="54140EF4" w:rsidR="000F1384" w:rsidRDefault="000F1384" w:rsidP="0009780C">
      <w:pPr>
        <w:pStyle w:val="NormalWeb"/>
        <w:spacing w:line="480" w:lineRule="auto"/>
      </w:pPr>
      <w:r>
        <w:tab/>
        <w:t xml:space="preserve">Comprehensive fee sensitivity analysis across 18 fee combinations reveals </w:t>
      </w:r>
      <w:r w:rsidR="00AA6A32">
        <w:t xml:space="preserve">modest </w:t>
      </w:r>
      <w:r>
        <w:t xml:space="preserve">performance degradation for all active strategies as costs increase (Table </w:t>
      </w:r>
      <w:r w:rsidR="00C46859">
        <w:t>3</w:t>
      </w:r>
      <w:r>
        <w:t xml:space="preserve">). The Clenow </w:t>
      </w:r>
      <w:r w:rsidR="00F81315">
        <w:t xml:space="preserve">strategy </w:t>
      </w:r>
      <w:r w:rsidR="00051B85">
        <w:t>had a</w:t>
      </w:r>
      <w:r w:rsidR="00F81315">
        <w:t xml:space="preserve"> gross CAGRR of </w:t>
      </w:r>
      <w:r w:rsidR="00AA4C74">
        <w:t>30.8</w:t>
      </w:r>
      <w:r w:rsidR="00F81315">
        <w:t>% and 0.7</w:t>
      </w:r>
      <w:r w:rsidR="00AA4C74">
        <w:t>89</w:t>
      </w:r>
      <w:r w:rsidR="00F81315">
        <w:t xml:space="preserve"> Sharpe ratio in the zero-fee scenario </w:t>
      </w:r>
      <w:r w:rsidR="00E03D34">
        <w:t>2</w:t>
      </w:r>
      <w:r w:rsidR="00CF08D5">
        <w:t>9</w:t>
      </w:r>
      <w:r w:rsidR="00F81315">
        <w:t>% CAGR with 0.</w:t>
      </w:r>
      <w:r w:rsidR="00CF08D5">
        <w:t>748</w:t>
      </w:r>
      <w:r w:rsidR="00F81315">
        <w:t xml:space="preserve"> Sharpe ratio under baseline fees</w:t>
      </w:r>
      <w:r w:rsidR="003C0355">
        <w:t xml:space="preserve">. </w:t>
      </w:r>
      <w:r w:rsidR="00891299">
        <w:t xml:space="preserve">The ML and Hybrid strategies demonstrate resilience to </w:t>
      </w:r>
      <w:r w:rsidR="00891299">
        <w:lastRenderedPageBreak/>
        <w:t>fee variation</w:t>
      </w:r>
      <w:r w:rsidR="00CF10C9">
        <w:t xml:space="preserve"> as well</w:t>
      </w:r>
      <w:r w:rsidR="00891299">
        <w:t>, maintaining positive alpha even under maximum fee scenario. ML continued to perform</w:t>
      </w:r>
      <w:r w:rsidR="00CF10C9">
        <w:t xml:space="preserve"> well</w:t>
      </w:r>
      <w:r w:rsidR="00891299">
        <w:t xml:space="preserve"> with gross CAGR of </w:t>
      </w:r>
      <w:r w:rsidR="00CF10C9">
        <w:t>21.3</w:t>
      </w:r>
      <w:r w:rsidR="00891299">
        <w:t xml:space="preserve">% and </w:t>
      </w:r>
      <w:r w:rsidR="00CF10C9">
        <w:t>0.512</w:t>
      </w:r>
      <w:r w:rsidR="00891299">
        <w:t xml:space="preserve"> Sharpe ratio in the zero-fee scenario degrading to </w:t>
      </w:r>
      <w:r w:rsidR="00CF10C9">
        <w:t>19.4</w:t>
      </w:r>
      <w:r w:rsidR="00891299">
        <w:t xml:space="preserve">% CAGR with </w:t>
      </w:r>
      <w:r w:rsidR="00CF10C9">
        <w:t>0.472</w:t>
      </w:r>
      <w:r w:rsidR="00891299">
        <w:t xml:space="preserve"> Sharpe ratio under baseline fees. The fee sensitivity analysis confirms that monthly rebalancing frequency strikes an optimal balance between model </w:t>
      </w:r>
      <w:r w:rsidR="00A670BF">
        <w:t>adaptation</w:t>
      </w:r>
      <w:r w:rsidR="00891299">
        <w:t xml:space="preserve"> to changing market conditions and transaction cost minimization.</w:t>
      </w:r>
    </w:p>
    <w:p w14:paraId="452EED26" w14:textId="336332EF" w:rsidR="003C0355" w:rsidRDefault="003C0355" w:rsidP="003C0355">
      <w:pPr>
        <w:pStyle w:val="NormalWeb"/>
        <w:spacing w:line="480" w:lineRule="auto"/>
        <w:jc w:val="center"/>
        <w:rPr>
          <w:b/>
          <w:bCs/>
          <w:sz w:val="22"/>
          <w:szCs w:val="22"/>
        </w:rPr>
      </w:pPr>
      <w:r>
        <w:rPr>
          <w:b/>
          <w:bCs/>
          <w:sz w:val="22"/>
          <w:szCs w:val="22"/>
        </w:rPr>
        <w:t xml:space="preserve">Table </w:t>
      </w:r>
      <w:r w:rsidR="00C44046">
        <w:rPr>
          <w:b/>
          <w:bCs/>
          <w:sz w:val="22"/>
          <w:szCs w:val="22"/>
        </w:rPr>
        <w:t>3</w:t>
      </w:r>
      <w:r>
        <w:rPr>
          <w:b/>
          <w:bCs/>
          <w:sz w:val="22"/>
          <w:szCs w:val="22"/>
        </w:rPr>
        <w:t>: Fee Sensitivity Analysis</w:t>
      </w:r>
    </w:p>
    <w:p w14:paraId="406A8341" w14:textId="0C74F43D" w:rsidR="00C44046" w:rsidRPr="00891299" w:rsidRDefault="009C7C27" w:rsidP="00891299">
      <w:pPr>
        <w:pStyle w:val="NormalWeb"/>
        <w:spacing w:line="480" w:lineRule="auto"/>
        <w:jc w:val="center"/>
        <w:rPr>
          <w:b/>
          <w:bCs/>
          <w:sz w:val="22"/>
          <w:szCs w:val="22"/>
        </w:rPr>
      </w:pPr>
      <w:r w:rsidRPr="009C7C27">
        <w:rPr>
          <w:b/>
          <w:bCs/>
          <w:noProof/>
          <w:sz w:val="22"/>
          <w:szCs w:val="22"/>
        </w:rPr>
        <w:drawing>
          <wp:inline distT="0" distB="0" distL="0" distR="0" wp14:anchorId="7DCA7E08" wp14:editId="4D813381">
            <wp:extent cx="3337849" cy="3452159"/>
            <wp:effectExtent l="0" t="0" r="0" b="0"/>
            <wp:docPr id="1607000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0372" name="Picture 1" descr="A screenshot of a computer&#10;&#10;AI-generated content may be incorrect."/>
                    <pic:cNvPicPr/>
                  </pic:nvPicPr>
                  <pic:blipFill>
                    <a:blip r:embed="rId8"/>
                    <a:stretch>
                      <a:fillRect/>
                    </a:stretch>
                  </pic:blipFill>
                  <pic:spPr>
                    <a:xfrm>
                      <a:off x="0" y="0"/>
                      <a:ext cx="3337849" cy="3452159"/>
                    </a:xfrm>
                    <a:prstGeom prst="rect">
                      <a:avLst/>
                    </a:prstGeom>
                  </pic:spPr>
                </pic:pic>
              </a:graphicData>
            </a:graphic>
          </wp:inline>
        </w:drawing>
      </w:r>
    </w:p>
    <w:p w14:paraId="0369CE7B" w14:textId="1E92AB2A" w:rsidR="00FA61FD" w:rsidRDefault="00FA61FD" w:rsidP="006871FB">
      <w:pPr>
        <w:pStyle w:val="NormalWeb"/>
        <w:spacing w:line="480" w:lineRule="auto"/>
      </w:pPr>
      <w:r>
        <w:tab/>
        <w:t>The multi-path Monte Carlo simulation across 200 synthetic market scenarios quantifies the distribution of expected returns with statistical properties matching the historical ATTF portfolio</w:t>
      </w:r>
      <w:r w:rsidR="00737629">
        <w:t xml:space="preserve">. Results demonstrate substantial path-dependence, with median outcomes providing more conservative performance expectations than single-path historical backtests (Table </w:t>
      </w:r>
      <w:r w:rsidR="003171DC">
        <w:t>4</w:t>
      </w:r>
      <w:r w:rsidR="00737629">
        <w:t>). The buy-and-hold strategy exhibits median CAGR of 16.</w:t>
      </w:r>
      <w:r w:rsidR="00C73131">
        <w:t>09</w:t>
      </w:r>
      <w:r w:rsidR="00737629">
        <w:t>% with 0.</w:t>
      </w:r>
      <w:r w:rsidR="00C73131">
        <w:t>677</w:t>
      </w:r>
      <w:r w:rsidR="00737629">
        <w:t xml:space="preserve"> Sharpe ratio, showing moderate variability with 18.82 percentage point spread between pessimistic and optimistic. </w:t>
      </w:r>
      <w:r w:rsidR="00543B93">
        <w:t xml:space="preserve">The </w:t>
      </w:r>
      <w:r w:rsidR="00543B93">
        <w:lastRenderedPageBreak/>
        <w:t>median outcome exceeds SPY’s historical 1</w:t>
      </w:r>
      <w:r w:rsidR="00D445A7">
        <w:t>2.28</w:t>
      </w:r>
      <w:r w:rsidR="00543B93">
        <w:t xml:space="preserve">% CAGR, reflecting the ATTF portfolio’s higher beta and concentration in high-growth technology sectors experiencing secular tailwinds during the sample period. </w:t>
      </w:r>
    </w:p>
    <w:p w14:paraId="41781649" w14:textId="40E989F0" w:rsidR="00543B93" w:rsidRDefault="00543B93" w:rsidP="00543B93">
      <w:pPr>
        <w:pStyle w:val="NormalWeb"/>
        <w:spacing w:line="480" w:lineRule="auto"/>
        <w:jc w:val="center"/>
        <w:rPr>
          <w:b/>
          <w:bCs/>
          <w:sz w:val="22"/>
          <w:szCs w:val="22"/>
        </w:rPr>
      </w:pPr>
      <w:r>
        <w:rPr>
          <w:b/>
          <w:bCs/>
          <w:sz w:val="22"/>
          <w:szCs w:val="22"/>
        </w:rPr>
        <w:t xml:space="preserve">Table </w:t>
      </w:r>
      <w:r w:rsidR="003171DC">
        <w:rPr>
          <w:b/>
          <w:bCs/>
          <w:sz w:val="22"/>
          <w:szCs w:val="22"/>
        </w:rPr>
        <w:t>4</w:t>
      </w:r>
      <w:r>
        <w:rPr>
          <w:b/>
          <w:bCs/>
          <w:sz w:val="22"/>
          <w:szCs w:val="22"/>
        </w:rPr>
        <w:t>: Multi-Path Monte Carlo Simulation</w:t>
      </w:r>
    </w:p>
    <w:p w14:paraId="751F2C01" w14:textId="5F4BB24A" w:rsidR="00543B93" w:rsidRDefault="001F452C" w:rsidP="00543B93">
      <w:pPr>
        <w:pStyle w:val="NormalWeb"/>
        <w:spacing w:line="480" w:lineRule="auto"/>
        <w:jc w:val="center"/>
        <w:rPr>
          <w:b/>
          <w:bCs/>
          <w:sz w:val="22"/>
          <w:szCs w:val="22"/>
        </w:rPr>
      </w:pPr>
      <w:r w:rsidRPr="001F452C">
        <w:rPr>
          <w:b/>
          <w:bCs/>
          <w:noProof/>
          <w:sz w:val="22"/>
          <w:szCs w:val="22"/>
        </w:rPr>
        <w:drawing>
          <wp:inline distT="0" distB="0" distL="0" distR="0" wp14:anchorId="7603AA61" wp14:editId="3C67105A">
            <wp:extent cx="2865368" cy="3596952"/>
            <wp:effectExtent l="0" t="0" r="0" b="3810"/>
            <wp:docPr id="480990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0683" name="Picture 1" descr="A screenshot of a computer&#10;&#10;AI-generated content may be incorrect."/>
                    <pic:cNvPicPr/>
                  </pic:nvPicPr>
                  <pic:blipFill>
                    <a:blip r:embed="rId9"/>
                    <a:stretch>
                      <a:fillRect/>
                    </a:stretch>
                  </pic:blipFill>
                  <pic:spPr>
                    <a:xfrm>
                      <a:off x="0" y="0"/>
                      <a:ext cx="2865368" cy="3596952"/>
                    </a:xfrm>
                    <a:prstGeom prst="rect">
                      <a:avLst/>
                    </a:prstGeom>
                  </pic:spPr>
                </pic:pic>
              </a:graphicData>
            </a:graphic>
          </wp:inline>
        </w:drawing>
      </w:r>
    </w:p>
    <w:p w14:paraId="7C4F0DB1" w14:textId="625D48D1" w:rsidR="00361AAB" w:rsidRDefault="00C0456F" w:rsidP="00F84BF5">
      <w:pPr>
        <w:pStyle w:val="NormalWeb"/>
        <w:spacing w:line="480" w:lineRule="auto"/>
        <w:ind w:firstLine="720"/>
      </w:pPr>
      <w:r>
        <w:t xml:space="preserve">Momentum </w:t>
      </w:r>
      <w:r w:rsidR="008B0AB0">
        <w:t xml:space="preserve">exhibits substantial path-dependence across synthetic scenarios, with median CAGR of </w:t>
      </w:r>
      <w:r w:rsidR="000E5B6E">
        <w:t>9.63</w:t>
      </w:r>
      <w:r w:rsidR="008B0AB0">
        <w:t>% and 0.</w:t>
      </w:r>
      <w:r w:rsidR="000E5B6E">
        <w:t>491</w:t>
      </w:r>
      <w:r w:rsidR="008B0AB0">
        <w:t xml:space="preserve"> Sharpe ratio falling below buy-and-hold</w:t>
      </w:r>
      <w:r w:rsidR="000E5B6E">
        <w:t xml:space="preserve">’s. </w:t>
      </w:r>
      <w:r w:rsidR="008B0AB0">
        <w:t xml:space="preserve">This degradation suggests that transaction costs and whipsaw losses erode momentum’s theoretical edge across typical market scenarios. The </w:t>
      </w:r>
      <w:r w:rsidR="003435B0">
        <w:t>18-percentage</w:t>
      </w:r>
      <w:r w:rsidR="008B0AB0">
        <w:t xml:space="preserve"> point spread between </w:t>
      </w:r>
      <w:r w:rsidR="00FF525B">
        <w:t>pessimistic and optimistic indicates substantial outcome uncertainty</w:t>
      </w:r>
      <w:r w:rsidR="001A0E71">
        <w:t>.</w:t>
      </w:r>
      <w:r w:rsidR="00361AAB">
        <w:t xml:space="preserve"> </w:t>
      </w:r>
      <w:r w:rsidR="00F9311B">
        <w:t xml:space="preserve">ML was not included in the Monte Carlo simulation due to computational intensity constraints. </w:t>
      </w:r>
      <w:r w:rsidR="00323306">
        <w:t xml:space="preserve">The Monte Carlo analysis validates buy-and-hold’s stable median performance reflecting its simplicity and lack of parameter dependencies. In contrast, the </w:t>
      </w:r>
      <w:r w:rsidR="00323306">
        <w:lastRenderedPageBreak/>
        <w:t>hybrid strategy’s poor median outcome despite strong historical results suggests its regime detection framework lacks the adaptability necessary to maintain performance across diverse scenarios characterized by different regime timing, transition frequencies, and state-dependent return characteristics.</w:t>
      </w:r>
    </w:p>
    <w:p w14:paraId="09E091B4" w14:textId="552DF9EC" w:rsidR="00BF6611" w:rsidRPr="00BF6611" w:rsidRDefault="00BF6611" w:rsidP="00BF6611">
      <w:pPr>
        <w:pStyle w:val="NormalWeb"/>
        <w:spacing w:line="480" w:lineRule="auto"/>
        <w:ind w:firstLine="720"/>
        <w:jc w:val="center"/>
        <w:rPr>
          <w:b/>
          <w:bCs/>
          <w:sz w:val="22"/>
          <w:szCs w:val="22"/>
        </w:rPr>
      </w:pPr>
      <w:r>
        <w:rPr>
          <w:b/>
          <w:bCs/>
          <w:sz w:val="22"/>
          <w:szCs w:val="22"/>
        </w:rPr>
        <w:t>Figure 1: Cumulative Returns: All Strategies vs Benchmarks (2014-2025) Net of All Fees</w:t>
      </w:r>
    </w:p>
    <w:p w14:paraId="33C3B374" w14:textId="0AB13D4C" w:rsidR="008327F4" w:rsidRDefault="007F6517" w:rsidP="00BF6611">
      <w:pPr>
        <w:pStyle w:val="NormalWeb"/>
        <w:spacing w:line="480" w:lineRule="auto"/>
        <w:ind w:firstLine="720"/>
        <w:jc w:val="center"/>
      </w:pPr>
      <w:r w:rsidRPr="007F6517">
        <w:rPr>
          <w:noProof/>
        </w:rPr>
        <w:drawing>
          <wp:inline distT="0" distB="0" distL="0" distR="0" wp14:anchorId="4C8945C7" wp14:editId="06E33623">
            <wp:extent cx="5943600" cy="3424555"/>
            <wp:effectExtent l="0" t="0" r="0" b="4445"/>
            <wp:docPr id="2092199910" name="Picture 1"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99910" name="Picture 1" descr="A graph of stock market&#10;&#10;AI-generated content may be incorrect."/>
                    <pic:cNvPicPr/>
                  </pic:nvPicPr>
                  <pic:blipFill>
                    <a:blip r:embed="rId10"/>
                    <a:stretch>
                      <a:fillRect/>
                    </a:stretch>
                  </pic:blipFill>
                  <pic:spPr>
                    <a:xfrm>
                      <a:off x="0" y="0"/>
                      <a:ext cx="5943600" cy="3424555"/>
                    </a:xfrm>
                    <a:prstGeom prst="rect">
                      <a:avLst/>
                    </a:prstGeom>
                  </pic:spPr>
                </pic:pic>
              </a:graphicData>
            </a:graphic>
          </wp:inline>
        </w:drawing>
      </w:r>
    </w:p>
    <w:p w14:paraId="3188BCEA" w14:textId="6E393F4A" w:rsidR="005E5421" w:rsidRDefault="000A3E71" w:rsidP="0005575A">
      <w:pPr>
        <w:pStyle w:val="NormalWeb"/>
        <w:spacing w:line="480" w:lineRule="auto"/>
        <w:ind w:firstLine="720"/>
      </w:pPr>
      <w:r>
        <w:t xml:space="preserve">The cumulative performance comparison </w:t>
      </w:r>
      <w:r w:rsidR="00DE5EC5">
        <w:t xml:space="preserve">(Figure 1) </w:t>
      </w:r>
      <w:r>
        <w:t xml:space="preserve">illustrates </w:t>
      </w:r>
      <w:r w:rsidR="00730BB5">
        <w:t xml:space="preserve">Clenow’s </w:t>
      </w:r>
      <w:r>
        <w:t>outperformance across the sample period. The log-scale visualization reveals that ML’s exponential growth trajectory accelerated particularly from 202</w:t>
      </w:r>
      <w:r w:rsidR="00730BB5">
        <w:t>2</w:t>
      </w:r>
      <w:r>
        <w:t xml:space="preserve"> onward coinciding with the AI investment boom and the strategy’s ability to concentrate capital in NVDA, MSFT, and AMD during their explosive growth phase when datacenter GPU demand surged. In contrast, Clenow experienced </w:t>
      </w:r>
      <w:r w:rsidR="00730BB5">
        <w:t xml:space="preserve">less </w:t>
      </w:r>
      <w:r>
        <w:t>violent oscillations</w:t>
      </w:r>
      <w:r w:rsidR="00092A91">
        <w:t xml:space="preserve">, while SPY and equal-weight benchmarks delivered steady but unspectacular </w:t>
      </w:r>
      <w:r w:rsidR="00B94D4B">
        <w:t>wealth accumulation tracking broad technology sector growth.</w:t>
      </w:r>
    </w:p>
    <w:p w14:paraId="4F02BE05" w14:textId="12695DED" w:rsidR="00AD4A59" w:rsidRDefault="00AD4A59" w:rsidP="00AD4A59">
      <w:pPr>
        <w:pStyle w:val="NormalWeb"/>
        <w:spacing w:line="480" w:lineRule="auto"/>
        <w:ind w:firstLine="720"/>
      </w:pPr>
      <w:r>
        <w:lastRenderedPageBreak/>
        <w:t>Extended backtesting using weighted sector proxy ETFs for the pre-2015 period enables comprehensive strategy validation across 26 years spanning complete market cycles including the dot-com crash and Great Financial Crisis. The extended sample provides critical perspective on strategy robustness and realistic long-term performance expectations beyond the exceptional 2014-2025 technology bull market.</w:t>
      </w:r>
    </w:p>
    <w:p w14:paraId="57C3EE28" w14:textId="20D1544D" w:rsidR="00702BCB" w:rsidRPr="00702BCB" w:rsidRDefault="00702BCB" w:rsidP="00702BCB">
      <w:pPr>
        <w:pStyle w:val="NormalWeb"/>
        <w:spacing w:line="480" w:lineRule="auto"/>
        <w:ind w:firstLine="720"/>
        <w:jc w:val="center"/>
        <w:rPr>
          <w:b/>
          <w:bCs/>
          <w:sz w:val="22"/>
          <w:szCs w:val="22"/>
        </w:rPr>
      </w:pPr>
      <w:r>
        <w:rPr>
          <w:b/>
          <w:bCs/>
          <w:sz w:val="22"/>
          <w:szCs w:val="22"/>
        </w:rPr>
        <w:t>Table 5: Extended Backtesting Across All Strategies</w:t>
      </w:r>
    </w:p>
    <w:p w14:paraId="2FFD00C0" w14:textId="1F840E59" w:rsidR="004069CD" w:rsidRPr="00B94D4B" w:rsidRDefault="00CB15B9" w:rsidP="004069CD">
      <w:pPr>
        <w:pStyle w:val="NormalWeb"/>
        <w:spacing w:line="480" w:lineRule="auto"/>
      </w:pPr>
      <w:r w:rsidRPr="00CB15B9">
        <w:rPr>
          <w:rFonts w:asciiTheme="minorHAnsi" w:eastAsiaTheme="minorHAnsi" w:hAnsiTheme="minorHAnsi" w:cstheme="minorBidi"/>
          <w:noProof/>
          <w:kern w:val="2"/>
        </w:rPr>
        <w:drawing>
          <wp:inline distT="0" distB="0" distL="0" distR="0" wp14:anchorId="581F7156" wp14:editId="7D1B47B6">
            <wp:extent cx="2080440" cy="3398815"/>
            <wp:effectExtent l="0" t="0" r="0" b="0"/>
            <wp:docPr id="1985381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81379" name="Picture 1" descr="A screenshot of a computer&#10;&#10;AI-generated content may be incorrect."/>
                    <pic:cNvPicPr/>
                  </pic:nvPicPr>
                  <pic:blipFill>
                    <a:blip r:embed="rId11"/>
                    <a:stretch>
                      <a:fillRect/>
                    </a:stretch>
                  </pic:blipFill>
                  <pic:spPr>
                    <a:xfrm>
                      <a:off x="0" y="0"/>
                      <a:ext cx="2080440" cy="3398815"/>
                    </a:xfrm>
                    <a:prstGeom prst="rect">
                      <a:avLst/>
                    </a:prstGeom>
                  </pic:spPr>
                </pic:pic>
              </a:graphicData>
            </a:graphic>
          </wp:inline>
        </w:drawing>
      </w:r>
      <w:r w:rsidR="00702BCB" w:rsidRPr="00702BCB">
        <w:rPr>
          <w:rFonts w:asciiTheme="minorHAnsi" w:eastAsiaTheme="minorHAnsi" w:hAnsiTheme="minorHAnsi" w:cstheme="minorBidi"/>
          <w:noProof/>
          <w:kern w:val="2"/>
        </w:rPr>
        <w:t xml:space="preserve"> </w:t>
      </w:r>
      <w:r w:rsidR="00E02C8D" w:rsidRPr="00E02C8D">
        <w:rPr>
          <w:rFonts w:asciiTheme="minorHAnsi" w:eastAsiaTheme="minorHAnsi" w:hAnsiTheme="minorHAnsi" w:cstheme="minorBidi"/>
          <w:noProof/>
          <w:kern w:val="2"/>
        </w:rPr>
        <w:drawing>
          <wp:inline distT="0" distB="0" distL="0" distR="0" wp14:anchorId="28272A73" wp14:editId="308815E0">
            <wp:extent cx="2804403" cy="1409822"/>
            <wp:effectExtent l="0" t="0" r="0" b="0"/>
            <wp:docPr id="1830551160"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51160" name="Picture 1" descr="A screenshot of a calculator&#10;&#10;AI-generated content may be incorrect."/>
                    <pic:cNvPicPr/>
                  </pic:nvPicPr>
                  <pic:blipFill>
                    <a:blip r:embed="rId12"/>
                    <a:stretch>
                      <a:fillRect/>
                    </a:stretch>
                  </pic:blipFill>
                  <pic:spPr>
                    <a:xfrm>
                      <a:off x="0" y="0"/>
                      <a:ext cx="2804403" cy="1409822"/>
                    </a:xfrm>
                    <a:prstGeom prst="rect">
                      <a:avLst/>
                    </a:prstGeom>
                  </pic:spPr>
                </pic:pic>
              </a:graphicData>
            </a:graphic>
          </wp:inline>
        </w:drawing>
      </w:r>
    </w:p>
    <w:p w14:paraId="24EBB580" w14:textId="23968944" w:rsidR="00294FE5" w:rsidRPr="00294FE5" w:rsidRDefault="00294FE5" w:rsidP="00E24B72">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The ML strategy, while not as impressive as the 2014-2025 bull run, still delivered impressive CAGR at 24.06% with 0.69</w:t>
      </w:r>
      <w:r w:rsidR="00060746">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 xml:space="preserve"> Sharpe</w:t>
      </w:r>
      <w:r w:rsidR="00060746">
        <w:rPr>
          <w:rFonts w:ascii="Times New Roman" w:eastAsia="Times New Roman" w:hAnsi="Times New Roman" w:cs="Times New Roman"/>
          <w:kern w:val="0"/>
          <w14:ligatures w14:val="none"/>
        </w:rPr>
        <w:t xml:space="preserve">, above all other strategies and benchmarks. </w:t>
      </w:r>
      <w:r w:rsidR="00F32F36">
        <w:rPr>
          <w:rFonts w:ascii="Times New Roman" w:eastAsia="Times New Roman" w:hAnsi="Times New Roman" w:cs="Times New Roman"/>
          <w:kern w:val="0"/>
          <w14:ligatures w14:val="none"/>
        </w:rPr>
        <w:t xml:space="preserve">This shows that the ML strategy can successfully navigate even the </w:t>
      </w:r>
      <w:r w:rsidR="0019264B">
        <w:rPr>
          <w:rFonts w:ascii="Times New Roman" w:eastAsia="Times New Roman" w:hAnsi="Times New Roman" w:cs="Times New Roman"/>
          <w:kern w:val="0"/>
          <w14:ligatures w14:val="none"/>
        </w:rPr>
        <w:t>greatest</w:t>
      </w:r>
      <w:r w:rsidR="00F32F36">
        <w:rPr>
          <w:rFonts w:ascii="Times New Roman" w:eastAsia="Times New Roman" w:hAnsi="Times New Roman" w:cs="Times New Roman"/>
          <w:kern w:val="0"/>
          <w14:ligatures w14:val="none"/>
        </w:rPr>
        <w:t xml:space="preserve"> downturns</w:t>
      </w:r>
      <w:r w:rsidR="00CD2245">
        <w:rPr>
          <w:rFonts w:ascii="Times New Roman" w:eastAsia="Times New Roman" w:hAnsi="Times New Roman" w:cs="Times New Roman"/>
          <w:kern w:val="0"/>
          <w14:ligatures w14:val="none"/>
        </w:rPr>
        <w:t xml:space="preserve"> as well as outperform Clenow over the long-term</w:t>
      </w:r>
      <w:r w:rsidR="0019264B">
        <w:rPr>
          <w:rFonts w:ascii="Times New Roman" w:eastAsia="Times New Roman" w:hAnsi="Times New Roman" w:cs="Times New Roman"/>
          <w:kern w:val="0"/>
          <w14:ligatures w14:val="none"/>
        </w:rPr>
        <w:t xml:space="preserve">. Additionally, an Aggressive Hybrid implementation, allocating 100% in Bull and Sideways regimes to ML and 50/50 split between ML and cash in Bear, achieved a 13.02% CAGR with 0.76 Sharpe, suggesting that more aggressive ML </w:t>
      </w:r>
      <w:r w:rsidR="0019264B">
        <w:rPr>
          <w:rFonts w:ascii="Times New Roman" w:eastAsia="Times New Roman" w:hAnsi="Times New Roman" w:cs="Times New Roman"/>
          <w:kern w:val="0"/>
          <w14:ligatures w14:val="none"/>
        </w:rPr>
        <w:lastRenderedPageBreak/>
        <w:t>allocation during non-Bear regimes improves long-term performance versus the conservative Original Hybrid. However maximum drawdown exceeded the Original Hybrid’s, confirming the risk-return tradeoff inherent in tactical allocation strategies.</w:t>
      </w:r>
      <w:r w:rsidR="00776D68">
        <w:rPr>
          <w:rFonts w:ascii="Times New Roman" w:eastAsia="Times New Roman" w:hAnsi="Times New Roman" w:cs="Times New Roman"/>
          <w:kern w:val="0"/>
          <w14:ligatures w14:val="none"/>
        </w:rPr>
        <w:t xml:space="preserve"> Tech momentum (3-month signal) delivers </w:t>
      </w:r>
      <w:r w:rsidR="00F56B81">
        <w:rPr>
          <w:rFonts w:ascii="Times New Roman" w:eastAsia="Times New Roman" w:hAnsi="Times New Roman" w:cs="Times New Roman"/>
          <w:kern w:val="0"/>
          <w14:ligatures w14:val="none"/>
        </w:rPr>
        <w:t xml:space="preserve">almost as strong a CAGR as ML at 21.76% with a 1.40 Sharpe, </w:t>
      </w:r>
      <w:r w:rsidR="0024758E">
        <w:rPr>
          <w:rFonts w:ascii="Times New Roman" w:eastAsia="Times New Roman" w:hAnsi="Times New Roman" w:cs="Times New Roman"/>
          <w:kern w:val="0"/>
          <w14:ligatures w14:val="none"/>
        </w:rPr>
        <w:t xml:space="preserve">but </w:t>
      </w:r>
      <w:r w:rsidR="00C013D9">
        <w:rPr>
          <w:rFonts w:ascii="Times New Roman" w:eastAsia="Times New Roman" w:hAnsi="Times New Roman" w:cs="Times New Roman"/>
          <w:kern w:val="0"/>
          <w14:ligatures w14:val="none"/>
        </w:rPr>
        <w:t xml:space="preserve">it </w:t>
      </w:r>
      <w:r w:rsidR="0024758E">
        <w:rPr>
          <w:rFonts w:ascii="Times New Roman" w:eastAsia="Times New Roman" w:hAnsi="Times New Roman" w:cs="Times New Roman"/>
          <w:kern w:val="0"/>
          <w14:ligatures w14:val="none"/>
        </w:rPr>
        <w:t>still underperformed</w:t>
      </w:r>
      <w:r w:rsidR="00F56B81">
        <w:rPr>
          <w:rFonts w:ascii="Times New Roman" w:eastAsia="Times New Roman" w:hAnsi="Times New Roman" w:cs="Times New Roman"/>
          <w:kern w:val="0"/>
          <w14:ligatures w14:val="none"/>
        </w:rPr>
        <w:t xml:space="preserve"> the monthly Clenow implementation</w:t>
      </w:r>
      <w:r w:rsidR="009376FB">
        <w:rPr>
          <w:rFonts w:ascii="Times New Roman" w:eastAsia="Times New Roman" w:hAnsi="Times New Roman" w:cs="Times New Roman"/>
          <w:kern w:val="0"/>
          <w14:ligatures w14:val="none"/>
        </w:rPr>
        <w:t xml:space="preserve"> on the 2014-2025 timeframe. The quarterly momentum approach exhibits superior drawdown characteristics compared to monthly rebalancing, suggesting that longer momentum horizons reduce whipsaw losses during market transitions.</w:t>
      </w:r>
      <w:r w:rsidR="00DD42CA">
        <w:rPr>
          <w:rFonts w:ascii="Times New Roman" w:eastAsia="Times New Roman" w:hAnsi="Times New Roman" w:cs="Times New Roman"/>
          <w:kern w:val="0"/>
          <w14:ligatures w14:val="none"/>
        </w:rPr>
        <w:t xml:space="preserve"> This finding indicates that momentum strategy performance depends critically on rebalancing frequency optimization, with quarterly signals potentially offering better risk-adjusted returns than monthly implementation for the ATTF. The extended validation provides realistic baseline for investor expectat</w:t>
      </w:r>
      <w:r w:rsidR="003842D2">
        <w:rPr>
          <w:rFonts w:ascii="Times New Roman" w:eastAsia="Times New Roman" w:hAnsi="Times New Roman" w:cs="Times New Roman"/>
          <w:kern w:val="0"/>
          <w14:ligatures w14:val="none"/>
        </w:rPr>
        <w:t>ions, and even though the ML strategy’s sustainable long-term CAGR of roughly 20-30% is drastically lower than the 100</w:t>
      </w:r>
      <w:r w:rsidR="00E45158">
        <w:rPr>
          <w:rFonts w:ascii="Times New Roman" w:eastAsia="Times New Roman" w:hAnsi="Times New Roman" w:cs="Times New Roman"/>
          <w:kern w:val="0"/>
          <w14:ligatures w14:val="none"/>
        </w:rPr>
        <w:t>% plus during the AI boom, this still represents exceptional performance versus passive alternatives.</w:t>
      </w:r>
    </w:p>
    <w:p w14:paraId="5DA8DD12" w14:textId="4D281648" w:rsidR="00E24B72" w:rsidRPr="000B710C" w:rsidRDefault="00E24B72" w:rsidP="00E24B72">
      <w:pPr>
        <w:spacing w:before="100" w:beforeAutospacing="1" w:after="100" w:afterAutospacing="1" w:line="480" w:lineRule="auto"/>
        <w:rPr>
          <w:rFonts w:ascii="Times New Roman" w:eastAsia="Times New Roman" w:hAnsi="Times New Roman" w:cs="Times New Roman"/>
          <w:b/>
          <w:bCs/>
          <w:kern w:val="0"/>
          <w:sz w:val="32"/>
          <w:szCs w:val="32"/>
          <w14:ligatures w14:val="none"/>
        </w:rPr>
      </w:pPr>
      <w:r w:rsidRPr="000B710C">
        <w:rPr>
          <w:rFonts w:ascii="Times New Roman" w:eastAsia="Times New Roman" w:hAnsi="Times New Roman" w:cs="Times New Roman"/>
          <w:b/>
          <w:bCs/>
          <w:kern w:val="0"/>
          <w:sz w:val="32"/>
          <w:szCs w:val="32"/>
          <w14:ligatures w14:val="none"/>
        </w:rPr>
        <w:t>Conclusion</w:t>
      </w:r>
    </w:p>
    <w:p w14:paraId="4A577B9E" w14:textId="3E14D056" w:rsidR="00764BB5" w:rsidRDefault="00E24B72" w:rsidP="0010363D">
      <w:pPr>
        <w:spacing w:before="100" w:beforeAutospacing="1" w:after="100" w:afterAutospacing="1" w:line="480" w:lineRule="auto"/>
        <w:rPr>
          <w:rFonts w:ascii="Times New Roman" w:eastAsia="Times New Roman" w:hAnsi="Times New Roman" w:cs="Times New Roman"/>
          <w:kern w:val="0"/>
          <w14:ligatures w14:val="none"/>
        </w:rPr>
      </w:pPr>
      <w:r w:rsidRPr="000B710C">
        <w:rPr>
          <w:rFonts w:ascii="Times New Roman" w:eastAsia="Times New Roman" w:hAnsi="Times New Roman" w:cs="Times New Roman"/>
          <w:kern w:val="0"/>
          <w14:ligatures w14:val="none"/>
        </w:rPr>
        <w:tab/>
      </w:r>
      <w:r w:rsidR="0010363D" w:rsidRPr="0010363D">
        <w:rPr>
          <w:rFonts w:ascii="Times New Roman" w:eastAsia="Times New Roman" w:hAnsi="Times New Roman" w:cs="Times New Roman"/>
          <w:kern w:val="0"/>
          <w14:ligatures w14:val="none"/>
        </w:rPr>
        <w:t>Checkpoint C demonstrates that quantitative portfolio optimization and alg</w:t>
      </w:r>
      <w:r w:rsidR="0010363D">
        <w:rPr>
          <w:rFonts w:ascii="Times New Roman" w:eastAsia="Times New Roman" w:hAnsi="Times New Roman" w:cs="Times New Roman"/>
          <w:kern w:val="0"/>
          <w14:ligatures w14:val="none"/>
        </w:rPr>
        <w:t xml:space="preserve">orithmic trading strategies deliver substantial value for managing transformational technology exposures when </w:t>
      </w:r>
      <w:r w:rsidR="002249AF">
        <w:rPr>
          <w:rFonts w:ascii="Times New Roman" w:eastAsia="Times New Roman" w:hAnsi="Times New Roman" w:cs="Times New Roman"/>
          <w:kern w:val="0"/>
          <w14:ligatures w14:val="none"/>
        </w:rPr>
        <w:t xml:space="preserve">strategies are carefully selected, rigorously validated, and appropriately matched to market characteristics. </w:t>
      </w:r>
      <w:r w:rsidR="005279C3">
        <w:rPr>
          <w:rFonts w:ascii="Times New Roman" w:eastAsia="Times New Roman" w:hAnsi="Times New Roman" w:cs="Times New Roman"/>
          <w:kern w:val="0"/>
          <w14:ligatures w14:val="none"/>
        </w:rPr>
        <w:t xml:space="preserve">Clenow became the dominant strategy in the expanded ATTF universe. </w:t>
      </w:r>
      <w:r w:rsidR="002249AF">
        <w:rPr>
          <w:rFonts w:ascii="Times New Roman" w:eastAsia="Times New Roman" w:hAnsi="Times New Roman" w:cs="Times New Roman"/>
          <w:kern w:val="0"/>
          <w14:ligatures w14:val="none"/>
        </w:rPr>
        <w:t>ML and hybrid strategies performed well, however</w:t>
      </w:r>
      <w:r w:rsidR="005011FC">
        <w:rPr>
          <w:rFonts w:ascii="Times New Roman" w:eastAsia="Times New Roman" w:hAnsi="Times New Roman" w:cs="Times New Roman"/>
          <w:kern w:val="0"/>
          <w14:ligatures w14:val="none"/>
        </w:rPr>
        <w:t>,</w:t>
      </w:r>
      <w:r w:rsidR="002249AF">
        <w:rPr>
          <w:rFonts w:ascii="Times New Roman" w:eastAsia="Times New Roman" w:hAnsi="Times New Roman" w:cs="Times New Roman"/>
          <w:kern w:val="0"/>
          <w14:ligatures w14:val="none"/>
        </w:rPr>
        <w:t xml:space="preserve"> </w:t>
      </w:r>
      <w:r w:rsidR="005279C3">
        <w:rPr>
          <w:rFonts w:ascii="Times New Roman" w:eastAsia="Times New Roman" w:hAnsi="Times New Roman" w:cs="Times New Roman"/>
          <w:kern w:val="0"/>
          <w14:ligatures w14:val="none"/>
        </w:rPr>
        <w:t xml:space="preserve">lower after look-ahead bias was resolved. </w:t>
      </w:r>
      <w:r w:rsidR="002249AF">
        <w:rPr>
          <w:rFonts w:ascii="Times New Roman" w:eastAsia="Times New Roman" w:hAnsi="Times New Roman" w:cs="Times New Roman"/>
          <w:kern w:val="0"/>
          <w14:ligatures w14:val="none"/>
        </w:rPr>
        <w:t>Mean-</w:t>
      </w:r>
      <w:r w:rsidR="005279C3">
        <w:rPr>
          <w:rFonts w:ascii="Times New Roman" w:eastAsia="Times New Roman" w:hAnsi="Times New Roman" w:cs="Times New Roman"/>
          <w:kern w:val="0"/>
          <w14:ligatures w14:val="none"/>
        </w:rPr>
        <w:t>R</w:t>
      </w:r>
      <w:r w:rsidR="002249AF">
        <w:rPr>
          <w:rFonts w:ascii="Times New Roman" w:eastAsia="Times New Roman" w:hAnsi="Times New Roman" w:cs="Times New Roman"/>
          <w:kern w:val="0"/>
          <w14:ligatures w14:val="none"/>
        </w:rPr>
        <w:t xml:space="preserve">eversion failed </w:t>
      </w:r>
      <w:r w:rsidR="00CE2DDC">
        <w:rPr>
          <w:rFonts w:ascii="Times New Roman" w:eastAsia="Times New Roman" w:hAnsi="Times New Roman" w:cs="Times New Roman"/>
          <w:kern w:val="0"/>
          <w14:ligatures w14:val="none"/>
        </w:rPr>
        <w:t>to produce necessary alpha to make it an appropriate trading strategy. Pairs trading delivered negative returns due to lack of cointegration stability among correlated securities</w:t>
      </w:r>
      <w:r w:rsidR="00743550">
        <w:rPr>
          <w:rFonts w:ascii="Times New Roman" w:eastAsia="Times New Roman" w:hAnsi="Times New Roman" w:cs="Times New Roman"/>
          <w:kern w:val="0"/>
          <w14:ligatures w14:val="none"/>
        </w:rPr>
        <w:t xml:space="preserve">. </w:t>
      </w:r>
      <w:r w:rsidR="00CE2DDC">
        <w:rPr>
          <w:rFonts w:ascii="Times New Roman" w:eastAsia="Times New Roman" w:hAnsi="Times New Roman" w:cs="Times New Roman"/>
          <w:kern w:val="0"/>
          <w14:ligatures w14:val="none"/>
        </w:rPr>
        <w:t xml:space="preserve">These results provide valuable empirical evidence that guides strategy selection for </w:t>
      </w:r>
      <w:r w:rsidR="00CE2DDC">
        <w:rPr>
          <w:rFonts w:ascii="Times New Roman" w:eastAsia="Times New Roman" w:hAnsi="Times New Roman" w:cs="Times New Roman"/>
          <w:kern w:val="0"/>
          <w14:ligatures w14:val="none"/>
        </w:rPr>
        <w:lastRenderedPageBreak/>
        <w:t>the ATTF mandate by eliminating approaches fundamentally unsuited to momentum-driven innovation sectors, preventing costly capital deployment in strategies destined to fail.</w:t>
      </w:r>
    </w:p>
    <w:p w14:paraId="51BCCBD0" w14:textId="2474B06E" w:rsidR="00764BB5" w:rsidRDefault="00737C1C" w:rsidP="00737C1C">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 xml:space="preserve">Several key findings emerge from the comprehensive analysis conducted </w:t>
      </w:r>
      <w:r w:rsidR="00181D1A">
        <w:rPr>
          <w:rFonts w:ascii="Times New Roman" w:eastAsia="Times New Roman" w:hAnsi="Times New Roman" w:cs="Times New Roman"/>
          <w:kern w:val="0"/>
          <w14:ligatures w14:val="none"/>
        </w:rPr>
        <w:t>in</w:t>
      </w:r>
      <w:r>
        <w:rPr>
          <w:rFonts w:ascii="Times New Roman" w:eastAsia="Times New Roman" w:hAnsi="Times New Roman" w:cs="Times New Roman"/>
          <w:kern w:val="0"/>
          <w14:ligatures w14:val="none"/>
        </w:rPr>
        <w:t xml:space="preserve"> Checkpoint C. </w:t>
      </w:r>
      <w:r w:rsidR="000C3231">
        <w:rPr>
          <w:rFonts w:ascii="Times New Roman" w:eastAsia="Times New Roman" w:hAnsi="Times New Roman" w:cs="Times New Roman"/>
          <w:kern w:val="0"/>
          <w14:ligatures w14:val="none"/>
        </w:rPr>
        <w:t xml:space="preserve">All my beliefs about the raw power of ML </w:t>
      </w:r>
      <w:r w:rsidR="003B36FE">
        <w:rPr>
          <w:rFonts w:ascii="Times New Roman" w:eastAsia="Times New Roman" w:hAnsi="Times New Roman" w:cs="Times New Roman"/>
          <w:kern w:val="0"/>
          <w14:ligatures w14:val="none"/>
        </w:rPr>
        <w:t xml:space="preserve">walk-forward strategies enabling the best returns were </w:t>
      </w:r>
      <w:r w:rsidR="009D5E45">
        <w:rPr>
          <w:rFonts w:ascii="Times New Roman" w:eastAsia="Times New Roman" w:hAnsi="Times New Roman" w:cs="Times New Roman"/>
          <w:kern w:val="0"/>
          <w14:ligatures w14:val="none"/>
        </w:rPr>
        <w:t xml:space="preserve">shattered with the look-ahead bias correction. Clenow momentum became the dominant strategy. This does not mean I have given up on </w:t>
      </w:r>
      <w:r w:rsidR="00C013D9">
        <w:rPr>
          <w:rFonts w:ascii="Times New Roman" w:eastAsia="Times New Roman" w:hAnsi="Times New Roman" w:cs="Times New Roman"/>
          <w:kern w:val="0"/>
          <w14:ligatures w14:val="none"/>
        </w:rPr>
        <w:t>ML because</w:t>
      </w:r>
      <w:r w:rsidR="009D5E45">
        <w:rPr>
          <w:rFonts w:ascii="Times New Roman" w:eastAsia="Times New Roman" w:hAnsi="Times New Roman" w:cs="Times New Roman"/>
          <w:kern w:val="0"/>
          <w14:ligatures w14:val="none"/>
        </w:rPr>
        <w:t xml:space="preserve"> I did not have time to test additional, more robust ML algorithms. This only shows that ML Ridge regression strategies in an expanded portfolio universe in a given time period could not outperform Clenow’s momentum surge with technology stocks.</w:t>
      </w:r>
      <w:r w:rsidR="00764BB5">
        <w:rPr>
          <w:rFonts w:ascii="Times New Roman" w:eastAsia="Times New Roman" w:hAnsi="Times New Roman" w:cs="Times New Roman"/>
          <w:kern w:val="0"/>
          <w14:ligatures w14:val="none"/>
        </w:rPr>
        <w:t xml:space="preserve"> </w:t>
      </w:r>
    </w:p>
    <w:p w14:paraId="4EA11D97" w14:textId="6B6130B5" w:rsidR="00331D5E" w:rsidRDefault="00BE799A" w:rsidP="00764BB5">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Regime detection</w:t>
      </w:r>
      <w:r w:rsidR="00737C1C">
        <w:rPr>
          <w:rFonts w:ascii="Times New Roman" w:eastAsia="Times New Roman" w:hAnsi="Times New Roman" w:cs="Times New Roman"/>
          <w:kern w:val="0"/>
          <w14:ligatures w14:val="none"/>
        </w:rPr>
        <w:t xml:space="preserve"> enables tactical allocation but suffers from implementation challenges requiring substantial enhancement before production deployment. </w:t>
      </w:r>
      <w:r w:rsidR="009D69C7">
        <w:rPr>
          <w:rFonts w:ascii="Times New Roman" w:eastAsia="Times New Roman" w:hAnsi="Times New Roman" w:cs="Times New Roman"/>
          <w:kern w:val="0"/>
          <w14:ligatures w14:val="none"/>
        </w:rPr>
        <w:t>The</w:t>
      </w:r>
      <w:r w:rsidR="00737C1C">
        <w:rPr>
          <w:rFonts w:ascii="Times New Roman" w:eastAsia="Times New Roman" w:hAnsi="Times New Roman" w:cs="Times New Roman"/>
          <w:kern w:val="0"/>
          <w14:ligatures w14:val="none"/>
        </w:rPr>
        <w:t xml:space="preserve"> hybrid regime-switching system achieved </w:t>
      </w:r>
      <w:r w:rsidR="00804E99">
        <w:rPr>
          <w:rFonts w:ascii="Times New Roman" w:eastAsia="Times New Roman" w:hAnsi="Times New Roman" w:cs="Times New Roman"/>
          <w:kern w:val="0"/>
          <w14:ligatures w14:val="none"/>
        </w:rPr>
        <w:t>21.2</w:t>
      </w:r>
      <w:r w:rsidR="00737C1C">
        <w:rPr>
          <w:rFonts w:ascii="Times New Roman" w:eastAsia="Times New Roman" w:hAnsi="Times New Roman" w:cs="Times New Roman"/>
          <w:kern w:val="0"/>
          <w14:ligatures w14:val="none"/>
        </w:rPr>
        <w:t xml:space="preserve">0% CAGR with </w:t>
      </w:r>
      <w:r w:rsidR="0080771C">
        <w:rPr>
          <w:rFonts w:ascii="Times New Roman" w:eastAsia="Times New Roman" w:hAnsi="Times New Roman" w:cs="Times New Roman"/>
          <w:kern w:val="0"/>
          <w14:ligatures w14:val="none"/>
        </w:rPr>
        <w:t>0.697</w:t>
      </w:r>
      <w:r w:rsidR="00737C1C">
        <w:rPr>
          <w:rFonts w:ascii="Times New Roman" w:eastAsia="Times New Roman" w:hAnsi="Times New Roman" w:cs="Times New Roman"/>
          <w:kern w:val="0"/>
          <w14:ligatures w14:val="none"/>
        </w:rPr>
        <w:t xml:space="preserve"> Sharpe by dynamically allocating between aggressive strategies and defensive cash allocation based on HMM detected market regimes. However, multi-path Monte Carlo simulation revealed that the hybrid system’s median outcome of 4.60% CAGR and 0.</w:t>
      </w:r>
      <w:r w:rsidR="008B0925">
        <w:rPr>
          <w:rFonts w:ascii="Times New Roman" w:eastAsia="Times New Roman" w:hAnsi="Times New Roman" w:cs="Times New Roman"/>
          <w:kern w:val="0"/>
          <w14:ligatures w14:val="none"/>
        </w:rPr>
        <w:t>294</w:t>
      </w:r>
      <w:r w:rsidR="00737C1C">
        <w:rPr>
          <w:rFonts w:ascii="Times New Roman" w:eastAsia="Times New Roman" w:hAnsi="Times New Roman" w:cs="Times New Roman"/>
          <w:kern w:val="0"/>
          <w14:ligatures w14:val="none"/>
        </w:rPr>
        <w:t xml:space="preserve"> Sharpe falls substantially below buy-and-hold alternatives. This performance degradation reflects HMM’s reliance on full-sample training introducing look-ahead bias that does not generalize to out-of-sample paths where regime transitions occur at different times with different frequencies. For production deployment, regime detection frameworks require expanding window parameter estimation where HMM parameters update monthly using only data through the current date, integration of forward-looking macroeconomic indicators that predict regime transitions rather than identifying them retrospectively, ensemble approaches combining multiple regime classification methods to reduce dependence on single </w:t>
      </w:r>
      <w:r w:rsidR="00737C1C">
        <w:rPr>
          <w:rFonts w:ascii="Times New Roman" w:eastAsia="Times New Roman" w:hAnsi="Times New Roman" w:cs="Times New Roman"/>
          <w:kern w:val="0"/>
          <w14:ligatures w14:val="none"/>
        </w:rPr>
        <w:lastRenderedPageBreak/>
        <w:t>model specifications</w:t>
      </w:r>
      <w:r w:rsidR="009D2283">
        <w:rPr>
          <w:rFonts w:ascii="Times New Roman" w:eastAsia="Times New Roman" w:hAnsi="Times New Roman" w:cs="Times New Roman"/>
          <w:kern w:val="0"/>
          <w14:ligatures w14:val="none"/>
        </w:rPr>
        <w:t>,</w:t>
      </w:r>
      <w:r w:rsidR="00737C1C">
        <w:rPr>
          <w:rFonts w:ascii="Times New Roman" w:eastAsia="Times New Roman" w:hAnsi="Times New Roman" w:cs="Times New Roman"/>
          <w:kern w:val="0"/>
          <w14:ligatures w14:val="none"/>
        </w:rPr>
        <w:t xml:space="preserve"> and validation that regime detection maintains accuracy during genuine out-of-sample future periods rather than synthetic Monte Carlo paths with known statistical properties.</w:t>
      </w:r>
    </w:p>
    <w:p w14:paraId="65C93639" w14:textId="38E6C5CF" w:rsidR="00C237C9" w:rsidRDefault="00902AF3" w:rsidP="0078079A">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Strategy-market fit dominates methodological sophistication as the primary determinant of quantitative strategy success. The </w:t>
      </w:r>
      <w:r w:rsidR="00417B1F">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ean-</w:t>
      </w:r>
      <w:r w:rsidR="00417B1F">
        <w:rPr>
          <w:rFonts w:ascii="Times New Roman" w:eastAsia="Times New Roman" w:hAnsi="Times New Roman" w:cs="Times New Roman"/>
          <w:kern w:val="0"/>
          <w14:ligatures w14:val="none"/>
        </w:rPr>
        <w:t>R</w:t>
      </w:r>
      <w:r>
        <w:rPr>
          <w:rFonts w:ascii="Times New Roman" w:eastAsia="Times New Roman" w:hAnsi="Times New Roman" w:cs="Times New Roman"/>
          <w:kern w:val="0"/>
          <w14:ligatures w14:val="none"/>
        </w:rPr>
        <w:t xml:space="preserve">eversion strategy generated low CAGR </w:t>
      </w:r>
      <w:r w:rsidR="00B3010E">
        <w:rPr>
          <w:rFonts w:ascii="Times New Roman" w:eastAsia="Times New Roman" w:hAnsi="Times New Roman" w:cs="Times New Roman"/>
          <w:kern w:val="0"/>
          <w14:ligatures w14:val="none"/>
        </w:rPr>
        <w:t xml:space="preserve">despite theoretically sound z-score methodology </w:t>
      </w:r>
      <w:r>
        <w:rPr>
          <w:rFonts w:ascii="Times New Roman" w:eastAsia="Times New Roman" w:hAnsi="Times New Roman" w:cs="Times New Roman"/>
          <w:kern w:val="0"/>
          <w14:ligatures w14:val="none"/>
        </w:rPr>
        <w:t xml:space="preserve">because transformational technology stocks do not exhibit the mean-reverting price dynamics that the strategy targets. In contrast, the ML walk-forward strategy uses relatively simple Ridge regression on standard technical features yet delivers </w:t>
      </w:r>
      <w:r w:rsidR="00417B1F">
        <w:rPr>
          <w:rFonts w:ascii="Times New Roman" w:eastAsia="Times New Roman" w:hAnsi="Times New Roman" w:cs="Times New Roman"/>
          <w:kern w:val="0"/>
          <w14:ligatures w14:val="none"/>
        </w:rPr>
        <w:t>a good</w:t>
      </w:r>
      <w:r>
        <w:rPr>
          <w:rFonts w:ascii="Times New Roman" w:eastAsia="Times New Roman" w:hAnsi="Times New Roman" w:cs="Times New Roman"/>
          <w:kern w:val="0"/>
          <w14:ligatures w14:val="none"/>
        </w:rPr>
        <w:t xml:space="preserve"> performance because its monthly retraining process matches the persistence and evolving character of momentum signals in growth sectors experiencing multi-year adoption curves. The pairs trading failure reinforces this lesson through implementation of rigorous Engle-Granger cointegration tests and sophisticated hedge ratio estimation that delivered -3.61% CAGR because NVDA and AMD lack the stable long-term relationship necessary for statistical arbitrage profitability. Applying </w:t>
      </w:r>
      <w:r w:rsidR="00417B1F">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ean-</w:t>
      </w:r>
      <w:r w:rsidR="00417B1F">
        <w:rPr>
          <w:rFonts w:ascii="Times New Roman" w:eastAsia="Times New Roman" w:hAnsi="Times New Roman" w:cs="Times New Roman"/>
          <w:kern w:val="0"/>
          <w14:ligatures w14:val="none"/>
        </w:rPr>
        <w:t>R</w:t>
      </w:r>
      <w:r>
        <w:rPr>
          <w:rFonts w:ascii="Times New Roman" w:eastAsia="Times New Roman" w:hAnsi="Times New Roman" w:cs="Times New Roman"/>
          <w:kern w:val="0"/>
          <w14:ligatures w14:val="none"/>
        </w:rPr>
        <w:t>eversion to trending tech stocks or pairs trading to non-cointegrated securities guarantees failure regardless of implementation sophistication, mathematical rigor, or execution quality. The primary lesson from Checkpoint C’s negative results involves eliminating strategy-market mismatches before capital deployment rather than attempting to force unsuitable methodologies through parameter optimization or threshold calibration.</w:t>
      </w:r>
    </w:p>
    <w:p w14:paraId="063E29F9" w14:textId="703C43A8" w:rsidR="008A6D00" w:rsidRDefault="00C237C9" w:rsidP="008415EA">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Fee sensitivity determines economic viability with gross performance metrics providing misleading signals about strategy </w:t>
      </w:r>
      <w:r w:rsidR="00B92878">
        <w:rPr>
          <w:rFonts w:ascii="Times New Roman" w:eastAsia="Times New Roman" w:hAnsi="Times New Roman" w:cs="Times New Roman"/>
          <w:kern w:val="0"/>
          <w14:ligatures w14:val="none"/>
        </w:rPr>
        <w:t>implementation</w:t>
      </w:r>
      <w:r>
        <w:rPr>
          <w:rFonts w:ascii="Times New Roman" w:eastAsia="Times New Roman" w:hAnsi="Times New Roman" w:cs="Times New Roman"/>
          <w:kern w:val="0"/>
          <w14:ligatures w14:val="none"/>
        </w:rPr>
        <w:t xml:space="preserve">. </w:t>
      </w:r>
      <w:r w:rsidRPr="0010363D">
        <w:rPr>
          <w:rFonts w:ascii="Times New Roman" w:eastAsia="Times New Roman" w:hAnsi="Times New Roman" w:cs="Times New Roman"/>
          <w:kern w:val="0"/>
          <w14:ligatures w14:val="none"/>
        </w:rPr>
        <w:t xml:space="preserve">Fee sensitivity analysis quantifies this performance degradation across realistic cost structures spanning passive index funds, thematic </w:t>
      </w:r>
      <w:r w:rsidRPr="0010363D">
        <w:rPr>
          <w:rFonts w:ascii="Times New Roman" w:eastAsia="Times New Roman" w:hAnsi="Times New Roman" w:cs="Times New Roman"/>
          <w:kern w:val="0"/>
          <w14:ligatures w14:val="none"/>
        </w:rPr>
        <w:lastRenderedPageBreak/>
        <w:t>ETFs, and hedge funds. This finding informs ATTF fee structure negotiations with institutional allocators requiring competitive pricing that preserves net-of-fees alpha while aligning incentives through performance-based compensation. High-water marks prevent performance fee double-charging after drawdown recovery periods where managers would otherwise collect fees on returns merely recovering previous losses.</w:t>
      </w:r>
    </w:p>
    <w:p w14:paraId="5C88C47E" w14:textId="52FDD725" w:rsidR="008A6D00" w:rsidRDefault="008A6D00" w:rsidP="008A6D00">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Concentration</w:t>
      </w:r>
      <w:r w:rsidRPr="0010363D">
        <w:rPr>
          <w:rFonts w:ascii="Times New Roman" w:eastAsia="Times New Roman" w:hAnsi="Times New Roman" w:cs="Times New Roman"/>
          <w:kern w:val="0"/>
          <w14:ligatures w14:val="none"/>
        </w:rPr>
        <w:t xml:space="preserve"> outperforms diversification in momentum-driven </w:t>
      </w:r>
      <w:r w:rsidR="00034AD3" w:rsidRPr="0010363D">
        <w:rPr>
          <w:rFonts w:ascii="Times New Roman" w:eastAsia="Times New Roman" w:hAnsi="Times New Roman" w:cs="Times New Roman"/>
          <w:kern w:val="0"/>
          <w14:ligatures w14:val="none"/>
        </w:rPr>
        <w:t>sectors,</w:t>
      </w:r>
      <w:r w:rsidRPr="0010363D">
        <w:rPr>
          <w:rFonts w:ascii="Times New Roman" w:eastAsia="Times New Roman" w:hAnsi="Times New Roman" w:cs="Times New Roman"/>
          <w:kern w:val="0"/>
          <w14:ligatures w14:val="none"/>
        </w:rPr>
        <w:t xml:space="preserve"> experiencing persistent trends and exponential growth. In momentum-driven innovation sectors experiencing exponential adoption curves, concentration in trending assets delivers superior Sharpe ratios because diversification into non-trending assets dilutes returns without proportional risk reduction. Monte Carlo portfolio optimization confirmed this pattern with the maximum Sharpe portfolio allocating 92.4% to AI Infrastructure and near-zero weights to other sleeves, reflecting AI Infrastructure's dominant risk-adjusted performance over the sample period where securities sustained multi-year momentum trends with manageable drawdowns during corrections.</w:t>
      </w:r>
      <w:r>
        <w:rPr>
          <w:rFonts w:ascii="Times New Roman" w:eastAsia="Times New Roman" w:hAnsi="Times New Roman" w:cs="Times New Roman"/>
          <w:kern w:val="0"/>
          <w14:ligatures w14:val="none"/>
        </w:rPr>
        <w:t xml:space="preserve"> </w:t>
      </w:r>
      <w:r w:rsidR="00FF630F">
        <w:rPr>
          <w:rFonts w:ascii="Times New Roman" w:eastAsia="Times New Roman" w:hAnsi="Times New Roman" w:cs="Times New Roman"/>
          <w:kern w:val="0"/>
          <w14:ligatures w14:val="none"/>
        </w:rPr>
        <w:t>Concentration does</w:t>
      </w:r>
      <w:r w:rsidRPr="0010363D">
        <w:rPr>
          <w:rFonts w:ascii="Times New Roman" w:eastAsia="Times New Roman" w:hAnsi="Times New Roman" w:cs="Times New Roman"/>
          <w:kern w:val="0"/>
          <w14:ligatures w14:val="none"/>
        </w:rPr>
        <w:t xml:space="preserve"> </w:t>
      </w:r>
      <w:r w:rsidR="00FF630F">
        <w:rPr>
          <w:rFonts w:ascii="Times New Roman" w:eastAsia="Times New Roman" w:hAnsi="Times New Roman" w:cs="Times New Roman"/>
          <w:kern w:val="0"/>
          <w14:ligatures w14:val="none"/>
        </w:rPr>
        <w:t>require</w:t>
      </w:r>
      <w:r w:rsidRPr="0010363D">
        <w:rPr>
          <w:rFonts w:ascii="Times New Roman" w:eastAsia="Times New Roman" w:hAnsi="Times New Roman" w:cs="Times New Roman"/>
          <w:kern w:val="0"/>
          <w14:ligatures w14:val="none"/>
        </w:rPr>
        <w:t xml:space="preserve"> careful management through position limits and portfolio constraints</w:t>
      </w:r>
      <w:r w:rsidR="004F7553">
        <w:rPr>
          <w:rFonts w:ascii="Times New Roman" w:eastAsia="Times New Roman" w:hAnsi="Times New Roman" w:cs="Times New Roman"/>
          <w:kern w:val="0"/>
          <w14:ligatures w14:val="none"/>
        </w:rPr>
        <w:t xml:space="preserve"> to minimize risks</w:t>
      </w:r>
      <w:r w:rsidRPr="0010363D">
        <w:rPr>
          <w:rFonts w:ascii="Times New Roman" w:eastAsia="Times New Roman" w:hAnsi="Times New Roman" w:cs="Times New Roman"/>
          <w:kern w:val="0"/>
          <w14:ligatures w14:val="none"/>
        </w:rPr>
        <w:t xml:space="preserve">. Alpha decay accelerates as more capital pursues AI momentum with crowding reducing future returns as strategies compete for identical securities. Sector rotation could favor </w:t>
      </w:r>
      <w:r w:rsidR="00BB20E7">
        <w:rPr>
          <w:rFonts w:ascii="Times New Roman" w:eastAsia="Times New Roman" w:hAnsi="Times New Roman" w:cs="Times New Roman"/>
          <w:kern w:val="0"/>
          <w14:ligatures w14:val="none"/>
        </w:rPr>
        <w:t>other sleeves</w:t>
      </w:r>
      <w:r w:rsidRPr="0010363D">
        <w:rPr>
          <w:rFonts w:ascii="Times New Roman" w:eastAsia="Times New Roman" w:hAnsi="Times New Roman" w:cs="Times New Roman"/>
          <w:kern w:val="0"/>
          <w14:ligatures w14:val="none"/>
        </w:rPr>
        <w:t xml:space="preserve"> in future periods as </w:t>
      </w:r>
      <w:r w:rsidR="00BB20E7">
        <w:rPr>
          <w:rFonts w:ascii="Times New Roman" w:eastAsia="Times New Roman" w:hAnsi="Times New Roman" w:cs="Times New Roman"/>
          <w:kern w:val="0"/>
          <w14:ligatures w14:val="none"/>
        </w:rPr>
        <w:t>they</w:t>
      </w:r>
      <w:r w:rsidRPr="0010363D">
        <w:rPr>
          <w:rFonts w:ascii="Times New Roman" w:eastAsia="Times New Roman" w:hAnsi="Times New Roman" w:cs="Times New Roman"/>
          <w:kern w:val="0"/>
          <w14:ligatures w14:val="none"/>
        </w:rPr>
        <w:t xml:space="preserve"> enter momentum phases when technological breakthroughs, regulatory clarity, or institutional adoption drive explosive growth. Drawdown amplification magnifies losses during sector-specific corrections when concentrated portfolios experienced catastrophic losses while diversified alternatives maintained moderate drawdowns. Prudent implementation requires position size limits capping individual security </w:t>
      </w:r>
      <w:r w:rsidR="004D5A9B">
        <w:rPr>
          <w:rFonts w:ascii="Times New Roman" w:eastAsia="Times New Roman" w:hAnsi="Times New Roman" w:cs="Times New Roman"/>
          <w:kern w:val="0"/>
          <w14:ligatures w14:val="none"/>
        </w:rPr>
        <w:t>and sleeve exposure</w:t>
      </w:r>
      <w:r w:rsidRPr="0010363D">
        <w:rPr>
          <w:rFonts w:ascii="Times New Roman" w:eastAsia="Times New Roman" w:hAnsi="Times New Roman" w:cs="Times New Roman"/>
          <w:kern w:val="0"/>
          <w14:ligatures w14:val="none"/>
        </w:rPr>
        <w:t xml:space="preserve"> to maintain thematic diversification while allowing sufficient concentration to capture momentum returns. </w:t>
      </w:r>
    </w:p>
    <w:p w14:paraId="657858D9" w14:textId="32DFC896" w:rsidR="004D5A9B" w:rsidRDefault="004D5A9B" w:rsidP="004D5A9B">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w:t>
      </w:r>
      <w:r w:rsidRPr="0010363D">
        <w:rPr>
          <w:rFonts w:ascii="Times New Roman" w:eastAsia="Times New Roman" w:hAnsi="Times New Roman" w:cs="Times New Roman"/>
          <w:kern w:val="0"/>
          <w14:ligatures w14:val="none"/>
        </w:rPr>
        <w:t>xtended historical validation reveals strategy robustness across complete market cycles including structural bubbles, financial crises, and sector rotations. Checkpoint C's extension of backtest period from 10 years spanning 2015-2025 to 26 years spanning 1999-2025 provides critical validation of strategy performance across diverse market environments. The extended timeframe enables evaluation across the dot-com crash from 2000-2002 when QQQ declined -83% peak-to-trough testing momentum strategy resilience during bubble collapse, the financial crisis from 2008-2009 representing broad market correction validating regime detection defensive positioning, the bull market from 2009-2020 with extended uptrend rewarding momentum persistence, the COVID crash and recovery in 2020-2021 with rapid V-shaped reversal challenging regime detection transition speed, and the recent tech correction in 2022-2023 representing sector-specific selloff driven by Federal Reserve tightening and AI hype rationalization. This comprehensive historical coverage provides confidence that strategies maintain performance across diverse market environments rather than depending on single favorable trajectory or sample-specific patterns.</w:t>
      </w:r>
    </w:p>
    <w:p w14:paraId="03884F48" w14:textId="6B89313A" w:rsidR="00847A0D" w:rsidRDefault="00847A0D" w:rsidP="004D5A9B">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Based on the findings from Checkpoint C, several adjustments should guide ATTF implementation. After removing all sources of look-ahead bias and applying realistic fee and turnover assumptions, Clenow momentum, not ML, emerges as the strongest overall strategy, delivering the highest net CAGR and Sharpe ratio. Accordingly, Clenow should serve as the core allocation within the ATTF, representing </w:t>
      </w:r>
      <w:r w:rsidR="006E1C3A">
        <w:rPr>
          <w:rFonts w:ascii="Times New Roman" w:eastAsia="Times New Roman" w:hAnsi="Times New Roman" w:cs="Times New Roman"/>
          <w:kern w:val="0"/>
          <w14:ligatures w14:val="none"/>
        </w:rPr>
        <w:t xml:space="preserve">roughly 40-50% of capital with monthly rebalancing, equal-weight position sizing among the top-ranked securities, and continued emphasis on intermediate-term momentum combined with long-term trend confirmation. Complementing this, </w:t>
      </w:r>
      <w:r w:rsidR="00722FC0">
        <w:rPr>
          <w:rFonts w:ascii="Times New Roman" w:eastAsia="Times New Roman" w:hAnsi="Times New Roman" w:cs="Times New Roman"/>
          <w:kern w:val="0"/>
          <w14:ligatures w14:val="none"/>
        </w:rPr>
        <w:t>the</w:t>
      </w:r>
      <w:r w:rsidR="006E1C3A">
        <w:rPr>
          <w:rFonts w:ascii="Times New Roman" w:eastAsia="Times New Roman" w:hAnsi="Times New Roman" w:cs="Times New Roman"/>
          <w:kern w:val="0"/>
          <w14:ligatures w14:val="none"/>
        </w:rPr>
        <w:t xml:space="preserve"> hybrid regime-switching system should receive roughly 30-40$ of capital, as it provides competitive returns and benefits from combining ML signals with momentum exposure</w:t>
      </w:r>
      <w:r w:rsidR="005A3ACD">
        <w:rPr>
          <w:rFonts w:ascii="Times New Roman" w:eastAsia="Times New Roman" w:hAnsi="Times New Roman" w:cs="Times New Roman"/>
          <w:kern w:val="0"/>
          <w14:ligatures w14:val="none"/>
        </w:rPr>
        <w:t xml:space="preserve">. The ML </w:t>
      </w:r>
      <w:r w:rsidR="005A3ACD">
        <w:rPr>
          <w:rFonts w:ascii="Times New Roman" w:eastAsia="Times New Roman" w:hAnsi="Times New Roman" w:cs="Times New Roman"/>
          <w:kern w:val="0"/>
          <w14:ligatures w14:val="none"/>
        </w:rPr>
        <w:lastRenderedPageBreak/>
        <w:t xml:space="preserve">strategy, while still generating over 20% CAGR and positive alpha after fees, should be deployed as a diversifying satellite sleeve rather than the portfolio’s primary engine. A 10-20% allocation would allow the ATTF </w:t>
      </w:r>
      <w:r w:rsidR="00373286">
        <w:rPr>
          <w:rFonts w:ascii="Times New Roman" w:eastAsia="Times New Roman" w:hAnsi="Times New Roman" w:cs="Times New Roman"/>
          <w:kern w:val="0"/>
          <w14:ligatures w14:val="none"/>
        </w:rPr>
        <w:t>to capture ML-driven stock selection benefits, without over-relying on a model whose performance is sensitive to target horizon specification, feature set design, and the behavior of a small number of mega-cap winners. Implementation should focus on monthly re</w:t>
      </w:r>
      <w:r w:rsidR="00252BD6">
        <w:rPr>
          <w:rFonts w:ascii="Times New Roman" w:eastAsia="Times New Roman" w:hAnsi="Times New Roman" w:cs="Times New Roman"/>
          <w:kern w:val="0"/>
          <w14:ligatures w14:val="none"/>
        </w:rPr>
        <w:t>training, top-decile security selection, equal-weight construction, and expanding the feature set to include fundamental and macroeconomic variables that may improve predictive stability across market regimes.</w:t>
      </w:r>
    </w:p>
    <w:p w14:paraId="6DF70E07" w14:textId="6D642824" w:rsidR="00847A0D" w:rsidRDefault="00252BD6" w:rsidP="00BA3708">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Mean-Reversion and pairs trading should be removed entirely from the ATTF</w:t>
      </w:r>
      <w:r w:rsidR="00632888">
        <w:rPr>
          <w:rFonts w:ascii="Times New Roman" w:eastAsia="Times New Roman" w:hAnsi="Times New Roman" w:cs="Times New Roman"/>
          <w:kern w:val="0"/>
          <w14:ligatures w14:val="none"/>
        </w:rPr>
        <w:t>. Mean-Reversion delivered extremely poor results in an expanded portfolio universe</w:t>
      </w:r>
      <w:r w:rsidR="00BA3708">
        <w:rPr>
          <w:rFonts w:ascii="Times New Roman" w:eastAsia="Times New Roman" w:hAnsi="Times New Roman" w:cs="Times New Roman"/>
          <w:kern w:val="0"/>
          <w14:ligatures w14:val="none"/>
        </w:rPr>
        <w:t>. Pairs trading similarly failed, demonstrating that high correlation does not imply a stable long-term equilibrium suitable for statistical arbitrage. Short selling should also remain excluded due to borrowing costs, the risk of short squeezes, operational complexity, and ETF regulatory constraints. A long-only framework reduces operational frictions and aligns with the ATTF’s thematic ETF mandate.</w:t>
      </w:r>
    </w:p>
    <w:p w14:paraId="072B7090" w14:textId="231FD63B" w:rsidR="00E0477B" w:rsidRDefault="002C48E2" w:rsidP="008D33DB">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Additionally, t</w:t>
      </w:r>
      <w:r w:rsidRPr="0010363D">
        <w:rPr>
          <w:rFonts w:ascii="Times New Roman" w:eastAsia="Times New Roman" w:hAnsi="Times New Roman" w:cs="Times New Roman"/>
          <w:kern w:val="0"/>
          <w14:ligatures w14:val="none"/>
        </w:rPr>
        <w:t xml:space="preserve">he </w:t>
      </w:r>
      <w:r>
        <w:rPr>
          <w:rFonts w:ascii="Times New Roman" w:eastAsia="Times New Roman" w:hAnsi="Times New Roman" w:cs="Times New Roman"/>
          <w:kern w:val="0"/>
          <w14:ligatures w14:val="none"/>
        </w:rPr>
        <w:t>ATTF</w:t>
      </w:r>
      <w:r w:rsidRPr="0010363D">
        <w:rPr>
          <w:rFonts w:ascii="Times New Roman" w:eastAsia="Times New Roman" w:hAnsi="Times New Roman" w:cs="Times New Roman"/>
          <w:kern w:val="0"/>
          <w14:ligatures w14:val="none"/>
        </w:rPr>
        <w:t xml:space="preserve"> should maintain strategic sleeve allocation with 10% capital reserved for quarterly Monte Carlo optimization providing portfolio-level diversification and enabling participation in thematic trends beyond ML's tactical security selection. The fund should implement fee structure aligned with institutional standards adopting management fees at 1.0% annually with optional 10% performance fee above 4% risk-free hurdle rate. This structure </w:t>
      </w:r>
      <w:r w:rsidR="00065A2C">
        <w:rPr>
          <w:rFonts w:ascii="Times New Roman" w:eastAsia="Times New Roman" w:hAnsi="Times New Roman" w:cs="Times New Roman"/>
          <w:kern w:val="0"/>
          <w14:ligatures w14:val="none"/>
        </w:rPr>
        <w:t>balances competitive pricing against infrastructure costs while aligning manager incentives with investor outcomes through performance-based compensation</w:t>
      </w:r>
      <w:r w:rsidRPr="0010363D">
        <w:rPr>
          <w:rFonts w:ascii="Times New Roman" w:eastAsia="Times New Roman" w:hAnsi="Times New Roman" w:cs="Times New Roman"/>
          <w:kern w:val="0"/>
          <w14:ligatures w14:val="none"/>
        </w:rPr>
        <w:t xml:space="preserve">. Transaction costs should target </w:t>
      </w:r>
      <w:r w:rsidRPr="0010363D">
        <w:rPr>
          <w:rFonts w:ascii="Times New Roman" w:eastAsia="Times New Roman" w:hAnsi="Times New Roman" w:cs="Times New Roman"/>
          <w:kern w:val="0"/>
          <w14:ligatures w14:val="none"/>
        </w:rPr>
        <w:lastRenderedPageBreak/>
        <w:t>less than 15 basis points per trade through algorithmic execution or implementation shortfall strategies minimizing market impact, careful broker selection prioritizing low-cost execution for ATTF security universe, and opportunistic rebalancing deferring trades when spreads widen or volatility spikes.</w:t>
      </w:r>
      <w:r w:rsidR="008D33DB">
        <w:rPr>
          <w:rFonts w:ascii="Times New Roman" w:eastAsia="Times New Roman" w:hAnsi="Times New Roman" w:cs="Times New Roman"/>
          <w:kern w:val="0"/>
          <w14:ligatures w14:val="none"/>
        </w:rPr>
        <w:t xml:space="preserve"> </w:t>
      </w:r>
      <w:r w:rsidRPr="0010363D">
        <w:rPr>
          <w:rFonts w:ascii="Times New Roman" w:eastAsia="Times New Roman" w:hAnsi="Times New Roman" w:cs="Times New Roman"/>
          <w:kern w:val="0"/>
          <w14:ligatures w14:val="none"/>
        </w:rPr>
        <w:t xml:space="preserve">The fund should establish capacity limits and scaling plans recognizing that the ML strategy's monthly rebalancing </w:t>
      </w:r>
      <w:r w:rsidR="0074484B">
        <w:rPr>
          <w:rFonts w:ascii="Times New Roman" w:eastAsia="Times New Roman" w:hAnsi="Times New Roman" w:cs="Times New Roman"/>
          <w:kern w:val="0"/>
          <w14:ligatures w14:val="none"/>
        </w:rPr>
        <w:t xml:space="preserve">at scale </w:t>
      </w:r>
      <w:r w:rsidRPr="0010363D">
        <w:rPr>
          <w:rFonts w:ascii="Times New Roman" w:eastAsia="Times New Roman" w:hAnsi="Times New Roman" w:cs="Times New Roman"/>
          <w:kern w:val="0"/>
          <w14:ligatures w14:val="none"/>
        </w:rPr>
        <w:t>introduces market impact costs, reduced liquidity during rebalancing, and potential front-running by high-frequency traders detecting systematic patterns. The ATTF should establish</w:t>
      </w:r>
      <w:r w:rsidR="00113DAD">
        <w:rPr>
          <w:rFonts w:ascii="Times New Roman" w:eastAsia="Times New Roman" w:hAnsi="Times New Roman" w:cs="Times New Roman"/>
          <w:kern w:val="0"/>
          <w14:ligatures w14:val="none"/>
        </w:rPr>
        <w:t xml:space="preserve"> a </w:t>
      </w:r>
      <w:r w:rsidRPr="0010363D">
        <w:rPr>
          <w:rFonts w:ascii="Times New Roman" w:eastAsia="Times New Roman" w:hAnsi="Times New Roman" w:cs="Times New Roman"/>
          <w:kern w:val="0"/>
          <w14:ligatures w14:val="none"/>
        </w:rPr>
        <w:t xml:space="preserve">capacity limit </w:t>
      </w:r>
      <w:r w:rsidR="00445A16">
        <w:rPr>
          <w:rFonts w:ascii="Times New Roman" w:eastAsia="Times New Roman" w:hAnsi="Times New Roman" w:cs="Times New Roman"/>
          <w:kern w:val="0"/>
          <w14:ligatures w14:val="none"/>
        </w:rPr>
        <w:t>for</w:t>
      </w:r>
      <w:r w:rsidRPr="0010363D">
        <w:rPr>
          <w:rFonts w:ascii="Times New Roman" w:eastAsia="Times New Roman" w:hAnsi="Times New Roman" w:cs="Times New Roman"/>
          <w:kern w:val="0"/>
          <w14:ligatures w14:val="none"/>
        </w:rPr>
        <w:t xml:space="preserve"> assets under management, close to new investors if assets approach implementation capacity, monitor average position sizes and rebalancing impact on execution costs, and develop scaling plans including multi-day execution windows, increased position diversity, and integration of alternative data reducing signal crowding as more capital pursues technical momentum strategies.</w:t>
      </w:r>
    </w:p>
    <w:p w14:paraId="74337313" w14:textId="225406EF" w:rsidR="001C71D2" w:rsidRPr="0010363D" w:rsidRDefault="001C71D2" w:rsidP="00CA7E15">
      <w:pPr>
        <w:spacing w:before="100" w:beforeAutospacing="1" w:after="100" w:afterAutospacing="1" w:line="480" w:lineRule="auto"/>
        <w:ind w:firstLine="720"/>
        <w:rPr>
          <w:rFonts w:ascii="Times New Roman" w:eastAsia="Times New Roman" w:hAnsi="Times New Roman" w:cs="Times New Roman"/>
          <w:kern w:val="0"/>
          <w14:ligatures w14:val="none"/>
        </w:rPr>
      </w:pPr>
      <w:r w:rsidRPr="0010363D">
        <w:rPr>
          <w:rFonts w:ascii="Times New Roman" w:eastAsia="Times New Roman" w:hAnsi="Times New Roman" w:cs="Times New Roman"/>
          <w:kern w:val="0"/>
          <w14:ligatures w14:val="none"/>
        </w:rPr>
        <w:t xml:space="preserve">Five critical enhancements would strengthen the ATTF framework beyond Checkpoint C's comprehensive analysis. First, fundamental feature engineering incorporating revenue growth rates, gross margin expansion, R&amp;D spending as percentage of revenue, patent filings and citations, customer concentration metrics, and free cash flow generation could improve prediction accuracy and reduce crowding risk as more capital pursues technical momentum strategies. Current ML models rely exclusively on technical indicators where momentum, volatility, and moving average ratios provide signals susceptible to crowding as strategies compete for identical securities. Second, macroeconomic regime prediction using forward-looking indicators could predict transitions prospectively rather than identifying them retrospectively based on realized returns. Enhanced regime detection should incorporate Federal Reserve policy sentiment derived from FOMC </w:t>
      </w:r>
      <w:r w:rsidR="008C005F">
        <w:rPr>
          <w:rFonts w:ascii="Times New Roman" w:eastAsia="Times New Roman" w:hAnsi="Times New Roman" w:cs="Times New Roman"/>
          <w:kern w:val="0"/>
          <w14:ligatures w14:val="none"/>
        </w:rPr>
        <w:t>information</w:t>
      </w:r>
      <w:r w:rsidRPr="0010363D">
        <w:rPr>
          <w:rFonts w:ascii="Times New Roman" w:eastAsia="Times New Roman" w:hAnsi="Times New Roman" w:cs="Times New Roman"/>
          <w:kern w:val="0"/>
          <w14:ligatures w14:val="none"/>
        </w:rPr>
        <w:t>, yield curve slope</w:t>
      </w:r>
      <w:r w:rsidR="00CE307D">
        <w:rPr>
          <w:rFonts w:ascii="Times New Roman" w:eastAsia="Times New Roman" w:hAnsi="Times New Roman" w:cs="Times New Roman"/>
          <w:kern w:val="0"/>
          <w14:ligatures w14:val="none"/>
        </w:rPr>
        <w:t xml:space="preserve"> analysis</w:t>
      </w:r>
      <w:r w:rsidRPr="0010363D">
        <w:rPr>
          <w:rFonts w:ascii="Times New Roman" w:eastAsia="Times New Roman" w:hAnsi="Times New Roman" w:cs="Times New Roman"/>
          <w:kern w:val="0"/>
          <w14:ligatures w14:val="none"/>
        </w:rPr>
        <w:t xml:space="preserve"> historically predicting recessions 12-18 months ahead, credit spreads indicating risk appetite and </w:t>
      </w:r>
      <w:r w:rsidRPr="0010363D">
        <w:rPr>
          <w:rFonts w:ascii="Times New Roman" w:eastAsia="Times New Roman" w:hAnsi="Times New Roman" w:cs="Times New Roman"/>
          <w:kern w:val="0"/>
          <w14:ligatures w14:val="none"/>
        </w:rPr>
        <w:lastRenderedPageBreak/>
        <w:t>financial stress, Volatility Index levels signaling market fear, and leading economic indicators including PMI, consumer confidence, and jobless claims tracking cycle position. These indicators could inform HMM prior probabilities, serve as direct switching signals for tactical allocation, or train supervised ML models predicting regime transitions enabling proactive positioning before regime shifts rather than reactive adjustment after markets move.</w:t>
      </w:r>
    </w:p>
    <w:p w14:paraId="587B814F" w14:textId="76F0667C" w:rsidR="00990513" w:rsidRDefault="001C71D2" w:rsidP="00990513">
      <w:pPr>
        <w:spacing w:before="100" w:beforeAutospacing="1" w:after="100" w:afterAutospacing="1" w:line="480" w:lineRule="auto"/>
        <w:ind w:firstLine="720"/>
        <w:rPr>
          <w:rFonts w:ascii="Times New Roman" w:eastAsia="Times New Roman" w:hAnsi="Times New Roman" w:cs="Times New Roman"/>
          <w:kern w:val="0"/>
          <w14:ligatures w14:val="none"/>
        </w:rPr>
      </w:pPr>
      <w:r w:rsidRPr="0010363D">
        <w:rPr>
          <w:rFonts w:ascii="Times New Roman" w:eastAsia="Times New Roman" w:hAnsi="Times New Roman" w:cs="Times New Roman"/>
          <w:kern w:val="0"/>
          <w14:ligatures w14:val="none"/>
        </w:rPr>
        <w:t>Third, transaction cost modeling and execution optimization incorporating security-specific costs could refine strategy implementation. Enhanced modeling should</w:t>
      </w:r>
      <w:r w:rsidR="00EC52FC">
        <w:rPr>
          <w:rFonts w:ascii="Times New Roman" w:eastAsia="Times New Roman" w:hAnsi="Times New Roman" w:cs="Times New Roman"/>
          <w:kern w:val="0"/>
          <w14:ligatures w14:val="none"/>
        </w:rPr>
        <w:t xml:space="preserve"> </w:t>
      </w:r>
      <w:r w:rsidRPr="0010363D">
        <w:rPr>
          <w:rFonts w:ascii="Times New Roman" w:eastAsia="Times New Roman" w:hAnsi="Times New Roman" w:cs="Times New Roman"/>
          <w:kern w:val="0"/>
          <w14:ligatures w14:val="none"/>
        </w:rPr>
        <w:t>incorporate market impact models for large trades, evaluate alternative execution strategies, and analyze optimal trade scheduling concentrating rebalancing on high-liquidity days while splitting large orders across multiple days. This modeling would inform strategy design decisions including rebalancing frequency, position size limits, and capacity constraints where strategies generating 40% annual turnover prove uneconomical under realistic cost assumptions while low-turnover strategies maintain alpha after fees.</w:t>
      </w:r>
      <w:r w:rsidR="00146214">
        <w:rPr>
          <w:rFonts w:ascii="Times New Roman" w:eastAsia="Times New Roman" w:hAnsi="Times New Roman" w:cs="Times New Roman"/>
          <w:kern w:val="0"/>
          <w14:ligatures w14:val="none"/>
        </w:rPr>
        <w:t xml:space="preserve"> </w:t>
      </w:r>
      <w:r w:rsidR="00146214" w:rsidRPr="0010363D">
        <w:rPr>
          <w:rFonts w:ascii="Times New Roman" w:eastAsia="Times New Roman" w:hAnsi="Times New Roman" w:cs="Times New Roman"/>
          <w:kern w:val="0"/>
          <w14:ligatures w14:val="none"/>
        </w:rPr>
        <w:t xml:space="preserve">Fourth, ensemble methods combining multiple model specifications could improve robustness and </w:t>
      </w:r>
      <w:r w:rsidR="00947111">
        <w:rPr>
          <w:rFonts w:ascii="Times New Roman" w:eastAsia="Times New Roman" w:hAnsi="Times New Roman" w:cs="Times New Roman"/>
          <w:kern w:val="0"/>
          <w14:ligatures w14:val="none"/>
        </w:rPr>
        <w:t>provide better alpha</w:t>
      </w:r>
      <w:r w:rsidR="00146214" w:rsidRPr="0010363D">
        <w:rPr>
          <w:rFonts w:ascii="Times New Roman" w:eastAsia="Times New Roman" w:hAnsi="Times New Roman" w:cs="Times New Roman"/>
          <w:kern w:val="0"/>
          <w14:ligatures w14:val="none"/>
        </w:rPr>
        <w:t xml:space="preserve"> beyond the current ML framework relying on single Ridge regression models trained monthly. Ensemble approaches could incorporate linear models including Ridge L2; tree-based models including Random Forest, Gradient Boosting, and XGBoost; neural networks using simple feedforward architectures with dropout regularization; and ensemble construction through equal-weight combination. Ensemble methods sacrifice interpretability but often improve out-of-sample prediction accuracy by averaging over multiple model specifications.</w:t>
      </w:r>
      <w:r w:rsidR="00990513">
        <w:rPr>
          <w:rFonts w:ascii="Times New Roman" w:eastAsia="Times New Roman" w:hAnsi="Times New Roman" w:cs="Times New Roman"/>
          <w:kern w:val="0"/>
          <w14:ligatures w14:val="none"/>
        </w:rPr>
        <w:t xml:space="preserve"> </w:t>
      </w:r>
      <w:r w:rsidR="00B86531" w:rsidRPr="0010363D">
        <w:rPr>
          <w:rFonts w:ascii="Times New Roman" w:eastAsia="Times New Roman" w:hAnsi="Times New Roman" w:cs="Times New Roman"/>
          <w:kern w:val="0"/>
          <w14:ligatures w14:val="none"/>
        </w:rPr>
        <w:t xml:space="preserve">Fifth, alternative pairs and cointegration stability testing could identify viable pairs trading opportunities despite NVDA-AMD proving non-cointegrated with p-value of 0.9329. </w:t>
      </w:r>
      <w:r w:rsidR="00B859FE">
        <w:rPr>
          <w:rFonts w:ascii="Times New Roman" w:eastAsia="Times New Roman" w:hAnsi="Times New Roman" w:cs="Times New Roman"/>
          <w:kern w:val="0"/>
          <w14:ligatures w14:val="none"/>
        </w:rPr>
        <w:t>As an example,</w:t>
      </w:r>
      <w:r w:rsidR="00B86531" w:rsidRPr="0010363D">
        <w:rPr>
          <w:rFonts w:ascii="Times New Roman" w:eastAsia="Times New Roman" w:hAnsi="Times New Roman" w:cs="Times New Roman"/>
          <w:kern w:val="0"/>
          <w14:ligatures w14:val="none"/>
        </w:rPr>
        <w:t xml:space="preserve"> IBM-ORCL </w:t>
      </w:r>
      <w:r w:rsidR="00990513">
        <w:rPr>
          <w:rFonts w:ascii="Times New Roman" w:eastAsia="Times New Roman" w:hAnsi="Times New Roman" w:cs="Times New Roman"/>
          <w:kern w:val="0"/>
          <w14:ligatures w14:val="none"/>
        </w:rPr>
        <w:t xml:space="preserve">could be evaluated </w:t>
      </w:r>
      <w:r w:rsidR="00B86531" w:rsidRPr="0010363D">
        <w:rPr>
          <w:rFonts w:ascii="Times New Roman" w:eastAsia="Times New Roman" w:hAnsi="Times New Roman" w:cs="Times New Roman"/>
          <w:kern w:val="0"/>
          <w14:ligatures w14:val="none"/>
        </w:rPr>
        <w:t>as established enterprise technology companies with similar business models</w:t>
      </w:r>
      <w:r w:rsidR="003850E0">
        <w:rPr>
          <w:rFonts w:ascii="Times New Roman" w:eastAsia="Times New Roman" w:hAnsi="Times New Roman" w:cs="Times New Roman"/>
          <w:kern w:val="0"/>
          <w14:ligatures w14:val="none"/>
        </w:rPr>
        <w:t xml:space="preserve"> </w:t>
      </w:r>
      <w:r w:rsidR="00B86531" w:rsidRPr="0010363D">
        <w:rPr>
          <w:rFonts w:ascii="Times New Roman" w:eastAsia="Times New Roman" w:hAnsi="Times New Roman" w:cs="Times New Roman"/>
          <w:kern w:val="0"/>
          <w14:ligatures w14:val="none"/>
        </w:rPr>
        <w:lastRenderedPageBreak/>
        <w:t>exhibiting more stable cointegration than rapidly evolving AI chip manufacturers</w:t>
      </w:r>
      <w:r w:rsidR="00111D8A">
        <w:rPr>
          <w:rFonts w:ascii="Times New Roman" w:eastAsia="Times New Roman" w:hAnsi="Times New Roman" w:cs="Times New Roman"/>
          <w:kern w:val="0"/>
          <w14:ligatures w14:val="none"/>
        </w:rPr>
        <w:t>.</w:t>
      </w:r>
      <w:r w:rsidR="00B86531" w:rsidRPr="0010363D">
        <w:rPr>
          <w:rFonts w:ascii="Times New Roman" w:eastAsia="Times New Roman" w:hAnsi="Times New Roman" w:cs="Times New Roman"/>
          <w:kern w:val="0"/>
          <w14:ligatures w14:val="none"/>
        </w:rPr>
        <w:t xml:space="preserve"> For each candidate pair, analysis should conduct full-sample Engle-Granger cointegration tests establishing baseline relationships, implement rolling window cointegration tests using 3-year windows detecting stability versus structural breaks, estimate time-varying hedge ratios, and backtest pairs trading strategies only during stable sub-periods when rolling p-values remain below 0.05 indicating genuine cointegration suitable for statistical arbitrage.</w:t>
      </w:r>
      <w:r w:rsidR="00F6749E">
        <w:rPr>
          <w:rFonts w:ascii="Times New Roman" w:eastAsia="Times New Roman" w:hAnsi="Times New Roman" w:cs="Times New Roman"/>
          <w:kern w:val="0"/>
          <w14:ligatures w14:val="none"/>
        </w:rPr>
        <w:t xml:space="preserve"> </w:t>
      </w:r>
    </w:p>
    <w:p w14:paraId="67B7938F" w14:textId="330E41BE" w:rsidR="00445A16" w:rsidRPr="0010363D" w:rsidRDefault="00F6749E" w:rsidP="005D0E6F">
      <w:pPr>
        <w:spacing w:before="100" w:beforeAutospacing="1" w:after="100" w:afterAutospacing="1" w:line="480" w:lineRule="auto"/>
        <w:ind w:firstLine="720"/>
        <w:rPr>
          <w:rFonts w:ascii="Times New Roman" w:eastAsia="Times New Roman" w:hAnsi="Times New Roman" w:cs="Times New Roman"/>
          <w:kern w:val="0"/>
          <w14:ligatures w14:val="none"/>
        </w:rPr>
      </w:pPr>
      <w:r w:rsidRPr="0010363D">
        <w:rPr>
          <w:rFonts w:ascii="Times New Roman" w:eastAsia="Times New Roman" w:hAnsi="Times New Roman" w:cs="Times New Roman"/>
          <w:kern w:val="0"/>
          <w14:ligatures w14:val="none"/>
        </w:rPr>
        <w:t xml:space="preserve">Despite strong backtested performance, several critical limitations and concerns warrant continued monitoring and transparent communication with investors. The sample period from 2015-2025 for primary analysis and 1999-2025 for extended validation coincides with AI infrastructure buildout benefiting NVDA, AMD, and MSFT disproportionately through GPU demand growth, cloud computing adoption, cryptocurrency mainstream acceptance, and quantum computing research advancement. This period represents </w:t>
      </w:r>
      <w:r w:rsidR="005C64C8">
        <w:rPr>
          <w:rFonts w:ascii="Times New Roman" w:eastAsia="Times New Roman" w:hAnsi="Times New Roman" w:cs="Times New Roman"/>
          <w:kern w:val="0"/>
          <w14:ligatures w14:val="none"/>
        </w:rPr>
        <w:t>a favorable</w:t>
      </w:r>
      <w:r w:rsidRPr="0010363D">
        <w:rPr>
          <w:rFonts w:ascii="Times New Roman" w:eastAsia="Times New Roman" w:hAnsi="Times New Roman" w:cs="Times New Roman"/>
          <w:kern w:val="0"/>
          <w14:ligatures w14:val="none"/>
        </w:rPr>
        <w:t xml:space="preserve"> environment for technology momentum strategies where future performance could disappoint if AI infrastructure spending plateaus as datacenter capacity meets demand, competition compresses margins, regulatory scrutiny increases antitrust enforcement or export controls, investor sentiment shifts from growth toward value, or technological disruptions replace current AI paradigms through neuromorphic computing or photonic processors.</w:t>
      </w:r>
    </w:p>
    <w:p w14:paraId="711D0996" w14:textId="27073EFA" w:rsidR="0010363D" w:rsidRPr="0010363D" w:rsidRDefault="0010363D" w:rsidP="00137889">
      <w:pPr>
        <w:spacing w:before="100" w:beforeAutospacing="1" w:after="100" w:afterAutospacing="1" w:line="480" w:lineRule="auto"/>
        <w:ind w:firstLine="720"/>
        <w:rPr>
          <w:rFonts w:ascii="Times New Roman" w:eastAsia="Times New Roman" w:hAnsi="Times New Roman" w:cs="Times New Roman"/>
          <w:kern w:val="0"/>
          <w14:ligatures w14:val="none"/>
        </w:rPr>
      </w:pPr>
      <w:r w:rsidRPr="0010363D">
        <w:rPr>
          <w:rFonts w:ascii="Times New Roman" w:eastAsia="Times New Roman" w:hAnsi="Times New Roman" w:cs="Times New Roman"/>
          <w:kern w:val="0"/>
          <w14:ligatures w14:val="none"/>
        </w:rPr>
        <w:t>Programming Assignment 3's HMM regime framework trains on full historical SPY sample introducing look-ahead bias where future data informs current regime classification. The hybrid strategy's CAGR and Sharpe depend on regime detection accuracy achieved only through retrospective full-sample training with multi-path Monte Carlo simulation revealing degradation</w:t>
      </w:r>
      <w:r w:rsidR="00421F5C">
        <w:rPr>
          <w:rFonts w:ascii="Times New Roman" w:eastAsia="Times New Roman" w:hAnsi="Times New Roman" w:cs="Times New Roman"/>
          <w:kern w:val="0"/>
          <w14:ligatures w14:val="none"/>
        </w:rPr>
        <w:t xml:space="preserve"> </w:t>
      </w:r>
      <w:r w:rsidRPr="0010363D">
        <w:rPr>
          <w:rFonts w:ascii="Times New Roman" w:eastAsia="Times New Roman" w:hAnsi="Times New Roman" w:cs="Times New Roman"/>
          <w:kern w:val="0"/>
          <w14:ligatures w14:val="none"/>
        </w:rPr>
        <w:t xml:space="preserve">when regime classification confronts alternative return sequences without look-ahead </w:t>
      </w:r>
      <w:r w:rsidRPr="0010363D">
        <w:rPr>
          <w:rFonts w:ascii="Times New Roman" w:eastAsia="Times New Roman" w:hAnsi="Times New Roman" w:cs="Times New Roman"/>
          <w:kern w:val="0"/>
          <w14:ligatures w14:val="none"/>
        </w:rPr>
        <w:lastRenderedPageBreak/>
        <w:t>advantages. For production deployment, regime detection requires expanding window estimation where HMM parameters re-estimate monthly using only data through current date</w:t>
      </w:r>
      <w:r w:rsidR="008B4B5B">
        <w:rPr>
          <w:rFonts w:ascii="Times New Roman" w:eastAsia="Times New Roman" w:hAnsi="Times New Roman" w:cs="Times New Roman"/>
          <w:kern w:val="0"/>
          <w14:ligatures w14:val="none"/>
        </w:rPr>
        <w:t>.</w:t>
      </w:r>
      <w:r w:rsidR="00137889">
        <w:rPr>
          <w:rFonts w:ascii="Times New Roman" w:eastAsia="Times New Roman" w:hAnsi="Times New Roman" w:cs="Times New Roman"/>
          <w:kern w:val="0"/>
          <w14:ligatures w14:val="none"/>
        </w:rPr>
        <w:t xml:space="preserve"> </w:t>
      </w:r>
      <w:r w:rsidRPr="0010363D">
        <w:rPr>
          <w:rFonts w:ascii="Times New Roman" w:eastAsia="Times New Roman" w:hAnsi="Times New Roman" w:cs="Times New Roman"/>
          <w:kern w:val="0"/>
          <w14:ligatures w14:val="none"/>
        </w:rPr>
        <w:t>Real-time accuracy likely degrades 20-40% versus retrospective full-sample classification reducing hybrid strategy expected performance.</w:t>
      </w:r>
      <w:r w:rsidR="00011270">
        <w:rPr>
          <w:rFonts w:ascii="Times New Roman" w:eastAsia="Times New Roman" w:hAnsi="Times New Roman" w:cs="Times New Roman"/>
          <w:kern w:val="0"/>
          <w14:ligatures w14:val="none"/>
        </w:rPr>
        <w:t xml:space="preserve"> </w:t>
      </w:r>
      <w:r w:rsidRPr="0010363D">
        <w:rPr>
          <w:rFonts w:ascii="Times New Roman" w:eastAsia="Times New Roman" w:hAnsi="Times New Roman" w:cs="Times New Roman"/>
          <w:kern w:val="0"/>
          <w14:ligatures w14:val="none"/>
        </w:rPr>
        <w:t>The ATTF universe includes successful technology companies that survived and thrived over the backtest period. Firms that failed, delisted, or experienced permanent impairment do not appear in analysis potentially overstating expected returns through survivorship bias. Examples of excluded failures include cryptocurrency miners that went bankrupt during crypto winter in 2022, space SPACs that collapsed after mergers with multiple de-listings during 2022-2023, and AI hardware startups that failed to achieve commercial traction. While inclusion of established names including MSFT, IBM, ORCL, GOOG, BA, and HON partially mitigates survivorship bias, the cryptocurrency and quantum computing sleeves concentrate in recent IPOs with limited track records where historical returns reflect winners without accounting for capital losses from losers that would exist in real-time portfolio construction.</w:t>
      </w:r>
    </w:p>
    <w:p w14:paraId="15FC05A2" w14:textId="630891C6" w:rsidR="009D0268" w:rsidRDefault="0010363D" w:rsidP="00BF1BF9">
      <w:pPr>
        <w:spacing w:before="100" w:beforeAutospacing="1" w:after="100" w:afterAutospacing="1" w:line="480" w:lineRule="auto"/>
        <w:ind w:firstLine="720"/>
        <w:rPr>
          <w:rFonts w:ascii="Times New Roman" w:eastAsia="Times New Roman" w:hAnsi="Times New Roman" w:cs="Times New Roman"/>
          <w:kern w:val="0"/>
          <w14:ligatures w14:val="none"/>
        </w:rPr>
      </w:pPr>
      <w:r w:rsidRPr="0010363D">
        <w:rPr>
          <w:rFonts w:ascii="Times New Roman" w:eastAsia="Times New Roman" w:hAnsi="Times New Roman" w:cs="Times New Roman"/>
          <w:kern w:val="0"/>
          <w14:ligatures w14:val="none"/>
        </w:rPr>
        <w:t xml:space="preserve">Checkpoint C confirms that systematic, rules-based quantitative management provides a viable alternative to discretionary active management in transformational technology sectors. The integration of machine learning walk-forward validation, regime-aware tactical allocation, comprehensive fee modeling, pairs trading evaluation, multi-path Monte Carlo simulation, and extended historical validation </w:t>
      </w:r>
      <w:r w:rsidR="00BF1BF9" w:rsidRPr="0010363D">
        <w:rPr>
          <w:rFonts w:ascii="Times New Roman" w:eastAsia="Times New Roman" w:hAnsi="Times New Roman" w:cs="Times New Roman"/>
          <w:kern w:val="0"/>
          <w14:ligatures w14:val="none"/>
        </w:rPr>
        <w:t>provide</w:t>
      </w:r>
      <w:r w:rsidRPr="0010363D">
        <w:rPr>
          <w:rFonts w:ascii="Times New Roman" w:eastAsia="Times New Roman" w:hAnsi="Times New Roman" w:cs="Times New Roman"/>
          <w:kern w:val="0"/>
          <w14:ligatures w14:val="none"/>
        </w:rPr>
        <w:t xml:space="preserve"> robust evidence supporting the ATTF investment thesis.</w:t>
      </w:r>
      <w:r w:rsidR="00E82FCB">
        <w:rPr>
          <w:rFonts w:ascii="Times New Roman" w:eastAsia="Times New Roman" w:hAnsi="Times New Roman" w:cs="Times New Roman"/>
          <w:kern w:val="0"/>
          <w14:ligatures w14:val="none"/>
        </w:rPr>
        <w:t xml:space="preserve"> After implementing proper temporal alignment, the ML </w:t>
      </w:r>
      <w:r w:rsidR="00ED2C4E">
        <w:rPr>
          <w:rFonts w:ascii="Times New Roman" w:eastAsia="Times New Roman" w:hAnsi="Times New Roman" w:cs="Times New Roman"/>
          <w:kern w:val="0"/>
          <w14:ligatures w14:val="none"/>
        </w:rPr>
        <w:t xml:space="preserve">Ridge regression </w:t>
      </w:r>
      <w:r w:rsidR="00E82FCB">
        <w:rPr>
          <w:rFonts w:ascii="Times New Roman" w:eastAsia="Times New Roman" w:hAnsi="Times New Roman" w:cs="Times New Roman"/>
          <w:kern w:val="0"/>
          <w14:ligatures w14:val="none"/>
        </w:rPr>
        <w:t>strategy delivers solid performance but does not exceed the results of momentum-based approaches</w:t>
      </w:r>
      <w:r w:rsidR="00ED2C4E">
        <w:rPr>
          <w:rFonts w:ascii="Times New Roman" w:eastAsia="Times New Roman" w:hAnsi="Times New Roman" w:cs="Times New Roman"/>
          <w:kern w:val="0"/>
          <w14:ligatures w14:val="none"/>
        </w:rPr>
        <w:t xml:space="preserve">. The hybrid regime-switching system also performs well, although it’s -48% drawdown and sensitivity to full-sample HMM training </w:t>
      </w:r>
      <w:r w:rsidR="00BF1BF9">
        <w:rPr>
          <w:rFonts w:ascii="Times New Roman" w:eastAsia="Times New Roman" w:hAnsi="Times New Roman" w:cs="Times New Roman"/>
          <w:kern w:val="0"/>
          <w14:ligatures w14:val="none"/>
        </w:rPr>
        <w:t>highlights</w:t>
      </w:r>
      <w:r w:rsidR="00ED2C4E">
        <w:rPr>
          <w:rFonts w:ascii="Times New Roman" w:eastAsia="Times New Roman" w:hAnsi="Times New Roman" w:cs="Times New Roman"/>
          <w:kern w:val="0"/>
          <w14:ligatures w14:val="none"/>
        </w:rPr>
        <w:t xml:space="preserve"> the need for substantial refinement before production </w:t>
      </w:r>
      <w:r w:rsidR="00ED2C4E">
        <w:rPr>
          <w:rFonts w:ascii="Times New Roman" w:eastAsia="Times New Roman" w:hAnsi="Times New Roman" w:cs="Times New Roman"/>
          <w:kern w:val="0"/>
          <w14:ligatures w14:val="none"/>
        </w:rPr>
        <w:lastRenderedPageBreak/>
        <w:t xml:space="preserve">deployment. Overall, the ATTF analysis shows that transparent, rules-based </w:t>
      </w:r>
      <w:r w:rsidR="00C013D9">
        <w:rPr>
          <w:rFonts w:ascii="Times New Roman" w:eastAsia="Times New Roman" w:hAnsi="Times New Roman" w:cs="Times New Roman"/>
          <w:kern w:val="0"/>
          <w14:ligatures w14:val="none"/>
        </w:rPr>
        <w:t>allocation</w:t>
      </w:r>
      <w:r w:rsidR="00BF1BF9">
        <w:rPr>
          <w:rFonts w:ascii="Times New Roman" w:eastAsia="Times New Roman" w:hAnsi="Times New Roman" w:cs="Times New Roman"/>
          <w:kern w:val="0"/>
          <w14:ligatures w14:val="none"/>
        </w:rPr>
        <w:t xml:space="preserve"> can provide institutional investors with a differential thematic technology strategy with disciplined implementation, reduced behavioral biases, and clear performance expectations relative to passive sector benchmarks.</w:t>
      </w:r>
    </w:p>
    <w:p w14:paraId="0681B9AF" w14:textId="77777777" w:rsidR="009D0268" w:rsidRDefault="009D0268" w:rsidP="00816B49">
      <w:pPr>
        <w:spacing w:before="100" w:beforeAutospacing="1" w:after="100" w:afterAutospacing="1" w:line="480" w:lineRule="auto"/>
        <w:ind w:firstLine="720"/>
        <w:rPr>
          <w:rFonts w:ascii="Times New Roman" w:eastAsia="Times New Roman" w:hAnsi="Times New Roman" w:cs="Times New Roman"/>
          <w:kern w:val="0"/>
          <w14:ligatures w14:val="none"/>
        </w:rPr>
      </w:pPr>
    </w:p>
    <w:p w14:paraId="2A02209C" w14:textId="77777777" w:rsidR="009D0268" w:rsidRDefault="009D0268" w:rsidP="00816B49">
      <w:pPr>
        <w:spacing w:before="100" w:beforeAutospacing="1" w:after="100" w:afterAutospacing="1" w:line="480" w:lineRule="auto"/>
        <w:ind w:firstLine="720"/>
        <w:rPr>
          <w:rFonts w:ascii="Times New Roman" w:eastAsia="Times New Roman" w:hAnsi="Times New Roman" w:cs="Times New Roman"/>
          <w:kern w:val="0"/>
          <w14:ligatures w14:val="none"/>
        </w:rPr>
      </w:pPr>
    </w:p>
    <w:p w14:paraId="434ADB1E" w14:textId="77777777" w:rsidR="009D0268" w:rsidRDefault="009D0268" w:rsidP="00816B49">
      <w:pPr>
        <w:spacing w:before="100" w:beforeAutospacing="1" w:after="100" w:afterAutospacing="1" w:line="480" w:lineRule="auto"/>
        <w:ind w:firstLine="720"/>
        <w:rPr>
          <w:rFonts w:ascii="Times New Roman" w:eastAsia="Times New Roman" w:hAnsi="Times New Roman" w:cs="Times New Roman"/>
          <w:kern w:val="0"/>
          <w14:ligatures w14:val="none"/>
        </w:rPr>
      </w:pPr>
    </w:p>
    <w:p w14:paraId="02CCE5E5" w14:textId="77777777" w:rsidR="009D0268" w:rsidRDefault="009D0268" w:rsidP="00816B49">
      <w:pPr>
        <w:spacing w:before="100" w:beforeAutospacing="1" w:after="100" w:afterAutospacing="1" w:line="480" w:lineRule="auto"/>
        <w:ind w:firstLine="720"/>
        <w:rPr>
          <w:rFonts w:ascii="Times New Roman" w:eastAsia="Times New Roman" w:hAnsi="Times New Roman" w:cs="Times New Roman"/>
          <w:kern w:val="0"/>
          <w14:ligatures w14:val="none"/>
        </w:rPr>
      </w:pPr>
    </w:p>
    <w:p w14:paraId="158125D2" w14:textId="77777777" w:rsidR="009D0268" w:rsidRDefault="009D0268" w:rsidP="004B75FB">
      <w:pPr>
        <w:spacing w:before="100" w:beforeAutospacing="1" w:after="100" w:afterAutospacing="1" w:line="480" w:lineRule="auto"/>
        <w:rPr>
          <w:rFonts w:ascii="Times New Roman" w:eastAsia="Times New Roman" w:hAnsi="Times New Roman" w:cs="Times New Roman"/>
          <w:kern w:val="0"/>
          <w14:ligatures w14:val="none"/>
        </w:rPr>
      </w:pPr>
    </w:p>
    <w:p w14:paraId="11A7ED20" w14:textId="77777777" w:rsidR="00C013D9"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315A632A" w14:textId="77777777" w:rsidR="00C013D9"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1E80D48D" w14:textId="77777777" w:rsidR="00C013D9"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3BEF6A85" w14:textId="77777777" w:rsidR="00C013D9"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3BADDDC5" w14:textId="77777777" w:rsidR="00C013D9"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5E5D6E6B" w14:textId="77777777" w:rsidR="00C013D9"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62814740" w14:textId="77777777" w:rsidR="00C013D9"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0E13548A" w14:textId="77777777" w:rsidR="00C013D9" w:rsidRPr="003722BF" w:rsidRDefault="00C013D9" w:rsidP="004B75FB">
      <w:pPr>
        <w:spacing w:before="100" w:beforeAutospacing="1" w:after="100" w:afterAutospacing="1" w:line="480" w:lineRule="auto"/>
        <w:rPr>
          <w:rFonts w:ascii="Times New Roman" w:eastAsia="Times New Roman" w:hAnsi="Times New Roman" w:cs="Times New Roman"/>
          <w:kern w:val="0"/>
          <w14:ligatures w14:val="none"/>
        </w:rPr>
      </w:pPr>
    </w:p>
    <w:p w14:paraId="5CE9CEF8" w14:textId="0F00A26B" w:rsidR="00EF3927" w:rsidRPr="002042F2" w:rsidRDefault="009B2BBF" w:rsidP="002042F2">
      <w:pPr>
        <w:pStyle w:val="NormalWeb"/>
        <w:spacing w:line="480" w:lineRule="auto"/>
        <w:rPr>
          <w:rStyle w:val="Emphasis"/>
          <w:b/>
          <w:bCs/>
          <w:i w:val="0"/>
          <w:iCs w:val="0"/>
          <w:sz w:val="32"/>
          <w:szCs w:val="32"/>
          <w:u w:val="single"/>
        </w:rPr>
      </w:pPr>
      <w:r w:rsidRPr="002439FA">
        <w:rPr>
          <w:b/>
          <w:bCs/>
          <w:sz w:val="32"/>
          <w:szCs w:val="32"/>
          <w:u w:val="single"/>
        </w:rPr>
        <w:lastRenderedPageBreak/>
        <w:t>References</w:t>
      </w:r>
    </w:p>
    <w:p w14:paraId="2144DAC1" w14:textId="77777777" w:rsidR="003A6505" w:rsidRPr="00B805F5" w:rsidRDefault="003A6505" w:rsidP="003A6505">
      <w:pPr>
        <w:spacing w:before="100" w:beforeAutospacing="1" w:after="100" w:afterAutospacing="1" w:line="240" w:lineRule="auto"/>
        <w:rPr>
          <w:rFonts w:ascii="Times New Roman" w:eastAsia="Times New Roman" w:hAnsi="Times New Roman" w:cs="Times New Roman"/>
          <w:kern w:val="0"/>
          <w14:ligatures w14:val="none"/>
        </w:rPr>
      </w:pPr>
      <w:r w:rsidRPr="00B805F5">
        <w:rPr>
          <w:rFonts w:ascii="Times New Roman" w:eastAsia="Times New Roman" w:hAnsi="Times New Roman" w:cs="Times New Roman"/>
          <w:kern w:val="0"/>
          <w14:ligatures w14:val="none"/>
        </w:rPr>
        <w:t>Antonacci, G. 2014. Dual Momentum Investing: An Innovative Strategy for Higher Returns with Lower Risk. McGraw Hill.</w:t>
      </w:r>
    </w:p>
    <w:p w14:paraId="18982EB7" w14:textId="77777777" w:rsidR="003A6505" w:rsidRDefault="003A6505" w:rsidP="003A6505">
      <w:pPr>
        <w:spacing w:before="100" w:beforeAutospacing="1" w:after="100" w:afterAutospacing="1" w:line="240" w:lineRule="auto"/>
        <w:rPr>
          <w:rFonts w:ascii="Times New Roman" w:eastAsia="Times New Roman" w:hAnsi="Times New Roman" w:cs="Times New Roman"/>
          <w:kern w:val="0"/>
          <w14:ligatures w14:val="none"/>
        </w:rPr>
      </w:pPr>
    </w:p>
    <w:p w14:paraId="383A60F7" w14:textId="16F38DEB" w:rsidR="003A6505" w:rsidRDefault="003A6505" w:rsidP="003A6505">
      <w:pPr>
        <w:spacing w:before="100" w:beforeAutospacing="1" w:after="100" w:afterAutospacing="1" w:line="240" w:lineRule="auto"/>
        <w:rPr>
          <w:rFonts w:ascii="Times New Roman" w:eastAsia="Times New Roman" w:hAnsi="Times New Roman" w:cs="Times New Roman"/>
          <w:kern w:val="0"/>
          <w14:ligatures w14:val="none"/>
        </w:rPr>
      </w:pPr>
      <w:r w:rsidRPr="00B805F5">
        <w:rPr>
          <w:rFonts w:ascii="Times New Roman" w:eastAsia="Times New Roman" w:hAnsi="Times New Roman" w:cs="Times New Roman"/>
          <w:kern w:val="0"/>
          <w14:ligatures w14:val="none"/>
        </w:rPr>
        <w:t>Chan, E. 2009. Quantitative Trading: How to Build Your Own Algorithmic Trading Business. Wiley.</w:t>
      </w:r>
    </w:p>
    <w:p w14:paraId="49579EE0" w14:textId="77777777" w:rsidR="004C27BA" w:rsidRPr="00B805F5" w:rsidRDefault="004C27BA" w:rsidP="003A6505">
      <w:pPr>
        <w:spacing w:before="100" w:beforeAutospacing="1" w:after="100" w:afterAutospacing="1" w:line="240" w:lineRule="auto"/>
        <w:rPr>
          <w:rFonts w:ascii="Times New Roman" w:eastAsia="Times New Roman" w:hAnsi="Times New Roman" w:cs="Times New Roman"/>
          <w:kern w:val="0"/>
          <w14:ligatures w14:val="none"/>
        </w:rPr>
      </w:pPr>
    </w:p>
    <w:p w14:paraId="32A6AD76" w14:textId="77777777" w:rsidR="003A6505" w:rsidRPr="00B805F5" w:rsidRDefault="003A6505" w:rsidP="003A6505">
      <w:pPr>
        <w:spacing w:before="100" w:beforeAutospacing="1" w:after="100" w:afterAutospacing="1" w:line="240" w:lineRule="auto"/>
        <w:rPr>
          <w:rFonts w:ascii="Times New Roman" w:eastAsia="Times New Roman" w:hAnsi="Times New Roman" w:cs="Times New Roman"/>
          <w:kern w:val="0"/>
          <w14:ligatures w14:val="none"/>
        </w:rPr>
      </w:pPr>
      <w:r w:rsidRPr="00B805F5">
        <w:rPr>
          <w:rFonts w:ascii="Times New Roman" w:eastAsia="Times New Roman" w:hAnsi="Times New Roman" w:cs="Times New Roman"/>
          <w:kern w:val="0"/>
          <w14:ligatures w14:val="none"/>
        </w:rPr>
        <w:t>Chan, E. 2020. Quantitative Trading: How to Build Your Own Algorithmic Trading Business (Second Edition). Wiley.</w:t>
      </w:r>
    </w:p>
    <w:p w14:paraId="4DFB2EAC" w14:textId="77777777" w:rsidR="003A6505" w:rsidRDefault="003A6505" w:rsidP="00334890">
      <w:pPr>
        <w:spacing w:before="100" w:beforeAutospacing="1" w:after="100" w:afterAutospacing="1" w:line="240" w:lineRule="auto"/>
        <w:rPr>
          <w:rFonts w:ascii="Times New Roman" w:eastAsia="Times New Roman" w:hAnsi="Times New Roman" w:cs="Times New Roman"/>
          <w:kern w:val="0"/>
          <w14:ligatures w14:val="none"/>
        </w:rPr>
      </w:pPr>
    </w:p>
    <w:p w14:paraId="04993C55" w14:textId="15A74B29" w:rsidR="00334890" w:rsidRPr="00334890" w:rsidRDefault="00334890" w:rsidP="00334890">
      <w:pPr>
        <w:spacing w:before="100" w:beforeAutospacing="1" w:after="100" w:afterAutospacing="1" w:line="240" w:lineRule="auto"/>
        <w:rPr>
          <w:rStyle w:val="Emphasis"/>
          <w:rFonts w:ascii="Times New Roman" w:eastAsia="Times New Roman" w:hAnsi="Times New Roman" w:cs="Times New Roman"/>
          <w:i w:val="0"/>
          <w:iCs w:val="0"/>
          <w:kern w:val="0"/>
          <w14:ligatures w14:val="none"/>
        </w:rPr>
      </w:pPr>
      <w:r w:rsidRPr="00B805F5">
        <w:rPr>
          <w:rFonts w:ascii="Times New Roman" w:eastAsia="Times New Roman" w:hAnsi="Times New Roman" w:cs="Times New Roman"/>
          <w:kern w:val="0"/>
          <w14:ligatures w14:val="none"/>
        </w:rPr>
        <w:t>De Prado, M. López. 2018. Advances in Financial Machine Learning. Wiley.</w:t>
      </w:r>
    </w:p>
    <w:p w14:paraId="3918FD50" w14:textId="77777777" w:rsidR="00334890" w:rsidRDefault="00334890" w:rsidP="009B2BBF">
      <w:pPr>
        <w:pStyle w:val="NormalWeb"/>
        <w:rPr>
          <w:rStyle w:val="Emphasis"/>
          <w:rFonts w:eastAsiaTheme="majorEastAsia"/>
          <w:i w:val="0"/>
          <w:iCs w:val="0"/>
        </w:rPr>
      </w:pPr>
    </w:p>
    <w:p w14:paraId="5F694198" w14:textId="77777777" w:rsidR="00237969" w:rsidRPr="00B805F5" w:rsidRDefault="00237969" w:rsidP="00237969">
      <w:pPr>
        <w:spacing w:before="100" w:beforeAutospacing="1" w:after="100" w:afterAutospacing="1" w:line="240" w:lineRule="auto"/>
        <w:rPr>
          <w:rFonts w:ascii="Times New Roman" w:eastAsia="Times New Roman" w:hAnsi="Times New Roman" w:cs="Times New Roman"/>
          <w:kern w:val="0"/>
          <w14:ligatures w14:val="none"/>
        </w:rPr>
      </w:pPr>
      <w:r w:rsidRPr="00B805F5">
        <w:rPr>
          <w:rFonts w:ascii="Times New Roman" w:eastAsia="Times New Roman" w:hAnsi="Times New Roman" w:cs="Times New Roman"/>
          <w:kern w:val="0"/>
          <w14:ligatures w14:val="none"/>
        </w:rPr>
        <w:t>Garner, T. 2019. Python for Finance: Mastering Data-Driven Finance (Second Edition). O'Reilly.</w:t>
      </w:r>
    </w:p>
    <w:p w14:paraId="065AAB46" w14:textId="77777777" w:rsidR="00237969" w:rsidRDefault="00237969" w:rsidP="009B2BBF">
      <w:pPr>
        <w:pStyle w:val="NormalWeb"/>
        <w:rPr>
          <w:rStyle w:val="Emphasis"/>
          <w:rFonts w:eastAsiaTheme="majorEastAsia"/>
          <w:i w:val="0"/>
          <w:iCs w:val="0"/>
        </w:rPr>
      </w:pPr>
    </w:p>
    <w:p w14:paraId="2734DFFF" w14:textId="77777777" w:rsidR="00237969" w:rsidRPr="00B805F5" w:rsidRDefault="00237969" w:rsidP="00237969">
      <w:pPr>
        <w:spacing w:before="100" w:beforeAutospacing="1" w:after="100" w:afterAutospacing="1" w:line="240" w:lineRule="auto"/>
        <w:rPr>
          <w:rFonts w:ascii="Times New Roman" w:eastAsia="Times New Roman" w:hAnsi="Times New Roman" w:cs="Times New Roman"/>
          <w:kern w:val="0"/>
          <w14:ligatures w14:val="none"/>
        </w:rPr>
      </w:pPr>
      <w:r w:rsidRPr="00B805F5">
        <w:rPr>
          <w:rFonts w:ascii="Times New Roman" w:eastAsia="Times New Roman" w:hAnsi="Times New Roman" w:cs="Times New Roman"/>
          <w:kern w:val="0"/>
          <w14:ligatures w14:val="none"/>
        </w:rPr>
        <w:t>Guidolin, M., Timmermann, A. 2008. International Asset Allocation under Regime Switching, Skew, and Kurtosis Preferences. Review of Financial Studies 21(2): 889-935.</w:t>
      </w:r>
    </w:p>
    <w:p w14:paraId="2E9BB9D5" w14:textId="77777777" w:rsidR="00237969" w:rsidRDefault="00237969" w:rsidP="009B2BBF">
      <w:pPr>
        <w:pStyle w:val="NormalWeb"/>
        <w:rPr>
          <w:rStyle w:val="Emphasis"/>
          <w:rFonts w:eastAsiaTheme="majorEastAsia"/>
          <w:i w:val="0"/>
          <w:iCs w:val="0"/>
        </w:rPr>
      </w:pPr>
    </w:p>
    <w:p w14:paraId="1095EAD9" w14:textId="05AC2BCD" w:rsidR="007F6DA2" w:rsidRDefault="007F6DA2" w:rsidP="009B2BBF">
      <w:pPr>
        <w:pStyle w:val="NormalWeb"/>
        <w:rPr>
          <w:rStyle w:val="Emphasis"/>
          <w:rFonts w:eastAsiaTheme="majorEastAsia"/>
          <w:i w:val="0"/>
          <w:iCs w:val="0"/>
        </w:rPr>
      </w:pPr>
      <w:r>
        <w:rPr>
          <w:rStyle w:val="Emphasis"/>
          <w:rFonts w:eastAsiaTheme="majorEastAsia"/>
          <w:i w:val="0"/>
          <w:iCs w:val="0"/>
        </w:rPr>
        <w:t>Glasserman, P.</w:t>
      </w:r>
      <w:r w:rsidR="003972C9">
        <w:rPr>
          <w:rStyle w:val="Emphasis"/>
          <w:rFonts w:eastAsiaTheme="majorEastAsia"/>
          <w:i w:val="0"/>
          <w:iCs w:val="0"/>
        </w:rPr>
        <w:t xml:space="preserve"> </w:t>
      </w:r>
      <w:r>
        <w:rPr>
          <w:rStyle w:val="Emphasis"/>
          <w:rFonts w:eastAsiaTheme="majorEastAsia"/>
          <w:i w:val="0"/>
          <w:iCs w:val="0"/>
        </w:rPr>
        <w:t xml:space="preserve">2004. </w:t>
      </w:r>
      <w:r>
        <w:rPr>
          <w:rStyle w:val="Emphasis"/>
          <w:rFonts w:eastAsiaTheme="majorEastAsia"/>
        </w:rPr>
        <w:t xml:space="preserve">Monte Carlo Methods in Financial Engineering. </w:t>
      </w:r>
      <w:r>
        <w:rPr>
          <w:rStyle w:val="Emphasis"/>
          <w:rFonts w:eastAsiaTheme="majorEastAsia"/>
          <w:i w:val="0"/>
          <w:iCs w:val="0"/>
        </w:rPr>
        <w:t>Spring</w:t>
      </w:r>
      <w:r w:rsidR="003E45B9">
        <w:rPr>
          <w:rStyle w:val="Emphasis"/>
          <w:rFonts w:eastAsiaTheme="majorEastAsia"/>
          <w:i w:val="0"/>
          <w:iCs w:val="0"/>
        </w:rPr>
        <w:t>er</w:t>
      </w:r>
    </w:p>
    <w:p w14:paraId="0E9047CB" w14:textId="77777777" w:rsidR="00421A15" w:rsidRDefault="00421A15" w:rsidP="001D79D5">
      <w:pPr>
        <w:pStyle w:val="NormalWeb"/>
        <w:rPr>
          <w:rStyle w:val="Emphasis"/>
          <w:rFonts w:eastAsiaTheme="majorEastAsia"/>
          <w:i w:val="0"/>
          <w:iCs w:val="0"/>
        </w:rPr>
      </w:pPr>
    </w:p>
    <w:p w14:paraId="46E97DC8" w14:textId="35EB4901" w:rsidR="00B36710" w:rsidRDefault="00B36710" w:rsidP="00B36710">
      <w:pPr>
        <w:pStyle w:val="NormalWeb"/>
        <w:rPr>
          <w:rStyle w:val="Emphasis"/>
          <w:rFonts w:eastAsiaTheme="majorEastAsia"/>
          <w:i w:val="0"/>
          <w:iCs w:val="0"/>
        </w:rPr>
      </w:pPr>
      <w:r w:rsidRPr="00242106">
        <w:rPr>
          <w:rStyle w:val="Emphasis"/>
          <w:rFonts w:eastAsiaTheme="majorEastAsia"/>
          <w:i w:val="0"/>
          <w:iCs w:val="0"/>
        </w:rPr>
        <w:t>Moreira, A., Muir, T.</w:t>
      </w:r>
      <w:r w:rsidR="00C30930">
        <w:rPr>
          <w:rStyle w:val="Emphasis"/>
          <w:rFonts w:eastAsiaTheme="majorEastAsia"/>
          <w:i w:val="0"/>
          <w:iCs w:val="0"/>
        </w:rPr>
        <w:t xml:space="preserve"> </w:t>
      </w:r>
      <w:r w:rsidRPr="00242106">
        <w:rPr>
          <w:rStyle w:val="Emphasis"/>
          <w:rFonts w:eastAsiaTheme="majorEastAsia"/>
          <w:i w:val="0"/>
          <w:iCs w:val="0"/>
        </w:rPr>
        <w:t>2017</w:t>
      </w:r>
      <w:r w:rsidR="00C30930">
        <w:rPr>
          <w:rStyle w:val="Emphasis"/>
          <w:rFonts w:eastAsiaTheme="majorEastAsia"/>
          <w:i w:val="0"/>
          <w:iCs w:val="0"/>
        </w:rPr>
        <w:t>.</w:t>
      </w:r>
      <w:r w:rsidRPr="00242106">
        <w:rPr>
          <w:rStyle w:val="Emphasis"/>
          <w:rFonts w:eastAsiaTheme="majorEastAsia"/>
          <w:i w:val="0"/>
          <w:iCs w:val="0"/>
        </w:rPr>
        <w:t xml:space="preserve"> </w:t>
      </w:r>
      <w:r w:rsidRPr="00242106">
        <w:rPr>
          <w:rStyle w:val="Emphasis"/>
          <w:rFonts w:eastAsiaTheme="majorEastAsia"/>
        </w:rPr>
        <w:t>Volatility Managed Portfolios</w:t>
      </w:r>
      <w:r w:rsidRPr="00242106">
        <w:rPr>
          <w:rStyle w:val="Emphasis"/>
          <w:rFonts w:eastAsiaTheme="majorEastAsia"/>
          <w:i w:val="0"/>
          <w:iCs w:val="0"/>
        </w:rPr>
        <w:t xml:space="preserve">, Yale, Retrieved on 09 October 2025 from </w:t>
      </w:r>
      <w:hyperlink r:id="rId13" w:history="1">
        <w:r w:rsidRPr="007D5D58">
          <w:rPr>
            <w:rStyle w:val="Hyperlink"/>
            <w:rFonts w:eastAsiaTheme="majorEastAsia"/>
          </w:rPr>
          <w:t>https://papers.ssrn.com/sol3/papers.cfm?abstract_id=2659431</w:t>
        </w:r>
      </w:hyperlink>
    </w:p>
    <w:p w14:paraId="2C0E97FD" w14:textId="77777777" w:rsidR="00B36710" w:rsidRDefault="00B36710" w:rsidP="001D79D5">
      <w:pPr>
        <w:pStyle w:val="NormalWeb"/>
        <w:rPr>
          <w:rStyle w:val="Emphasis"/>
          <w:rFonts w:eastAsiaTheme="majorEastAsia"/>
          <w:i w:val="0"/>
          <w:iCs w:val="0"/>
        </w:rPr>
      </w:pPr>
    </w:p>
    <w:p w14:paraId="247133CD" w14:textId="77777777" w:rsidR="00334890" w:rsidRPr="00B805F5" w:rsidRDefault="00334890" w:rsidP="00334890">
      <w:pPr>
        <w:spacing w:before="100" w:beforeAutospacing="1" w:after="100" w:afterAutospacing="1" w:line="240" w:lineRule="auto"/>
        <w:rPr>
          <w:rFonts w:ascii="Times New Roman" w:eastAsia="Times New Roman" w:hAnsi="Times New Roman" w:cs="Times New Roman"/>
          <w:kern w:val="0"/>
          <w14:ligatures w14:val="none"/>
        </w:rPr>
      </w:pPr>
      <w:r w:rsidRPr="00B805F5">
        <w:rPr>
          <w:rFonts w:ascii="Times New Roman" w:eastAsia="Times New Roman" w:hAnsi="Times New Roman" w:cs="Times New Roman"/>
          <w:kern w:val="0"/>
          <w14:ligatures w14:val="none"/>
        </w:rPr>
        <w:t>Pardo, R. 2008. The Evaluation and Optimization of Trading Strategies (Second Edition). Wiley.</w:t>
      </w:r>
    </w:p>
    <w:p w14:paraId="2A694B0E" w14:textId="77777777" w:rsidR="00334890" w:rsidRDefault="00334890" w:rsidP="001D79D5">
      <w:pPr>
        <w:pStyle w:val="NormalWeb"/>
        <w:rPr>
          <w:rStyle w:val="Emphasis"/>
          <w:rFonts w:eastAsiaTheme="majorEastAsia"/>
          <w:i w:val="0"/>
          <w:iCs w:val="0"/>
        </w:rPr>
      </w:pPr>
    </w:p>
    <w:p w14:paraId="223BFD97" w14:textId="7E6F64DE" w:rsidR="00C413B7" w:rsidRPr="00630757" w:rsidRDefault="00C413B7" w:rsidP="008F2F3F">
      <w:pPr>
        <w:spacing w:line="480" w:lineRule="auto"/>
        <w:rPr>
          <w:rFonts w:ascii="Times New Roman" w:hAnsi="Times New Roman" w:cs="Times New Roman"/>
        </w:rPr>
      </w:pPr>
    </w:p>
    <w:sectPr w:rsidR="00C413B7" w:rsidRPr="00630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AD0"/>
    <w:multiLevelType w:val="multilevel"/>
    <w:tmpl w:val="D8C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3C3"/>
    <w:multiLevelType w:val="multilevel"/>
    <w:tmpl w:val="708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542C"/>
    <w:multiLevelType w:val="multilevel"/>
    <w:tmpl w:val="E6C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053E3"/>
    <w:multiLevelType w:val="multilevel"/>
    <w:tmpl w:val="DA9C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94CB2"/>
    <w:multiLevelType w:val="multilevel"/>
    <w:tmpl w:val="1F9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01CEF"/>
    <w:multiLevelType w:val="multilevel"/>
    <w:tmpl w:val="614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12153"/>
    <w:multiLevelType w:val="multilevel"/>
    <w:tmpl w:val="704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91CDF"/>
    <w:multiLevelType w:val="multilevel"/>
    <w:tmpl w:val="8BC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D1B18"/>
    <w:multiLevelType w:val="multilevel"/>
    <w:tmpl w:val="4CC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54295"/>
    <w:multiLevelType w:val="multilevel"/>
    <w:tmpl w:val="1FD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113A4"/>
    <w:multiLevelType w:val="multilevel"/>
    <w:tmpl w:val="6BB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C66D1"/>
    <w:multiLevelType w:val="multilevel"/>
    <w:tmpl w:val="3F74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E5D16"/>
    <w:multiLevelType w:val="multilevel"/>
    <w:tmpl w:val="A80C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41CD1"/>
    <w:multiLevelType w:val="multilevel"/>
    <w:tmpl w:val="6FB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01B7D"/>
    <w:multiLevelType w:val="multilevel"/>
    <w:tmpl w:val="75E2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E5970"/>
    <w:multiLevelType w:val="multilevel"/>
    <w:tmpl w:val="D180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56D6D"/>
    <w:multiLevelType w:val="multilevel"/>
    <w:tmpl w:val="886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F0822"/>
    <w:multiLevelType w:val="multilevel"/>
    <w:tmpl w:val="8554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E4076"/>
    <w:multiLevelType w:val="multilevel"/>
    <w:tmpl w:val="7C32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755D4"/>
    <w:multiLevelType w:val="multilevel"/>
    <w:tmpl w:val="C7F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85FE3"/>
    <w:multiLevelType w:val="multilevel"/>
    <w:tmpl w:val="83BE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5609B"/>
    <w:multiLevelType w:val="multilevel"/>
    <w:tmpl w:val="D1C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A3429"/>
    <w:multiLevelType w:val="multilevel"/>
    <w:tmpl w:val="876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E3767"/>
    <w:multiLevelType w:val="multilevel"/>
    <w:tmpl w:val="499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E6CAB"/>
    <w:multiLevelType w:val="multilevel"/>
    <w:tmpl w:val="762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96569"/>
    <w:multiLevelType w:val="multilevel"/>
    <w:tmpl w:val="93B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B1B27"/>
    <w:multiLevelType w:val="multilevel"/>
    <w:tmpl w:val="973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46441"/>
    <w:multiLevelType w:val="multilevel"/>
    <w:tmpl w:val="9F50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10BE4"/>
    <w:multiLevelType w:val="multilevel"/>
    <w:tmpl w:val="AC0C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F69FE"/>
    <w:multiLevelType w:val="multilevel"/>
    <w:tmpl w:val="FE4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7573E"/>
    <w:multiLevelType w:val="multilevel"/>
    <w:tmpl w:val="542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7371C"/>
    <w:multiLevelType w:val="multilevel"/>
    <w:tmpl w:val="E42A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D3B5D"/>
    <w:multiLevelType w:val="multilevel"/>
    <w:tmpl w:val="18C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46831"/>
    <w:multiLevelType w:val="multilevel"/>
    <w:tmpl w:val="C5B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91F35"/>
    <w:multiLevelType w:val="multilevel"/>
    <w:tmpl w:val="CAE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411C8"/>
    <w:multiLevelType w:val="multilevel"/>
    <w:tmpl w:val="BBB0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592356">
    <w:abstractNumId w:val="28"/>
  </w:num>
  <w:num w:numId="2" w16cid:durableId="322709978">
    <w:abstractNumId w:val="20"/>
  </w:num>
  <w:num w:numId="3" w16cid:durableId="2105568364">
    <w:abstractNumId w:val="21"/>
  </w:num>
  <w:num w:numId="4" w16cid:durableId="826743556">
    <w:abstractNumId w:val="10"/>
  </w:num>
  <w:num w:numId="5" w16cid:durableId="1041397612">
    <w:abstractNumId w:val="4"/>
  </w:num>
  <w:num w:numId="6" w16cid:durableId="776565865">
    <w:abstractNumId w:val="14"/>
  </w:num>
  <w:num w:numId="7" w16cid:durableId="2104379577">
    <w:abstractNumId w:val="11"/>
  </w:num>
  <w:num w:numId="8" w16cid:durableId="1757941744">
    <w:abstractNumId w:val="27"/>
  </w:num>
  <w:num w:numId="9" w16cid:durableId="1754474511">
    <w:abstractNumId w:val="9"/>
  </w:num>
  <w:num w:numId="10" w16cid:durableId="918561511">
    <w:abstractNumId w:val="35"/>
  </w:num>
  <w:num w:numId="11" w16cid:durableId="1701858138">
    <w:abstractNumId w:val="6"/>
  </w:num>
  <w:num w:numId="12" w16cid:durableId="2006202219">
    <w:abstractNumId w:val="2"/>
  </w:num>
  <w:num w:numId="13" w16cid:durableId="1773739265">
    <w:abstractNumId w:val="23"/>
  </w:num>
  <w:num w:numId="14" w16cid:durableId="699625333">
    <w:abstractNumId w:val="32"/>
  </w:num>
  <w:num w:numId="15" w16cid:durableId="324356005">
    <w:abstractNumId w:val="5"/>
  </w:num>
  <w:num w:numId="16" w16cid:durableId="1367295711">
    <w:abstractNumId w:val="22"/>
  </w:num>
  <w:num w:numId="17" w16cid:durableId="1680424028">
    <w:abstractNumId w:val="3"/>
  </w:num>
  <w:num w:numId="18" w16cid:durableId="1304581139">
    <w:abstractNumId w:val="24"/>
  </w:num>
  <w:num w:numId="19" w16cid:durableId="401870340">
    <w:abstractNumId w:val="13"/>
  </w:num>
  <w:num w:numId="20" w16cid:durableId="1865705766">
    <w:abstractNumId w:val="26"/>
  </w:num>
  <w:num w:numId="21" w16cid:durableId="354379784">
    <w:abstractNumId w:val="7"/>
  </w:num>
  <w:num w:numId="22" w16cid:durableId="1199246151">
    <w:abstractNumId w:val="19"/>
  </w:num>
  <w:num w:numId="23" w16cid:durableId="805900433">
    <w:abstractNumId w:val="25"/>
  </w:num>
  <w:num w:numId="24" w16cid:durableId="377094895">
    <w:abstractNumId w:val="12"/>
  </w:num>
  <w:num w:numId="25" w16cid:durableId="4718689">
    <w:abstractNumId w:val="15"/>
  </w:num>
  <w:num w:numId="26" w16cid:durableId="1366370506">
    <w:abstractNumId w:val="8"/>
  </w:num>
  <w:num w:numId="27" w16cid:durableId="1488790472">
    <w:abstractNumId w:val="0"/>
  </w:num>
  <w:num w:numId="28" w16cid:durableId="1250850609">
    <w:abstractNumId w:val="30"/>
  </w:num>
  <w:num w:numId="29" w16cid:durableId="1108431334">
    <w:abstractNumId w:val="29"/>
  </w:num>
  <w:num w:numId="30" w16cid:durableId="321272805">
    <w:abstractNumId w:val="18"/>
  </w:num>
  <w:num w:numId="31" w16cid:durableId="1565221363">
    <w:abstractNumId w:val="33"/>
  </w:num>
  <w:num w:numId="32" w16cid:durableId="468746089">
    <w:abstractNumId w:val="1"/>
  </w:num>
  <w:num w:numId="33" w16cid:durableId="261492275">
    <w:abstractNumId w:val="17"/>
  </w:num>
  <w:num w:numId="34" w16cid:durableId="1121067674">
    <w:abstractNumId w:val="31"/>
  </w:num>
  <w:num w:numId="35" w16cid:durableId="513692686">
    <w:abstractNumId w:val="16"/>
  </w:num>
  <w:num w:numId="36" w16cid:durableId="910776801">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57"/>
    <w:rsid w:val="00000BAB"/>
    <w:rsid w:val="00000D82"/>
    <w:rsid w:val="000016C2"/>
    <w:rsid w:val="000022E3"/>
    <w:rsid w:val="00004C6D"/>
    <w:rsid w:val="000109FB"/>
    <w:rsid w:val="00010A1B"/>
    <w:rsid w:val="00011270"/>
    <w:rsid w:val="0001264A"/>
    <w:rsid w:val="0001487B"/>
    <w:rsid w:val="000222CD"/>
    <w:rsid w:val="000226D9"/>
    <w:rsid w:val="00023BEF"/>
    <w:rsid w:val="00024649"/>
    <w:rsid w:val="00024E03"/>
    <w:rsid w:val="000250D6"/>
    <w:rsid w:val="000278B2"/>
    <w:rsid w:val="000279C9"/>
    <w:rsid w:val="00031808"/>
    <w:rsid w:val="000320B5"/>
    <w:rsid w:val="000337A9"/>
    <w:rsid w:val="00034AD3"/>
    <w:rsid w:val="00035C60"/>
    <w:rsid w:val="00042105"/>
    <w:rsid w:val="000449A0"/>
    <w:rsid w:val="00044A2F"/>
    <w:rsid w:val="00051B85"/>
    <w:rsid w:val="00052210"/>
    <w:rsid w:val="000537BF"/>
    <w:rsid w:val="0005575A"/>
    <w:rsid w:val="000563A7"/>
    <w:rsid w:val="00060746"/>
    <w:rsid w:val="00063859"/>
    <w:rsid w:val="00064D25"/>
    <w:rsid w:val="00065A2C"/>
    <w:rsid w:val="000672FB"/>
    <w:rsid w:val="00072184"/>
    <w:rsid w:val="00074A08"/>
    <w:rsid w:val="0007713F"/>
    <w:rsid w:val="00077508"/>
    <w:rsid w:val="000779C2"/>
    <w:rsid w:val="00080370"/>
    <w:rsid w:val="00080A9C"/>
    <w:rsid w:val="000816EB"/>
    <w:rsid w:val="000831EC"/>
    <w:rsid w:val="00083927"/>
    <w:rsid w:val="0008592D"/>
    <w:rsid w:val="00086731"/>
    <w:rsid w:val="000907FE"/>
    <w:rsid w:val="00092A91"/>
    <w:rsid w:val="00093710"/>
    <w:rsid w:val="00093BC8"/>
    <w:rsid w:val="000945BA"/>
    <w:rsid w:val="00094BCB"/>
    <w:rsid w:val="000958FD"/>
    <w:rsid w:val="00097687"/>
    <w:rsid w:val="0009780C"/>
    <w:rsid w:val="000A00E5"/>
    <w:rsid w:val="000A0A13"/>
    <w:rsid w:val="000A0F4F"/>
    <w:rsid w:val="000A23A9"/>
    <w:rsid w:val="000A3254"/>
    <w:rsid w:val="000A3E71"/>
    <w:rsid w:val="000A45C8"/>
    <w:rsid w:val="000A5083"/>
    <w:rsid w:val="000B0895"/>
    <w:rsid w:val="000B0A7D"/>
    <w:rsid w:val="000B3055"/>
    <w:rsid w:val="000B4334"/>
    <w:rsid w:val="000B4373"/>
    <w:rsid w:val="000B4D63"/>
    <w:rsid w:val="000B710C"/>
    <w:rsid w:val="000B7469"/>
    <w:rsid w:val="000C04B1"/>
    <w:rsid w:val="000C3231"/>
    <w:rsid w:val="000C51BA"/>
    <w:rsid w:val="000C55DE"/>
    <w:rsid w:val="000C57D3"/>
    <w:rsid w:val="000D08A8"/>
    <w:rsid w:val="000D4D9D"/>
    <w:rsid w:val="000D6B35"/>
    <w:rsid w:val="000E227C"/>
    <w:rsid w:val="000E2BA7"/>
    <w:rsid w:val="000E2E89"/>
    <w:rsid w:val="000E3C43"/>
    <w:rsid w:val="000E5948"/>
    <w:rsid w:val="000E5B6E"/>
    <w:rsid w:val="000E63A1"/>
    <w:rsid w:val="000E6F47"/>
    <w:rsid w:val="000F1384"/>
    <w:rsid w:val="000F372E"/>
    <w:rsid w:val="000F38BB"/>
    <w:rsid w:val="000F3996"/>
    <w:rsid w:val="000F483F"/>
    <w:rsid w:val="000F547F"/>
    <w:rsid w:val="001008AA"/>
    <w:rsid w:val="001028D6"/>
    <w:rsid w:val="001029A8"/>
    <w:rsid w:val="0010363D"/>
    <w:rsid w:val="00111D8A"/>
    <w:rsid w:val="00113DAD"/>
    <w:rsid w:val="001168AE"/>
    <w:rsid w:val="0012327D"/>
    <w:rsid w:val="00123B68"/>
    <w:rsid w:val="001262E1"/>
    <w:rsid w:val="001333DC"/>
    <w:rsid w:val="00137889"/>
    <w:rsid w:val="001448C5"/>
    <w:rsid w:val="00145B69"/>
    <w:rsid w:val="00146214"/>
    <w:rsid w:val="00147292"/>
    <w:rsid w:val="00147EF0"/>
    <w:rsid w:val="001504B9"/>
    <w:rsid w:val="00150E25"/>
    <w:rsid w:val="00154FB6"/>
    <w:rsid w:val="0015609F"/>
    <w:rsid w:val="00157961"/>
    <w:rsid w:val="001600DF"/>
    <w:rsid w:val="001602E8"/>
    <w:rsid w:val="0016104E"/>
    <w:rsid w:val="0016321B"/>
    <w:rsid w:val="0016470A"/>
    <w:rsid w:val="0016628F"/>
    <w:rsid w:val="00170A0A"/>
    <w:rsid w:val="001716CE"/>
    <w:rsid w:val="00171E3C"/>
    <w:rsid w:val="00172A9D"/>
    <w:rsid w:val="00172DC0"/>
    <w:rsid w:val="001730AB"/>
    <w:rsid w:val="00174F6E"/>
    <w:rsid w:val="001764EB"/>
    <w:rsid w:val="00181D1A"/>
    <w:rsid w:val="0018310F"/>
    <w:rsid w:val="001842A1"/>
    <w:rsid w:val="001857C4"/>
    <w:rsid w:val="00186241"/>
    <w:rsid w:val="001871C3"/>
    <w:rsid w:val="001875CD"/>
    <w:rsid w:val="0019264B"/>
    <w:rsid w:val="001952BC"/>
    <w:rsid w:val="0019671D"/>
    <w:rsid w:val="00196BDB"/>
    <w:rsid w:val="00197BAD"/>
    <w:rsid w:val="001A0E71"/>
    <w:rsid w:val="001A1004"/>
    <w:rsid w:val="001A35F0"/>
    <w:rsid w:val="001A6147"/>
    <w:rsid w:val="001B0D03"/>
    <w:rsid w:val="001C02A4"/>
    <w:rsid w:val="001C098F"/>
    <w:rsid w:val="001C1256"/>
    <w:rsid w:val="001C1DE2"/>
    <w:rsid w:val="001C21EC"/>
    <w:rsid w:val="001C3FF4"/>
    <w:rsid w:val="001C71D2"/>
    <w:rsid w:val="001C7203"/>
    <w:rsid w:val="001D2499"/>
    <w:rsid w:val="001D3E77"/>
    <w:rsid w:val="001D4646"/>
    <w:rsid w:val="001D55BE"/>
    <w:rsid w:val="001D79D5"/>
    <w:rsid w:val="001D7C0C"/>
    <w:rsid w:val="001E0CDC"/>
    <w:rsid w:val="001E1408"/>
    <w:rsid w:val="001E54D2"/>
    <w:rsid w:val="001E5C5A"/>
    <w:rsid w:val="001E6400"/>
    <w:rsid w:val="001E6C77"/>
    <w:rsid w:val="001F0CE1"/>
    <w:rsid w:val="001F189F"/>
    <w:rsid w:val="001F452C"/>
    <w:rsid w:val="001F79A1"/>
    <w:rsid w:val="002042F2"/>
    <w:rsid w:val="0020482D"/>
    <w:rsid w:val="002068AD"/>
    <w:rsid w:val="00207132"/>
    <w:rsid w:val="002071F1"/>
    <w:rsid w:val="002072F0"/>
    <w:rsid w:val="0021063F"/>
    <w:rsid w:val="0021254C"/>
    <w:rsid w:val="002135D6"/>
    <w:rsid w:val="002140D0"/>
    <w:rsid w:val="002170D0"/>
    <w:rsid w:val="00217AE6"/>
    <w:rsid w:val="002241AC"/>
    <w:rsid w:val="002249AF"/>
    <w:rsid w:val="0022529E"/>
    <w:rsid w:val="00225C59"/>
    <w:rsid w:val="00226CED"/>
    <w:rsid w:val="00227C58"/>
    <w:rsid w:val="0023568D"/>
    <w:rsid w:val="002359D3"/>
    <w:rsid w:val="00237502"/>
    <w:rsid w:val="00237969"/>
    <w:rsid w:val="00241499"/>
    <w:rsid w:val="00242106"/>
    <w:rsid w:val="00242A54"/>
    <w:rsid w:val="00243FB2"/>
    <w:rsid w:val="00244CFA"/>
    <w:rsid w:val="002455D1"/>
    <w:rsid w:val="00245784"/>
    <w:rsid w:val="00245D0D"/>
    <w:rsid w:val="0024758E"/>
    <w:rsid w:val="00247802"/>
    <w:rsid w:val="00251645"/>
    <w:rsid w:val="00251D18"/>
    <w:rsid w:val="00252115"/>
    <w:rsid w:val="00252BD6"/>
    <w:rsid w:val="0025684E"/>
    <w:rsid w:val="00257B83"/>
    <w:rsid w:val="00257BF9"/>
    <w:rsid w:val="00260E40"/>
    <w:rsid w:val="00261096"/>
    <w:rsid w:val="00261FF3"/>
    <w:rsid w:val="002621B9"/>
    <w:rsid w:val="00263921"/>
    <w:rsid w:val="0026394E"/>
    <w:rsid w:val="0026513F"/>
    <w:rsid w:val="002717CD"/>
    <w:rsid w:val="00274E6E"/>
    <w:rsid w:val="0027728C"/>
    <w:rsid w:val="00277AEE"/>
    <w:rsid w:val="00280A7E"/>
    <w:rsid w:val="00284E2E"/>
    <w:rsid w:val="0028699A"/>
    <w:rsid w:val="00287C16"/>
    <w:rsid w:val="002908CC"/>
    <w:rsid w:val="002935F5"/>
    <w:rsid w:val="002938A3"/>
    <w:rsid w:val="00294FE5"/>
    <w:rsid w:val="002975EB"/>
    <w:rsid w:val="002A00EE"/>
    <w:rsid w:val="002A4148"/>
    <w:rsid w:val="002A41B6"/>
    <w:rsid w:val="002B279F"/>
    <w:rsid w:val="002B3CE4"/>
    <w:rsid w:val="002B5EAE"/>
    <w:rsid w:val="002C48E2"/>
    <w:rsid w:val="002C5146"/>
    <w:rsid w:val="002D2820"/>
    <w:rsid w:val="002D420F"/>
    <w:rsid w:val="002D74D0"/>
    <w:rsid w:val="002E6497"/>
    <w:rsid w:val="002F0897"/>
    <w:rsid w:val="002F4C12"/>
    <w:rsid w:val="002F59E7"/>
    <w:rsid w:val="003026F6"/>
    <w:rsid w:val="00302CE1"/>
    <w:rsid w:val="0030319D"/>
    <w:rsid w:val="003064FA"/>
    <w:rsid w:val="0030653E"/>
    <w:rsid w:val="00307A00"/>
    <w:rsid w:val="00311D10"/>
    <w:rsid w:val="003141A2"/>
    <w:rsid w:val="003154FC"/>
    <w:rsid w:val="003171DC"/>
    <w:rsid w:val="00320445"/>
    <w:rsid w:val="00321B37"/>
    <w:rsid w:val="00323306"/>
    <w:rsid w:val="003248E9"/>
    <w:rsid w:val="00326FE8"/>
    <w:rsid w:val="003272CB"/>
    <w:rsid w:val="003305E9"/>
    <w:rsid w:val="00330876"/>
    <w:rsid w:val="0033103E"/>
    <w:rsid w:val="00331D5E"/>
    <w:rsid w:val="00333AEC"/>
    <w:rsid w:val="00334751"/>
    <w:rsid w:val="00334890"/>
    <w:rsid w:val="00335D6E"/>
    <w:rsid w:val="00336F5A"/>
    <w:rsid w:val="00337AF5"/>
    <w:rsid w:val="00342E27"/>
    <w:rsid w:val="003435B0"/>
    <w:rsid w:val="003467A3"/>
    <w:rsid w:val="00351058"/>
    <w:rsid w:val="003512D6"/>
    <w:rsid w:val="0035161C"/>
    <w:rsid w:val="00351920"/>
    <w:rsid w:val="00352376"/>
    <w:rsid w:val="00353374"/>
    <w:rsid w:val="003547A8"/>
    <w:rsid w:val="00355862"/>
    <w:rsid w:val="003567CF"/>
    <w:rsid w:val="00357515"/>
    <w:rsid w:val="00360480"/>
    <w:rsid w:val="00361AAB"/>
    <w:rsid w:val="00370439"/>
    <w:rsid w:val="003722BF"/>
    <w:rsid w:val="00373286"/>
    <w:rsid w:val="003751D6"/>
    <w:rsid w:val="003778EF"/>
    <w:rsid w:val="00377B4D"/>
    <w:rsid w:val="00380F6D"/>
    <w:rsid w:val="003810CD"/>
    <w:rsid w:val="003832C6"/>
    <w:rsid w:val="003842D2"/>
    <w:rsid w:val="0038449E"/>
    <w:rsid w:val="003850E0"/>
    <w:rsid w:val="0038675E"/>
    <w:rsid w:val="00386D69"/>
    <w:rsid w:val="003916D2"/>
    <w:rsid w:val="00391B78"/>
    <w:rsid w:val="0039336B"/>
    <w:rsid w:val="003972C9"/>
    <w:rsid w:val="003A6505"/>
    <w:rsid w:val="003B36FE"/>
    <w:rsid w:val="003B6338"/>
    <w:rsid w:val="003B6A9F"/>
    <w:rsid w:val="003B6EEA"/>
    <w:rsid w:val="003B783F"/>
    <w:rsid w:val="003C0355"/>
    <w:rsid w:val="003C4A43"/>
    <w:rsid w:val="003C4BDE"/>
    <w:rsid w:val="003C61F3"/>
    <w:rsid w:val="003C7297"/>
    <w:rsid w:val="003C7AB1"/>
    <w:rsid w:val="003D18CE"/>
    <w:rsid w:val="003D5B87"/>
    <w:rsid w:val="003E14C5"/>
    <w:rsid w:val="003E45B9"/>
    <w:rsid w:val="003E76A0"/>
    <w:rsid w:val="003F4D7F"/>
    <w:rsid w:val="00400A75"/>
    <w:rsid w:val="0040246D"/>
    <w:rsid w:val="00402F11"/>
    <w:rsid w:val="00403468"/>
    <w:rsid w:val="00403D9B"/>
    <w:rsid w:val="00403EE3"/>
    <w:rsid w:val="00405D92"/>
    <w:rsid w:val="004069CD"/>
    <w:rsid w:val="004129ED"/>
    <w:rsid w:val="00413FD3"/>
    <w:rsid w:val="00415605"/>
    <w:rsid w:val="00417B1F"/>
    <w:rsid w:val="00421A15"/>
    <w:rsid w:val="00421F5C"/>
    <w:rsid w:val="00422383"/>
    <w:rsid w:val="004236A0"/>
    <w:rsid w:val="0042419D"/>
    <w:rsid w:val="00424C72"/>
    <w:rsid w:val="0042607D"/>
    <w:rsid w:val="00427D94"/>
    <w:rsid w:val="004313C5"/>
    <w:rsid w:val="00431A70"/>
    <w:rsid w:val="0043572A"/>
    <w:rsid w:val="00435C92"/>
    <w:rsid w:val="0044019F"/>
    <w:rsid w:val="004436C8"/>
    <w:rsid w:val="00443AE4"/>
    <w:rsid w:val="00444080"/>
    <w:rsid w:val="00445A16"/>
    <w:rsid w:val="00445F67"/>
    <w:rsid w:val="00445FFA"/>
    <w:rsid w:val="00446796"/>
    <w:rsid w:val="00446BD6"/>
    <w:rsid w:val="00447D4C"/>
    <w:rsid w:val="00452107"/>
    <w:rsid w:val="00461FAA"/>
    <w:rsid w:val="00462A94"/>
    <w:rsid w:val="004630A1"/>
    <w:rsid w:val="004635A9"/>
    <w:rsid w:val="0046362C"/>
    <w:rsid w:val="00466E0C"/>
    <w:rsid w:val="00467959"/>
    <w:rsid w:val="00471000"/>
    <w:rsid w:val="00476FA2"/>
    <w:rsid w:val="00477D19"/>
    <w:rsid w:val="0048075C"/>
    <w:rsid w:val="00481230"/>
    <w:rsid w:val="004848DB"/>
    <w:rsid w:val="00485014"/>
    <w:rsid w:val="00493066"/>
    <w:rsid w:val="00497120"/>
    <w:rsid w:val="004A0582"/>
    <w:rsid w:val="004A130D"/>
    <w:rsid w:val="004A17EF"/>
    <w:rsid w:val="004A3123"/>
    <w:rsid w:val="004A38FB"/>
    <w:rsid w:val="004A4663"/>
    <w:rsid w:val="004A470A"/>
    <w:rsid w:val="004B6986"/>
    <w:rsid w:val="004B6A78"/>
    <w:rsid w:val="004B75FB"/>
    <w:rsid w:val="004C1403"/>
    <w:rsid w:val="004C27BA"/>
    <w:rsid w:val="004C3C6A"/>
    <w:rsid w:val="004C6DB0"/>
    <w:rsid w:val="004C7343"/>
    <w:rsid w:val="004D1C28"/>
    <w:rsid w:val="004D394E"/>
    <w:rsid w:val="004D412C"/>
    <w:rsid w:val="004D5A9B"/>
    <w:rsid w:val="004D71C7"/>
    <w:rsid w:val="004D7AB5"/>
    <w:rsid w:val="004E0D4E"/>
    <w:rsid w:val="004E58CA"/>
    <w:rsid w:val="004E59BA"/>
    <w:rsid w:val="004E6014"/>
    <w:rsid w:val="004F0A17"/>
    <w:rsid w:val="004F0CBE"/>
    <w:rsid w:val="004F1677"/>
    <w:rsid w:val="004F1748"/>
    <w:rsid w:val="004F2BCB"/>
    <w:rsid w:val="004F2F33"/>
    <w:rsid w:val="004F6870"/>
    <w:rsid w:val="004F7553"/>
    <w:rsid w:val="004F7A02"/>
    <w:rsid w:val="005011FC"/>
    <w:rsid w:val="005020FD"/>
    <w:rsid w:val="005022B8"/>
    <w:rsid w:val="00510320"/>
    <w:rsid w:val="00512046"/>
    <w:rsid w:val="00512A29"/>
    <w:rsid w:val="00513FAB"/>
    <w:rsid w:val="00515421"/>
    <w:rsid w:val="00516488"/>
    <w:rsid w:val="00521CD4"/>
    <w:rsid w:val="005278CD"/>
    <w:rsid w:val="005279C3"/>
    <w:rsid w:val="00530ED5"/>
    <w:rsid w:val="00533445"/>
    <w:rsid w:val="005360F8"/>
    <w:rsid w:val="00540E88"/>
    <w:rsid w:val="0054123E"/>
    <w:rsid w:val="00542EDC"/>
    <w:rsid w:val="00542F42"/>
    <w:rsid w:val="00543B93"/>
    <w:rsid w:val="00544BD5"/>
    <w:rsid w:val="00544C70"/>
    <w:rsid w:val="00545170"/>
    <w:rsid w:val="005464DB"/>
    <w:rsid w:val="0054793B"/>
    <w:rsid w:val="00550739"/>
    <w:rsid w:val="0055097A"/>
    <w:rsid w:val="005535E2"/>
    <w:rsid w:val="005536E8"/>
    <w:rsid w:val="0055408A"/>
    <w:rsid w:val="00557E76"/>
    <w:rsid w:val="0056555D"/>
    <w:rsid w:val="00571AF5"/>
    <w:rsid w:val="00571B99"/>
    <w:rsid w:val="00574600"/>
    <w:rsid w:val="00576162"/>
    <w:rsid w:val="0057669D"/>
    <w:rsid w:val="005816D0"/>
    <w:rsid w:val="00582BC3"/>
    <w:rsid w:val="005855DB"/>
    <w:rsid w:val="005902E5"/>
    <w:rsid w:val="005902F3"/>
    <w:rsid w:val="00594801"/>
    <w:rsid w:val="00595700"/>
    <w:rsid w:val="005A1103"/>
    <w:rsid w:val="005A2E16"/>
    <w:rsid w:val="005A368F"/>
    <w:rsid w:val="005A3ACD"/>
    <w:rsid w:val="005A652A"/>
    <w:rsid w:val="005A6B92"/>
    <w:rsid w:val="005B0BB0"/>
    <w:rsid w:val="005B1677"/>
    <w:rsid w:val="005B1833"/>
    <w:rsid w:val="005B2DF0"/>
    <w:rsid w:val="005B31CB"/>
    <w:rsid w:val="005B39C3"/>
    <w:rsid w:val="005B56C2"/>
    <w:rsid w:val="005B5CBE"/>
    <w:rsid w:val="005B5EA7"/>
    <w:rsid w:val="005B7690"/>
    <w:rsid w:val="005C1A5D"/>
    <w:rsid w:val="005C472E"/>
    <w:rsid w:val="005C5238"/>
    <w:rsid w:val="005C64C8"/>
    <w:rsid w:val="005C68B0"/>
    <w:rsid w:val="005D0E6F"/>
    <w:rsid w:val="005D33D9"/>
    <w:rsid w:val="005D43C2"/>
    <w:rsid w:val="005D763A"/>
    <w:rsid w:val="005E086D"/>
    <w:rsid w:val="005E0B86"/>
    <w:rsid w:val="005E4D27"/>
    <w:rsid w:val="005E5421"/>
    <w:rsid w:val="005F0D7F"/>
    <w:rsid w:val="005F3434"/>
    <w:rsid w:val="005F43D3"/>
    <w:rsid w:val="005F6D09"/>
    <w:rsid w:val="00601E48"/>
    <w:rsid w:val="00605379"/>
    <w:rsid w:val="00610292"/>
    <w:rsid w:val="006129B9"/>
    <w:rsid w:val="00623647"/>
    <w:rsid w:val="00630757"/>
    <w:rsid w:val="00631A77"/>
    <w:rsid w:val="006322C5"/>
    <w:rsid w:val="00632888"/>
    <w:rsid w:val="00636F6A"/>
    <w:rsid w:val="00636FCC"/>
    <w:rsid w:val="006411E3"/>
    <w:rsid w:val="006421DF"/>
    <w:rsid w:val="00643C95"/>
    <w:rsid w:val="00650914"/>
    <w:rsid w:val="00650B9F"/>
    <w:rsid w:val="00653114"/>
    <w:rsid w:val="00654095"/>
    <w:rsid w:val="00654875"/>
    <w:rsid w:val="00654E2B"/>
    <w:rsid w:val="00657D94"/>
    <w:rsid w:val="00662CDE"/>
    <w:rsid w:val="006644D3"/>
    <w:rsid w:val="0066571D"/>
    <w:rsid w:val="0066593F"/>
    <w:rsid w:val="0066685E"/>
    <w:rsid w:val="006707B0"/>
    <w:rsid w:val="006707B6"/>
    <w:rsid w:val="00671CDB"/>
    <w:rsid w:val="006722B6"/>
    <w:rsid w:val="006732C3"/>
    <w:rsid w:val="00681891"/>
    <w:rsid w:val="00681AF5"/>
    <w:rsid w:val="0068296E"/>
    <w:rsid w:val="00683B4F"/>
    <w:rsid w:val="006871FB"/>
    <w:rsid w:val="0069015B"/>
    <w:rsid w:val="00691577"/>
    <w:rsid w:val="0069645F"/>
    <w:rsid w:val="006971A9"/>
    <w:rsid w:val="006B3CC4"/>
    <w:rsid w:val="006B4F58"/>
    <w:rsid w:val="006B7162"/>
    <w:rsid w:val="006B7DFD"/>
    <w:rsid w:val="006C2F34"/>
    <w:rsid w:val="006C36AA"/>
    <w:rsid w:val="006C36B7"/>
    <w:rsid w:val="006C4C66"/>
    <w:rsid w:val="006C5BC9"/>
    <w:rsid w:val="006C67E3"/>
    <w:rsid w:val="006D0171"/>
    <w:rsid w:val="006D0735"/>
    <w:rsid w:val="006D232C"/>
    <w:rsid w:val="006D4025"/>
    <w:rsid w:val="006D7DFC"/>
    <w:rsid w:val="006E0008"/>
    <w:rsid w:val="006E1C3A"/>
    <w:rsid w:val="006E3B76"/>
    <w:rsid w:val="006E6973"/>
    <w:rsid w:val="006E7B9B"/>
    <w:rsid w:val="006F2CB5"/>
    <w:rsid w:val="006F3F52"/>
    <w:rsid w:val="006F66EE"/>
    <w:rsid w:val="007018F2"/>
    <w:rsid w:val="00702307"/>
    <w:rsid w:val="00702BCB"/>
    <w:rsid w:val="00703903"/>
    <w:rsid w:val="00703CA2"/>
    <w:rsid w:val="00706095"/>
    <w:rsid w:val="0071137C"/>
    <w:rsid w:val="00722FC0"/>
    <w:rsid w:val="00723C31"/>
    <w:rsid w:val="00725531"/>
    <w:rsid w:val="007271F2"/>
    <w:rsid w:val="007277DC"/>
    <w:rsid w:val="00730BB5"/>
    <w:rsid w:val="00731507"/>
    <w:rsid w:val="007368E7"/>
    <w:rsid w:val="00737629"/>
    <w:rsid w:val="00737C1C"/>
    <w:rsid w:val="00740F89"/>
    <w:rsid w:val="007424CE"/>
    <w:rsid w:val="00742B2D"/>
    <w:rsid w:val="00743550"/>
    <w:rsid w:val="0074484B"/>
    <w:rsid w:val="00745EAE"/>
    <w:rsid w:val="00746F05"/>
    <w:rsid w:val="00750F4E"/>
    <w:rsid w:val="00751E5E"/>
    <w:rsid w:val="00752F7A"/>
    <w:rsid w:val="00753189"/>
    <w:rsid w:val="00761583"/>
    <w:rsid w:val="0076167A"/>
    <w:rsid w:val="007624FC"/>
    <w:rsid w:val="00762A4C"/>
    <w:rsid w:val="00763D4F"/>
    <w:rsid w:val="00764BB5"/>
    <w:rsid w:val="007668D5"/>
    <w:rsid w:val="007701AA"/>
    <w:rsid w:val="00770CA1"/>
    <w:rsid w:val="00772D20"/>
    <w:rsid w:val="007741A8"/>
    <w:rsid w:val="007745D0"/>
    <w:rsid w:val="00775A60"/>
    <w:rsid w:val="00776D68"/>
    <w:rsid w:val="00777970"/>
    <w:rsid w:val="0078079A"/>
    <w:rsid w:val="00786617"/>
    <w:rsid w:val="00787553"/>
    <w:rsid w:val="007875C7"/>
    <w:rsid w:val="007901BF"/>
    <w:rsid w:val="0079040E"/>
    <w:rsid w:val="00791FD4"/>
    <w:rsid w:val="007926F0"/>
    <w:rsid w:val="00793076"/>
    <w:rsid w:val="00793B67"/>
    <w:rsid w:val="00794142"/>
    <w:rsid w:val="007A33A2"/>
    <w:rsid w:val="007A37E0"/>
    <w:rsid w:val="007A49EA"/>
    <w:rsid w:val="007A54F8"/>
    <w:rsid w:val="007A69D1"/>
    <w:rsid w:val="007A736E"/>
    <w:rsid w:val="007B01E2"/>
    <w:rsid w:val="007B1DC3"/>
    <w:rsid w:val="007B1E69"/>
    <w:rsid w:val="007B3084"/>
    <w:rsid w:val="007B32FD"/>
    <w:rsid w:val="007B5C4E"/>
    <w:rsid w:val="007B6769"/>
    <w:rsid w:val="007C233D"/>
    <w:rsid w:val="007C42BE"/>
    <w:rsid w:val="007C5A3B"/>
    <w:rsid w:val="007D2645"/>
    <w:rsid w:val="007E01D3"/>
    <w:rsid w:val="007E6387"/>
    <w:rsid w:val="007F02FB"/>
    <w:rsid w:val="007F564D"/>
    <w:rsid w:val="007F590B"/>
    <w:rsid w:val="007F6517"/>
    <w:rsid w:val="007F67BA"/>
    <w:rsid w:val="007F6DA2"/>
    <w:rsid w:val="00801A76"/>
    <w:rsid w:val="00801E7B"/>
    <w:rsid w:val="008029DE"/>
    <w:rsid w:val="00804E99"/>
    <w:rsid w:val="0080771C"/>
    <w:rsid w:val="0081091F"/>
    <w:rsid w:val="00812D30"/>
    <w:rsid w:val="00814250"/>
    <w:rsid w:val="00814729"/>
    <w:rsid w:val="00816B49"/>
    <w:rsid w:val="00822829"/>
    <w:rsid w:val="008236B0"/>
    <w:rsid w:val="008276A0"/>
    <w:rsid w:val="008311E4"/>
    <w:rsid w:val="008327F4"/>
    <w:rsid w:val="008330FB"/>
    <w:rsid w:val="00833994"/>
    <w:rsid w:val="008415EA"/>
    <w:rsid w:val="0084274B"/>
    <w:rsid w:val="00847168"/>
    <w:rsid w:val="008471DB"/>
    <w:rsid w:val="00847A0D"/>
    <w:rsid w:val="00854F3D"/>
    <w:rsid w:val="008609C3"/>
    <w:rsid w:val="00860C63"/>
    <w:rsid w:val="0086137C"/>
    <w:rsid w:val="00871023"/>
    <w:rsid w:val="00873EE3"/>
    <w:rsid w:val="00877997"/>
    <w:rsid w:val="00877EDA"/>
    <w:rsid w:val="008801EE"/>
    <w:rsid w:val="00881252"/>
    <w:rsid w:val="00882173"/>
    <w:rsid w:val="008836ED"/>
    <w:rsid w:val="008845B9"/>
    <w:rsid w:val="00884E4A"/>
    <w:rsid w:val="00887848"/>
    <w:rsid w:val="008878C0"/>
    <w:rsid w:val="00887DE5"/>
    <w:rsid w:val="00891299"/>
    <w:rsid w:val="00893082"/>
    <w:rsid w:val="00894D5A"/>
    <w:rsid w:val="00895ABE"/>
    <w:rsid w:val="00897F82"/>
    <w:rsid w:val="008A140C"/>
    <w:rsid w:val="008A1CF6"/>
    <w:rsid w:val="008A33AA"/>
    <w:rsid w:val="008A369B"/>
    <w:rsid w:val="008A5EAF"/>
    <w:rsid w:val="008A65BD"/>
    <w:rsid w:val="008A6D00"/>
    <w:rsid w:val="008A726C"/>
    <w:rsid w:val="008B0925"/>
    <w:rsid w:val="008B09BF"/>
    <w:rsid w:val="008B0AB0"/>
    <w:rsid w:val="008B1DD1"/>
    <w:rsid w:val="008B3131"/>
    <w:rsid w:val="008B4844"/>
    <w:rsid w:val="008B4AED"/>
    <w:rsid w:val="008B4B5B"/>
    <w:rsid w:val="008B5833"/>
    <w:rsid w:val="008B5D5E"/>
    <w:rsid w:val="008C005F"/>
    <w:rsid w:val="008C0193"/>
    <w:rsid w:val="008C0A5A"/>
    <w:rsid w:val="008C0D4A"/>
    <w:rsid w:val="008C1213"/>
    <w:rsid w:val="008C5C7E"/>
    <w:rsid w:val="008C5F28"/>
    <w:rsid w:val="008C738A"/>
    <w:rsid w:val="008C7A45"/>
    <w:rsid w:val="008D19E4"/>
    <w:rsid w:val="008D2EAA"/>
    <w:rsid w:val="008D33DB"/>
    <w:rsid w:val="008D49EB"/>
    <w:rsid w:val="008D5C41"/>
    <w:rsid w:val="008E3EE2"/>
    <w:rsid w:val="008E46C2"/>
    <w:rsid w:val="008E4BD9"/>
    <w:rsid w:val="008E4EEE"/>
    <w:rsid w:val="008E5B20"/>
    <w:rsid w:val="008E603C"/>
    <w:rsid w:val="008E76E2"/>
    <w:rsid w:val="008E7DC0"/>
    <w:rsid w:val="008F2F3F"/>
    <w:rsid w:val="008F2FA2"/>
    <w:rsid w:val="008F445A"/>
    <w:rsid w:val="008F499F"/>
    <w:rsid w:val="008F5E45"/>
    <w:rsid w:val="0090014A"/>
    <w:rsid w:val="00902AF3"/>
    <w:rsid w:val="00910FBD"/>
    <w:rsid w:val="00911A6C"/>
    <w:rsid w:val="00913034"/>
    <w:rsid w:val="009144D4"/>
    <w:rsid w:val="00914D39"/>
    <w:rsid w:val="00915D2C"/>
    <w:rsid w:val="00916C35"/>
    <w:rsid w:val="00916E89"/>
    <w:rsid w:val="009177E6"/>
    <w:rsid w:val="00921308"/>
    <w:rsid w:val="00921EED"/>
    <w:rsid w:val="0092231A"/>
    <w:rsid w:val="009245A6"/>
    <w:rsid w:val="0092623E"/>
    <w:rsid w:val="00927309"/>
    <w:rsid w:val="00931399"/>
    <w:rsid w:val="009327E1"/>
    <w:rsid w:val="0093350F"/>
    <w:rsid w:val="00933840"/>
    <w:rsid w:val="00934A8A"/>
    <w:rsid w:val="009376FB"/>
    <w:rsid w:val="0093798D"/>
    <w:rsid w:val="00940AA5"/>
    <w:rsid w:val="00942B9A"/>
    <w:rsid w:val="009444D0"/>
    <w:rsid w:val="00944B72"/>
    <w:rsid w:val="0094539E"/>
    <w:rsid w:val="00945820"/>
    <w:rsid w:val="00947111"/>
    <w:rsid w:val="009500FE"/>
    <w:rsid w:val="009537F5"/>
    <w:rsid w:val="0095423C"/>
    <w:rsid w:val="009542F5"/>
    <w:rsid w:val="009550B6"/>
    <w:rsid w:val="00955511"/>
    <w:rsid w:val="00955E75"/>
    <w:rsid w:val="00961B0D"/>
    <w:rsid w:val="00962975"/>
    <w:rsid w:val="009706DA"/>
    <w:rsid w:val="00970CAC"/>
    <w:rsid w:val="00970EAF"/>
    <w:rsid w:val="00971D57"/>
    <w:rsid w:val="00971F04"/>
    <w:rsid w:val="00972017"/>
    <w:rsid w:val="00973109"/>
    <w:rsid w:val="00973BE1"/>
    <w:rsid w:val="00974A35"/>
    <w:rsid w:val="00983293"/>
    <w:rsid w:val="00990513"/>
    <w:rsid w:val="00991E8E"/>
    <w:rsid w:val="009954A4"/>
    <w:rsid w:val="00996861"/>
    <w:rsid w:val="009970D8"/>
    <w:rsid w:val="009A1E2F"/>
    <w:rsid w:val="009A2A02"/>
    <w:rsid w:val="009A3942"/>
    <w:rsid w:val="009A3EFF"/>
    <w:rsid w:val="009A3F96"/>
    <w:rsid w:val="009A42A4"/>
    <w:rsid w:val="009A5EB8"/>
    <w:rsid w:val="009A6383"/>
    <w:rsid w:val="009A6FCB"/>
    <w:rsid w:val="009B2BBF"/>
    <w:rsid w:val="009B711F"/>
    <w:rsid w:val="009B7344"/>
    <w:rsid w:val="009C6272"/>
    <w:rsid w:val="009C6C6A"/>
    <w:rsid w:val="009C7C27"/>
    <w:rsid w:val="009D0268"/>
    <w:rsid w:val="009D2283"/>
    <w:rsid w:val="009D275E"/>
    <w:rsid w:val="009D3ABC"/>
    <w:rsid w:val="009D4871"/>
    <w:rsid w:val="009D5E45"/>
    <w:rsid w:val="009D69C7"/>
    <w:rsid w:val="009E1F7B"/>
    <w:rsid w:val="009E5306"/>
    <w:rsid w:val="009E55ED"/>
    <w:rsid w:val="009E6F9D"/>
    <w:rsid w:val="009F00DC"/>
    <w:rsid w:val="009F2D81"/>
    <w:rsid w:val="009F4589"/>
    <w:rsid w:val="009F5CAA"/>
    <w:rsid w:val="009F601A"/>
    <w:rsid w:val="009F6D5E"/>
    <w:rsid w:val="009F6D72"/>
    <w:rsid w:val="009F7746"/>
    <w:rsid w:val="00A02B75"/>
    <w:rsid w:val="00A04255"/>
    <w:rsid w:val="00A06AD3"/>
    <w:rsid w:val="00A06C22"/>
    <w:rsid w:val="00A12130"/>
    <w:rsid w:val="00A12246"/>
    <w:rsid w:val="00A17E70"/>
    <w:rsid w:val="00A213CD"/>
    <w:rsid w:val="00A225C4"/>
    <w:rsid w:val="00A240CB"/>
    <w:rsid w:val="00A2417C"/>
    <w:rsid w:val="00A2766B"/>
    <w:rsid w:val="00A319E1"/>
    <w:rsid w:val="00A36378"/>
    <w:rsid w:val="00A40478"/>
    <w:rsid w:val="00A404D6"/>
    <w:rsid w:val="00A438EB"/>
    <w:rsid w:val="00A43FA7"/>
    <w:rsid w:val="00A45509"/>
    <w:rsid w:val="00A468A4"/>
    <w:rsid w:val="00A46CD2"/>
    <w:rsid w:val="00A47C33"/>
    <w:rsid w:val="00A527E3"/>
    <w:rsid w:val="00A529C7"/>
    <w:rsid w:val="00A61051"/>
    <w:rsid w:val="00A612C8"/>
    <w:rsid w:val="00A653EA"/>
    <w:rsid w:val="00A65E19"/>
    <w:rsid w:val="00A66840"/>
    <w:rsid w:val="00A66EB8"/>
    <w:rsid w:val="00A670BF"/>
    <w:rsid w:val="00A67A73"/>
    <w:rsid w:val="00A7315A"/>
    <w:rsid w:val="00A73965"/>
    <w:rsid w:val="00A73E85"/>
    <w:rsid w:val="00A7400C"/>
    <w:rsid w:val="00A77073"/>
    <w:rsid w:val="00A80376"/>
    <w:rsid w:val="00A81C56"/>
    <w:rsid w:val="00A82D53"/>
    <w:rsid w:val="00A8639D"/>
    <w:rsid w:val="00A87CD8"/>
    <w:rsid w:val="00A87CE1"/>
    <w:rsid w:val="00A912DD"/>
    <w:rsid w:val="00A94514"/>
    <w:rsid w:val="00A9517C"/>
    <w:rsid w:val="00A95F31"/>
    <w:rsid w:val="00AA25DA"/>
    <w:rsid w:val="00AA273D"/>
    <w:rsid w:val="00AA315A"/>
    <w:rsid w:val="00AA32EF"/>
    <w:rsid w:val="00AA3D3F"/>
    <w:rsid w:val="00AA4C74"/>
    <w:rsid w:val="00AA523F"/>
    <w:rsid w:val="00AA6963"/>
    <w:rsid w:val="00AA6A32"/>
    <w:rsid w:val="00AA7649"/>
    <w:rsid w:val="00AB2EDB"/>
    <w:rsid w:val="00AB396C"/>
    <w:rsid w:val="00AB5A6D"/>
    <w:rsid w:val="00AB733B"/>
    <w:rsid w:val="00AC0C94"/>
    <w:rsid w:val="00AC0CD9"/>
    <w:rsid w:val="00AC2BB5"/>
    <w:rsid w:val="00AD0364"/>
    <w:rsid w:val="00AD3175"/>
    <w:rsid w:val="00AD3AA6"/>
    <w:rsid w:val="00AD4A59"/>
    <w:rsid w:val="00AD5881"/>
    <w:rsid w:val="00AD6301"/>
    <w:rsid w:val="00AD7137"/>
    <w:rsid w:val="00AE4BDD"/>
    <w:rsid w:val="00AE76B5"/>
    <w:rsid w:val="00AF135E"/>
    <w:rsid w:val="00AF1B03"/>
    <w:rsid w:val="00AF4D1B"/>
    <w:rsid w:val="00AF5339"/>
    <w:rsid w:val="00AF6B1E"/>
    <w:rsid w:val="00B01E43"/>
    <w:rsid w:val="00B01F72"/>
    <w:rsid w:val="00B06893"/>
    <w:rsid w:val="00B07D56"/>
    <w:rsid w:val="00B10206"/>
    <w:rsid w:val="00B11984"/>
    <w:rsid w:val="00B127E4"/>
    <w:rsid w:val="00B1518A"/>
    <w:rsid w:val="00B2095B"/>
    <w:rsid w:val="00B21F19"/>
    <w:rsid w:val="00B228C2"/>
    <w:rsid w:val="00B24EF9"/>
    <w:rsid w:val="00B3010E"/>
    <w:rsid w:val="00B3178D"/>
    <w:rsid w:val="00B32C3C"/>
    <w:rsid w:val="00B339B6"/>
    <w:rsid w:val="00B340B4"/>
    <w:rsid w:val="00B36601"/>
    <w:rsid w:val="00B36710"/>
    <w:rsid w:val="00B374D6"/>
    <w:rsid w:val="00B41D42"/>
    <w:rsid w:val="00B43B5F"/>
    <w:rsid w:val="00B45F3A"/>
    <w:rsid w:val="00B468EE"/>
    <w:rsid w:val="00B5012E"/>
    <w:rsid w:val="00B51B48"/>
    <w:rsid w:val="00B52611"/>
    <w:rsid w:val="00B5553E"/>
    <w:rsid w:val="00B563CF"/>
    <w:rsid w:val="00B57967"/>
    <w:rsid w:val="00B61A36"/>
    <w:rsid w:val="00B64C10"/>
    <w:rsid w:val="00B709F6"/>
    <w:rsid w:val="00B70B94"/>
    <w:rsid w:val="00B70E03"/>
    <w:rsid w:val="00B73C4E"/>
    <w:rsid w:val="00B805F5"/>
    <w:rsid w:val="00B81F5D"/>
    <w:rsid w:val="00B82E9E"/>
    <w:rsid w:val="00B834F1"/>
    <w:rsid w:val="00B859FE"/>
    <w:rsid w:val="00B86531"/>
    <w:rsid w:val="00B87CBE"/>
    <w:rsid w:val="00B91266"/>
    <w:rsid w:val="00B92878"/>
    <w:rsid w:val="00B928C9"/>
    <w:rsid w:val="00B934F4"/>
    <w:rsid w:val="00B938CF"/>
    <w:rsid w:val="00B94D4B"/>
    <w:rsid w:val="00B959A3"/>
    <w:rsid w:val="00B95BCD"/>
    <w:rsid w:val="00B975E3"/>
    <w:rsid w:val="00B97DC4"/>
    <w:rsid w:val="00BA1189"/>
    <w:rsid w:val="00BA3708"/>
    <w:rsid w:val="00BA50F6"/>
    <w:rsid w:val="00BA69FB"/>
    <w:rsid w:val="00BB1026"/>
    <w:rsid w:val="00BB20E7"/>
    <w:rsid w:val="00BB4E6A"/>
    <w:rsid w:val="00BB55E0"/>
    <w:rsid w:val="00BB5D21"/>
    <w:rsid w:val="00BB5E1B"/>
    <w:rsid w:val="00BB650A"/>
    <w:rsid w:val="00BC2C87"/>
    <w:rsid w:val="00BD177A"/>
    <w:rsid w:val="00BD346A"/>
    <w:rsid w:val="00BD476C"/>
    <w:rsid w:val="00BD65D6"/>
    <w:rsid w:val="00BD6BD1"/>
    <w:rsid w:val="00BE0147"/>
    <w:rsid w:val="00BE0C0C"/>
    <w:rsid w:val="00BE584B"/>
    <w:rsid w:val="00BE799A"/>
    <w:rsid w:val="00BF00C7"/>
    <w:rsid w:val="00BF0F0D"/>
    <w:rsid w:val="00BF12A5"/>
    <w:rsid w:val="00BF1BF9"/>
    <w:rsid w:val="00BF6611"/>
    <w:rsid w:val="00BF7570"/>
    <w:rsid w:val="00BF79EB"/>
    <w:rsid w:val="00C013D9"/>
    <w:rsid w:val="00C0437D"/>
    <w:rsid w:val="00C0456F"/>
    <w:rsid w:val="00C05A92"/>
    <w:rsid w:val="00C0691C"/>
    <w:rsid w:val="00C1695F"/>
    <w:rsid w:val="00C175BC"/>
    <w:rsid w:val="00C21E87"/>
    <w:rsid w:val="00C237C9"/>
    <w:rsid w:val="00C23D9F"/>
    <w:rsid w:val="00C24EFB"/>
    <w:rsid w:val="00C30930"/>
    <w:rsid w:val="00C3241D"/>
    <w:rsid w:val="00C326E6"/>
    <w:rsid w:val="00C37ABD"/>
    <w:rsid w:val="00C413B7"/>
    <w:rsid w:val="00C44046"/>
    <w:rsid w:val="00C46859"/>
    <w:rsid w:val="00C46FCF"/>
    <w:rsid w:val="00C51167"/>
    <w:rsid w:val="00C5559B"/>
    <w:rsid w:val="00C6030D"/>
    <w:rsid w:val="00C711CC"/>
    <w:rsid w:val="00C73131"/>
    <w:rsid w:val="00C752A6"/>
    <w:rsid w:val="00C7638F"/>
    <w:rsid w:val="00C76DA8"/>
    <w:rsid w:val="00C83B7B"/>
    <w:rsid w:val="00C83EA4"/>
    <w:rsid w:val="00C8649B"/>
    <w:rsid w:val="00C9311B"/>
    <w:rsid w:val="00C95980"/>
    <w:rsid w:val="00C97E7F"/>
    <w:rsid w:val="00CA29DB"/>
    <w:rsid w:val="00CA4E0E"/>
    <w:rsid w:val="00CA7E15"/>
    <w:rsid w:val="00CB00CE"/>
    <w:rsid w:val="00CB141D"/>
    <w:rsid w:val="00CB15B9"/>
    <w:rsid w:val="00CB4186"/>
    <w:rsid w:val="00CB5E8B"/>
    <w:rsid w:val="00CC0A78"/>
    <w:rsid w:val="00CC6CBC"/>
    <w:rsid w:val="00CD2245"/>
    <w:rsid w:val="00CD37E0"/>
    <w:rsid w:val="00CE0A4A"/>
    <w:rsid w:val="00CE0AFC"/>
    <w:rsid w:val="00CE13B3"/>
    <w:rsid w:val="00CE2DDC"/>
    <w:rsid w:val="00CE307D"/>
    <w:rsid w:val="00CE3836"/>
    <w:rsid w:val="00CE41D7"/>
    <w:rsid w:val="00CF00F0"/>
    <w:rsid w:val="00CF0394"/>
    <w:rsid w:val="00CF08D5"/>
    <w:rsid w:val="00CF10C9"/>
    <w:rsid w:val="00CF150E"/>
    <w:rsid w:val="00CF388A"/>
    <w:rsid w:val="00CF46D4"/>
    <w:rsid w:val="00CF525F"/>
    <w:rsid w:val="00D01D2A"/>
    <w:rsid w:val="00D01DC9"/>
    <w:rsid w:val="00D022DD"/>
    <w:rsid w:val="00D0450A"/>
    <w:rsid w:val="00D063F9"/>
    <w:rsid w:val="00D11AF2"/>
    <w:rsid w:val="00D132DC"/>
    <w:rsid w:val="00D13F73"/>
    <w:rsid w:val="00D14AA4"/>
    <w:rsid w:val="00D16ABC"/>
    <w:rsid w:val="00D16C6D"/>
    <w:rsid w:val="00D22690"/>
    <w:rsid w:val="00D3162A"/>
    <w:rsid w:val="00D3235C"/>
    <w:rsid w:val="00D333F5"/>
    <w:rsid w:val="00D33DA4"/>
    <w:rsid w:val="00D35392"/>
    <w:rsid w:val="00D4031F"/>
    <w:rsid w:val="00D437AE"/>
    <w:rsid w:val="00D445A7"/>
    <w:rsid w:val="00D47FE9"/>
    <w:rsid w:val="00D5047A"/>
    <w:rsid w:val="00D511AC"/>
    <w:rsid w:val="00D51E63"/>
    <w:rsid w:val="00D5471F"/>
    <w:rsid w:val="00D56715"/>
    <w:rsid w:val="00D62DF2"/>
    <w:rsid w:val="00D63668"/>
    <w:rsid w:val="00D647F4"/>
    <w:rsid w:val="00D64E30"/>
    <w:rsid w:val="00D65790"/>
    <w:rsid w:val="00D73718"/>
    <w:rsid w:val="00D86AEA"/>
    <w:rsid w:val="00D87DC0"/>
    <w:rsid w:val="00D95EB6"/>
    <w:rsid w:val="00D962F3"/>
    <w:rsid w:val="00DA3154"/>
    <w:rsid w:val="00DA32B8"/>
    <w:rsid w:val="00DA3DBE"/>
    <w:rsid w:val="00DA5C0B"/>
    <w:rsid w:val="00DA7DC4"/>
    <w:rsid w:val="00DB1CA3"/>
    <w:rsid w:val="00DB2FB6"/>
    <w:rsid w:val="00DB312F"/>
    <w:rsid w:val="00DB3132"/>
    <w:rsid w:val="00DB46E2"/>
    <w:rsid w:val="00DB752D"/>
    <w:rsid w:val="00DB7932"/>
    <w:rsid w:val="00DC028B"/>
    <w:rsid w:val="00DC080F"/>
    <w:rsid w:val="00DC3B1B"/>
    <w:rsid w:val="00DC3ECC"/>
    <w:rsid w:val="00DC771E"/>
    <w:rsid w:val="00DD1FDE"/>
    <w:rsid w:val="00DD42CA"/>
    <w:rsid w:val="00DD69A6"/>
    <w:rsid w:val="00DD6EA9"/>
    <w:rsid w:val="00DE11F1"/>
    <w:rsid w:val="00DE5C6D"/>
    <w:rsid w:val="00DE5EC5"/>
    <w:rsid w:val="00DE6577"/>
    <w:rsid w:val="00DF1541"/>
    <w:rsid w:val="00DF35B5"/>
    <w:rsid w:val="00DF3C12"/>
    <w:rsid w:val="00DF3C96"/>
    <w:rsid w:val="00DF47DC"/>
    <w:rsid w:val="00DF4AE5"/>
    <w:rsid w:val="00DF51BC"/>
    <w:rsid w:val="00DF6981"/>
    <w:rsid w:val="00DF6A9E"/>
    <w:rsid w:val="00E01609"/>
    <w:rsid w:val="00E01DD6"/>
    <w:rsid w:val="00E02210"/>
    <w:rsid w:val="00E02C8D"/>
    <w:rsid w:val="00E033B5"/>
    <w:rsid w:val="00E03D34"/>
    <w:rsid w:val="00E040C1"/>
    <w:rsid w:val="00E0477B"/>
    <w:rsid w:val="00E052A0"/>
    <w:rsid w:val="00E05A10"/>
    <w:rsid w:val="00E106B7"/>
    <w:rsid w:val="00E129DC"/>
    <w:rsid w:val="00E1397A"/>
    <w:rsid w:val="00E16981"/>
    <w:rsid w:val="00E20BFE"/>
    <w:rsid w:val="00E21D2B"/>
    <w:rsid w:val="00E21E88"/>
    <w:rsid w:val="00E24B72"/>
    <w:rsid w:val="00E2508E"/>
    <w:rsid w:val="00E257D8"/>
    <w:rsid w:val="00E273F2"/>
    <w:rsid w:val="00E30B13"/>
    <w:rsid w:val="00E31898"/>
    <w:rsid w:val="00E335C1"/>
    <w:rsid w:val="00E33D36"/>
    <w:rsid w:val="00E3451B"/>
    <w:rsid w:val="00E409AB"/>
    <w:rsid w:val="00E4263E"/>
    <w:rsid w:val="00E42F6C"/>
    <w:rsid w:val="00E43FDF"/>
    <w:rsid w:val="00E45158"/>
    <w:rsid w:val="00E45BFB"/>
    <w:rsid w:val="00E4652B"/>
    <w:rsid w:val="00E52DEF"/>
    <w:rsid w:val="00E55741"/>
    <w:rsid w:val="00E560DC"/>
    <w:rsid w:val="00E560E7"/>
    <w:rsid w:val="00E56723"/>
    <w:rsid w:val="00E61872"/>
    <w:rsid w:val="00E62139"/>
    <w:rsid w:val="00E662EC"/>
    <w:rsid w:val="00E6689A"/>
    <w:rsid w:val="00E6719E"/>
    <w:rsid w:val="00E70138"/>
    <w:rsid w:val="00E70751"/>
    <w:rsid w:val="00E724CB"/>
    <w:rsid w:val="00E7315A"/>
    <w:rsid w:val="00E73CCC"/>
    <w:rsid w:val="00E771A5"/>
    <w:rsid w:val="00E8135F"/>
    <w:rsid w:val="00E81F10"/>
    <w:rsid w:val="00E82788"/>
    <w:rsid w:val="00E82950"/>
    <w:rsid w:val="00E82FCB"/>
    <w:rsid w:val="00E84280"/>
    <w:rsid w:val="00E85D29"/>
    <w:rsid w:val="00E85DE6"/>
    <w:rsid w:val="00E92666"/>
    <w:rsid w:val="00E92D0B"/>
    <w:rsid w:val="00E96773"/>
    <w:rsid w:val="00EA37B4"/>
    <w:rsid w:val="00EA38DF"/>
    <w:rsid w:val="00EA5FAA"/>
    <w:rsid w:val="00EB384E"/>
    <w:rsid w:val="00EB4C40"/>
    <w:rsid w:val="00EB4E49"/>
    <w:rsid w:val="00EB5B02"/>
    <w:rsid w:val="00EB7682"/>
    <w:rsid w:val="00EC0F7D"/>
    <w:rsid w:val="00EC4751"/>
    <w:rsid w:val="00EC52FC"/>
    <w:rsid w:val="00ED150F"/>
    <w:rsid w:val="00ED2C4E"/>
    <w:rsid w:val="00ED2EE5"/>
    <w:rsid w:val="00ED56E0"/>
    <w:rsid w:val="00ED644E"/>
    <w:rsid w:val="00ED689E"/>
    <w:rsid w:val="00EE0625"/>
    <w:rsid w:val="00EE0673"/>
    <w:rsid w:val="00EE1026"/>
    <w:rsid w:val="00EE36E3"/>
    <w:rsid w:val="00EE3AE1"/>
    <w:rsid w:val="00EE54CA"/>
    <w:rsid w:val="00EF25D1"/>
    <w:rsid w:val="00EF3927"/>
    <w:rsid w:val="00EF5B08"/>
    <w:rsid w:val="00EF66DA"/>
    <w:rsid w:val="00F020FB"/>
    <w:rsid w:val="00F035D5"/>
    <w:rsid w:val="00F04496"/>
    <w:rsid w:val="00F05A35"/>
    <w:rsid w:val="00F05C0D"/>
    <w:rsid w:val="00F07D46"/>
    <w:rsid w:val="00F10521"/>
    <w:rsid w:val="00F15860"/>
    <w:rsid w:val="00F1631F"/>
    <w:rsid w:val="00F17FB8"/>
    <w:rsid w:val="00F20C97"/>
    <w:rsid w:val="00F24EA9"/>
    <w:rsid w:val="00F25376"/>
    <w:rsid w:val="00F27919"/>
    <w:rsid w:val="00F32F36"/>
    <w:rsid w:val="00F40CDA"/>
    <w:rsid w:val="00F46865"/>
    <w:rsid w:val="00F5253C"/>
    <w:rsid w:val="00F548A0"/>
    <w:rsid w:val="00F5596E"/>
    <w:rsid w:val="00F56B81"/>
    <w:rsid w:val="00F57ED0"/>
    <w:rsid w:val="00F60C2E"/>
    <w:rsid w:val="00F621F3"/>
    <w:rsid w:val="00F6386E"/>
    <w:rsid w:val="00F64052"/>
    <w:rsid w:val="00F65512"/>
    <w:rsid w:val="00F6749E"/>
    <w:rsid w:val="00F67619"/>
    <w:rsid w:val="00F734C0"/>
    <w:rsid w:val="00F75F90"/>
    <w:rsid w:val="00F76975"/>
    <w:rsid w:val="00F76BF5"/>
    <w:rsid w:val="00F81315"/>
    <w:rsid w:val="00F8205F"/>
    <w:rsid w:val="00F84BF5"/>
    <w:rsid w:val="00F90644"/>
    <w:rsid w:val="00F9311B"/>
    <w:rsid w:val="00FA289E"/>
    <w:rsid w:val="00FA42A6"/>
    <w:rsid w:val="00FA61FD"/>
    <w:rsid w:val="00FA6DB1"/>
    <w:rsid w:val="00FA7524"/>
    <w:rsid w:val="00FA786A"/>
    <w:rsid w:val="00FB6F43"/>
    <w:rsid w:val="00FB72E8"/>
    <w:rsid w:val="00FB793F"/>
    <w:rsid w:val="00FC07E2"/>
    <w:rsid w:val="00FC189A"/>
    <w:rsid w:val="00FC2E2B"/>
    <w:rsid w:val="00FC2E9B"/>
    <w:rsid w:val="00FC6B15"/>
    <w:rsid w:val="00FD0247"/>
    <w:rsid w:val="00FD0676"/>
    <w:rsid w:val="00FD0FF8"/>
    <w:rsid w:val="00FD5206"/>
    <w:rsid w:val="00FE03CC"/>
    <w:rsid w:val="00FE3494"/>
    <w:rsid w:val="00FE4DE4"/>
    <w:rsid w:val="00FE62D6"/>
    <w:rsid w:val="00FE7677"/>
    <w:rsid w:val="00FF2B61"/>
    <w:rsid w:val="00FF2C80"/>
    <w:rsid w:val="00FF41A4"/>
    <w:rsid w:val="00FF460A"/>
    <w:rsid w:val="00FF48A8"/>
    <w:rsid w:val="00FF525B"/>
    <w:rsid w:val="00FF5388"/>
    <w:rsid w:val="00FF630F"/>
    <w:rsid w:val="00FF6715"/>
    <w:rsid w:val="00FF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FCAB"/>
  <w15:chartTrackingRefBased/>
  <w15:docId w15:val="{05A39582-C8DA-4CA4-8411-B6F32E8F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757"/>
  </w:style>
  <w:style w:type="paragraph" w:styleId="Heading1">
    <w:name w:val="heading 1"/>
    <w:basedOn w:val="Normal"/>
    <w:next w:val="Normal"/>
    <w:link w:val="Heading1Char"/>
    <w:uiPriority w:val="9"/>
    <w:qFormat/>
    <w:rsid w:val="00630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0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0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57"/>
    <w:rPr>
      <w:rFonts w:eastAsiaTheme="majorEastAsia" w:cstheme="majorBidi"/>
      <w:color w:val="272727" w:themeColor="text1" w:themeTint="D8"/>
    </w:rPr>
  </w:style>
  <w:style w:type="paragraph" w:styleId="Title">
    <w:name w:val="Title"/>
    <w:basedOn w:val="Normal"/>
    <w:next w:val="Normal"/>
    <w:link w:val="TitleChar"/>
    <w:uiPriority w:val="10"/>
    <w:qFormat/>
    <w:rsid w:val="00630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57"/>
    <w:pPr>
      <w:spacing w:before="160"/>
      <w:jc w:val="center"/>
    </w:pPr>
    <w:rPr>
      <w:i/>
      <w:iCs/>
      <w:color w:val="404040" w:themeColor="text1" w:themeTint="BF"/>
    </w:rPr>
  </w:style>
  <w:style w:type="character" w:customStyle="1" w:styleId="QuoteChar">
    <w:name w:val="Quote Char"/>
    <w:basedOn w:val="DefaultParagraphFont"/>
    <w:link w:val="Quote"/>
    <w:uiPriority w:val="29"/>
    <w:rsid w:val="00630757"/>
    <w:rPr>
      <w:i/>
      <w:iCs/>
      <w:color w:val="404040" w:themeColor="text1" w:themeTint="BF"/>
    </w:rPr>
  </w:style>
  <w:style w:type="paragraph" w:styleId="ListParagraph">
    <w:name w:val="List Paragraph"/>
    <w:basedOn w:val="Normal"/>
    <w:uiPriority w:val="34"/>
    <w:qFormat/>
    <w:rsid w:val="00630757"/>
    <w:pPr>
      <w:ind w:left="720"/>
      <w:contextualSpacing/>
    </w:pPr>
  </w:style>
  <w:style w:type="character" w:styleId="IntenseEmphasis">
    <w:name w:val="Intense Emphasis"/>
    <w:basedOn w:val="DefaultParagraphFont"/>
    <w:uiPriority w:val="21"/>
    <w:qFormat/>
    <w:rsid w:val="00630757"/>
    <w:rPr>
      <w:i/>
      <w:iCs/>
      <w:color w:val="0F4761" w:themeColor="accent1" w:themeShade="BF"/>
    </w:rPr>
  </w:style>
  <w:style w:type="paragraph" w:styleId="IntenseQuote">
    <w:name w:val="Intense Quote"/>
    <w:basedOn w:val="Normal"/>
    <w:next w:val="Normal"/>
    <w:link w:val="IntenseQuoteChar"/>
    <w:uiPriority w:val="30"/>
    <w:qFormat/>
    <w:rsid w:val="00630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57"/>
    <w:rPr>
      <w:i/>
      <w:iCs/>
      <w:color w:val="0F4761" w:themeColor="accent1" w:themeShade="BF"/>
    </w:rPr>
  </w:style>
  <w:style w:type="character" w:styleId="IntenseReference">
    <w:name w:val="Intense Reference"/>
    <w:basedOn w:val="DefaultParagraphFont"/>
    <w:uiPriority w:val="32"/>
    <w:qFormat/>
    <w:rsid w:val="00630757"/>
    <w:rPr>
      <w:b/>
      <w:bCs/>
      <w:smallCaps/>
      <w:color w:val="0F4761" w:themeColor="accent1" w:themeShade="BF"/>
      <w:spacing w:val="5"/>
    </w:rPr>
  </w:style>
  <w:style w:type="paragraph" w:styleId="NormalWeb">
    <w:name w:val="Normal (Web)"/>
    <w:basedOn w:val="Normal"/>
    <w:uiPriority w:val="99"/>
    <w:unhideWhenUsed/>
    <w:rsid w:val="009B2BBF"/>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9B2BBF"/>
    <w:rPr>
      <w:i/>
      <w:iCs/>
    </w:rPr>
  </w:style>
  <w:style w:type="paragraph" w:styleId="BodyText">
    <w:name w:val="Body Text"/>
    <w:basedOn w:val="Normal"/>
    <w:link w:val="BodyTextChar"/>
    <w:uiPriority w:val="1"/>
    <w:qFormat/>
    <w:rsid w:val="009B2BBF"/>
    <w:pPr>
      <w:widowControl w:val="0"/>
      <w:autoSpaceDE w:val="0"/>
      <w:autoSpaceDN w:val="0"/>
      <w:spacing w:before="61" w:after="0" w:line="240" w:lineRule="auto"/>
      <w:ind w:left="-1"/>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9B2BBF"/>
    <w:rPr>
      <w:rFonts w:ascii="Times New Roman" w:eastAsia="Times New Roman" w:hAnsi="Times New Roman" w:cs="Times New Roman"/>
      <w:kern w:val="0"/>
    </w:rPr>
  </w:style>
  <w:style w:type="paragraph" w:customStyle="1" w:styleId="whitespace-normal">
    <w:name w:val="whitespace-normal"/>
    <w:basedOn w:val="Normal"/>
    <w:rsid w:val="004C1403"/>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3D18CE"/>
    <w:rPr>
      <w:color w:val="467886" w:themeColor="hyperlink"/>
      <w:u w:val="single"/>
    </w:rPr>
  </w:style>
  <w:style w:type="character" w:styleId="UnresolvedMention">
    <w:name w:val="Unresolved Mention"/>
    <w:basedOn w:val="DefaultParagraphFont"/>
    <w:uiPriority w:val="99"/>
    <w:semiHidden/>
    <w:unhideWhenUsed/>
    <w:rsid w:val="003D18CE"/>
    <w:rPr>
      <w:color w:val="605E5C"/>
      <w:shd w:val="clear" w:color="auto" w:fill="E1DFDD"/>
    </w:rPr>
  </w:style>
  <w:style w:type="character" w:customStyle="1" w:styleId="a-list-item">
    <w:name w:val="a-list-item"/>
    <w:basedOn w:val="DefaultParagraphFont"/>
    <w:rsid w:val="00DD1FDE"/>
  </w:style>
  <w:style w:type="character" w:styleId="Strong">
    <w:name w:val="Strong"/>
    <w:basedOn w:val="DefaultParagraphFont"/>
    <w:uiPriority w:val="22"/>
    <w:qFormat/>
    <w:rsid w:val="00DB752D"/>
    <w:rPr>
      <w:b/>
      <w:bCs/>
    </w:rPr>
  </w:style>
  <w:style w:type="character" w:styleId="PlaceholderText">
    <w:name w:val="Placeholder Text"/>
    <w:basedOn w:val="DefaultParagraphFont"/>
    <w:uiPriority w:val="99"/>
    <w:semiHidden/>
    <w:rsid w:val="00D01D2A"/>
    <w:rPr>
      <w:color w:val="666666"/>
    </w:rPr>
  </w:style>
  <w:style w:type="character" w:styleId="FollowedHyperlink">
    <w:name w:val="FollowedHyperlink"/>
    <w:basedOn w:val="DefaultParagraphFont"/>
    <w:uiPriority w:val="99"/>
    <w:semiHidden/>
    <w:unhideWhenUsed/>
    <w:rsid w:val="00F67619"/>
    <w:rPr>
      <w:color w:val="96607D" w:themeColor="followedHyperlink"/>
      <w:u w:val="single"/>
    </w:rPr>
  </w:style>
  <w:style w:type="numbering" w:customStyle="1" w:styleId="NoList1">
    <w:name w:val="No List1"/>
    <w:next w:val="NoList"/>
    <w:uiPriority w:val="99"/>
    <w:semiHidden/>
    <w:unhideWhenUsed/>
    <w:rsid w:val="00B805F5"/>
  </w:style>
  <w:style w:type="paragraph" w:customStyle="1" w:styleId="msonormal0">
    <w:name w:val="msonormal"/>
    <w:basedOn w:val="Normal"/>
    <w:rsid w:val="00B805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805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apers.ssrn.com/sol3/papers.cfm?abstract_id=265943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7DE5D-5DB1-44E2-B046-3746AB385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28</Pages>
  <Words>5953</Words>
  <Characters>40426</Characters>
  <Application>Microsoft Office Word</Application>
  <DocSecurity>0</DocSecurity>
  <Lines>577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krug</dc:creator>
  <cp:keywords/>
  <dc:description/>
  <cp:lastModifiedBy>kyle krug</cp:lastModifiedBy>
  <cp:revision>34</cp:revision>
  <dcterms:created xsi:type="dcterms:W3CDTF">2025-11-17T05:20:00Z</dcterms:created>
  <dcterms:modified xsi:type="dcterms:W3CDTF">2025-11-17T06:11:00Z</dcterms:modified>
</cp:coreProperties>
</file>