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71A8F9" w14:textId="77777777" w:rsidR="00630757" w:rsidRDefault="00630757" w:rsidP="00630757">
      <w:pPr>
        <w:spacing w:after="0" w:line="240" w:lineRule="auto"/>
        <w:rPr>
          <w:rFonts w:ascii="Times New Roman" w:hAnsi="Times New Roman" w:cs="Times New Roman"/>
        </w:rPr>
      </w:pPr>
      <w:r w:rsidRPr="002F5419">
        <w:rPr>
          <w:rFonts w:ascii="Times New Roman" w:hAnsi="Times New Roman" w:cs="Times New Roman"/>
        </w:rPr>
        <w:t>Kyle Krug</w:t>
      </w:r>
    </w:p>
    <w:p w14:paraId="586C3478" w14:textId="77777777" w:rsidR="00630757" w:rsidRDefault="00630757" w:rsidP="00630757">
      <w:pPr>
        <w:spacing w:after="0" w:line="240" w:lineRule="auto"/>
        <w:rPr>
          <w:rFonts w:ascii="Times New Roman" w:hAnsi="Times New Roman" w:cs="Times New Roman"/>
        </w:rPr>
      </w:pPr>
      <w:r>
        <w:rPr>
          <w:rFonts w:ascii="Times New Roman" w:hAnsi="Times New Roman" w:cs="Times New Roman"/>
        </w:rPr>
        <w:t>Northwestern University</w:t>
      </w:r>
    </w:p>
    <w:p w14:paraId="4A25BB88" w14:textId="77777777" w:rsidR="00630757" w:rsidRDefault="00630757" w:rsidP="00630757">
      <w:pPr>
        <w:spacing w:after="0" w:line="240" w:lineRule="auto"/>
        <w:rPr>
          <w:rFonts w:ascii="Times New Roman" w:hAnsi="Times New Roman" w:cs="Times New Roman"/>
        </w:rPr>
      </w:pPr>
      <w:r>
        <w:rPr>
          <w:rFonts w:ascii="Times New Roman" w:hAnsi="Times New Roman" w:cs="Times New Roman"/>
        </w:rPr>
        <w:t>MSDS 451</w:t>
      </w:r>
    </w:p>
    <w:p w14:paraId="24982560" w14:textId="77777777" w:rsidR="00630757" w:rsidRDefault="00630757" w:rsidP="00630757">
      <w:pPr>
        <w:spacing w:after="0" w:line="240" w:lineRule="auto"/>
        <w:rPr>
          <w:rFonts w:ascii="Times New Roman" w:hAnsi="Times New Roman" w:cs="Times New Roman"/>
        </w:rPr>
      </w:pPr>
      <w:r>
        <w:rPr>
          <w:rFonts w:ascii="Times New Roman" w:hAnsi="Times New Roman" w:cs="Times New Roman"/>
        </w:rPr>
        <w:t>Checkpoint Assignment A</w:t>
      </w:r>
    </w:p>
    <w:p w14:paraId="7BDEACF6" w14:textId="77777777" w:rsidR="00630757" w:rsidRDefault="00630757" w:rsidP="00630757">
      <w:pPr>
        <w:rPr>
          <w:rFonts w:ascii="Times New Roman" w:hAnsi="Times New Roman" w:cs="Times New Roman"/>
        </w:rPr>
      </w:pPr>
    </w:p>
    <w:p w14:paraId="289E5873" w14:textId="77777777" w:rsidR="00630757" w:rsidRPr="00DB40C9" w:rsidRDefault="00630757" w:rsidP="00630757">
      <w:pPr>
        <w:spacing w:line="480" w:lineRule="auto"/>
        <w:jc w:val="center"/>
        <w:rPr>
          <w:rFonts w:ascii="Times New Roman" w:hAnsi="Times New Roman" w:cs="Times New Roman"/>
          <w:b/>
          <w:bCs/>
          <w:sz w:val="32"/>
          <w:szCs w:val="32"/>
          <w:u w:val="single"/>
        </w:rPr>
      </w:pPr>
      <w:r w:rsidRPr="00DB40C9">
        <w:rPr>
          <w:rFonts w:ascii="Times New Roman" w:hAnsi="Times New Roman" w:cs="Times New Roman"/>
          <w:b/>
          <w:bCs/>
          <w:sz w:val="32"/>
          <w:szCs w:val="32"/>
          <w:u w:val="single"/>
        </w:rPr>
        <w:t>Developing a Quantitative Plan for Managing the Anabasis Transformative Technology Fund (ATTF)</w:t>
      </w:r>
    </w:p>
    <w:p w14:paraId="5DB3E9A6" w14:textId="77777777" w:rsidR="00630757" w:rsidRDefault="00630757" w:rsidP="00630757">
      <w:pPr>
        <w:spacing w:line="480" w:lineRule="auto"/>
        <w:rPr>
          <w:rFonts w:ascii="Times New Roman" w:hAnsi="Times New Roman" w:cs="Times New Roman"/>
          <w:b/>
          <w:bCs/>
          <w:sz w:val="32"/>
          <w:szCs w:val="32"/>
        </w:rPr>
      </w:pPr>
      <w:r>
        <w:rPr>
          <w:rFonts w:ascii="Times New Roman" w:hAnsi="Times New Roman" w:cs="Times New Roman"/>
          <w:b/>
          <w:bCs/>
          <w:sz w:val="32"/>
          <w:szCs w:val="32"/>
        </w:rPr>
        <w:t>Introduction</w:t>
      </w:r>
    </w:p>
    <w:p w14:paraId="5390AAB8" w14:textId="4EE21D37" w:rsidR="00630757" w:rsidRPr="00A3620F" w:rsidRDefault="00630757" w:rsidP="00630757">
      <w:pPr>
        <w:spacing w:line="480" w:lineRule="auto"/>
        <w:ind w:firstLine="720"/>
        <w:rPr>
          <w:rFonts w:ascii="Times New Roman" w:hAnsi="Times New Roman" w:cs="Times New Roman"/>
        </w:rPr>
      </w:pPr>
      <w:r>
        <w:rPr>
          <w:rFonts w:ascii="Times New Roman" w:hAnsi="Times New Roman" w:cs="Times New Roman"/>
        </w:rPr>
        <w:t xml:space="preserve">This paper presents my thesis for the Anabasis Transformative Technology Fund (ATTF) and defines a research plan to validate or revise how such a fund should be managed. </w:t>
      </w:r>
      <w:r w:rsidR="00972017">
        <w:rPr>
          <w:rFonts w:ascii="Times New Roman" w:hAnsi="Times New Roman" w:cs="Times New Roman"/>
        </w:rPr>
        <w:t>I have</w:t>
      </w:r>
      <w:r>
        <w:rPr>
          <w:rFonts w:ascii="Times New Roman" w:hAnsi="Times New Roman" w:cs="Times New Roman"/>
        </w:rPr>
        <w:t xml:space="preserve"> conceived the fund as an actively managed exchange-traded fund (ETF) that targets transformational technologies such as artificial intelligence (AI) infrastructure, robotics and space, public blockchains and cryptocurrency ETFs, and frontier areas such as quantum computing and electric Vertical Take-Off and Landing (eVTOL) aviation. These domains combine steep learning curves, rapid adoption dynamics, and heightened sensitivity to policy, </w:t>
      </w:r>
      <w:r w:rsidR="00972017">
        <w:rPr>
          <w:rFonts w:ascii="Times New Roman" w:hAnsi="Times New Roman" w:cs="Times New Roman"/>
        </w:rPr>
        <w:t>i.e.,</w:t>
      </w:r>
      <w:r>
        <w:rPr>
          <w:rFonts w:ascii="Times New Roman" w:hAnsi="Times New Roman" w:cs="Times New Roman"/>
        </w:rPr>
        <w:t xml:space="preserve"> regulations and approvals, and interest-rate cycles. Those same forces create both asymmetric opportunity and crash risk. My thesis is that a technology-first fund, augmented by quantitative, rules-based management, can better capture long</w:t>
      </w:r>
      <w:r w:rsidR="00550739">
        <w:rPr>
          <w:rFonts w:ascii="Times New Roman" w:hAnsi="Times New Roman" w:cs="Times New Roman"/>
        </w:rPr>
        <w:t>-</w:t>
      </w:r>
      <w:r w:rsidR="00B468EE">
        <w:rPr>
          <w:rFonts w:ascii="Times New Roman" w:hAnsi="Times New Roman" w:cs="Times New Roman"/>
        </w:rPr>
        <w:t>term</w:t>
      </w:r>
      <w:r>
        <w:rPr>
          <w:rFonts w:ascii="Times New Roman" w:hAnsi="Times New Roman" w:cs="Times New Roman"/>
        </w:rPr>
        <w:t xml:space="preserve"> upside while constraining the left tail typical of innovation themes. The intended users of the resulting knowledge base and tooling are investors who want transparent, systematic access to transformational technology exposures, students and researchers who can reuse the codebase, and product and risk teams assessing ETF-compatible processes for thematic strategies. Industry precedent from ARK Invest, its sole focus on disruptive innovation, open research, top-down and bottom-up processes, </w:t>
      </w:r>
      <w:r>
        <w:rPr>
          <w:rFonts w:ascii="Times New Roman" w:hAnsi="Times New Roman" w:cs="Times New Roman"/>
        </w:rPr>
        <w:lastRenderedPageBreak/>
        <w:t>and multi-year horizon, provides the thematic rationale, which this plan subjects to quantitative testing.</w:t>
      </w:r>
    </w:p>
    <w:p w14:paraId="6FF240F6" w14:textId="77777777" w:rsidR="00630757" w:rsidRDefault="00630757" w:rsidP="00B01F72">
      <w:pPr>
        <w:spacing w:line="480" w:lineRule="auto"/>
        <w:rPr>
          <w:rFonts w:ascii="Times New Roman" w:hAnsi="Times New Roman" w:cs="Times New Roman"/>
          <w:b/>
          <w:bCs/>
          <w:sz w:val="32"/>
          <w:szCs w:val="32"/>
        </w:rPr>
      </w:pPr>
      <w:r>
        <w:rPr>
          <w:rFonts w:ascii="Times New Roman" w:hAnsi="Times New Roman" w:cs="Times New Roman"/>
          <w:b/>
          <w:bCs/>
          <w:sz w:val="32"/>
          <w:szCs w:val="32"/>
        </w:rPr>
        <w:t>Literature Review</w:t>
      </w:r>
    </w:p>
    <w:p w14:paraId="3BB321B1" w14:textId="2356B589" w:rsidR="00630757" w:rsidRDefault="00630757" w:rsidP="00B01F72">
      <w:pPr>
        <w:autoSpaceDE w:val="0"/>
        <w:autoSpaceDN w:val="0"/>
        <w:adjustRightInd w:val="0"/>
        <w:spacing w:after="0" w:line="480" w:lineRule="auto"/>
        <w:ind w:firstLine="720"/>
        <w:rPr>
          <w:rFonts w:ascii="Times New Roman" w:hAnsi="Times New Roman" w:cs="Times New Roman"/>
        </w:rPr>
      </w:pPr>
      <w:r>
        <w:rPr>
          <w:rFonts w:ascii="Times New Roman" w:hAnsi="Times New Roman" w:cs="Times New Roman"/>
        </w:rPr>
        <w:t xml:space="preserve">The academic and industry literature provides </w:t>
      </w:r>
      <w:r w:rsidR="00762A4C">
        <w:rPr>
          <w:rFonts w:ascii="Times New Roman" w:hAnsi="Times New Roman" w:cs="Times New Roman"/>
        </w:rPr>
        <w:t>staunch support</w:t>
      </w:r>
      <w:r>
        <w:rPr>
          <w:rFonts w:ascii="Times New Roman" w:hAnsi="Times New Roman" w:cs="Times New Roman"/>
        </w:rPr>
        <w:t xml:space="preserve"> for building a systematic, rules-based strategy around transformational technologies. I conducted academic research based on the course’s bibliographies, online research, and finally, I focused research on how and why ARK Invest develops and implements their investment plans. Momentum and trend-following studies, such as Jegadeesh and Titman (1993), demonstrate that persistence in stock returns can be systematically exploited. </w:t>
      </w:r>
      <w:proofErr w:type="spellStart"/>
      <w:r>
        <w:rPr>
          <w:rFonts w:ascii="Times New Roman" w:hAnsi="Times New Roman" w:cs="Times New Roman"/>
        </w:rPr>
        <w:t>Grinold</w:t>
      </w:r>
      <w:proofErr w:type="spellEnd"/>
      <w:r>
        <w:rPr>
          <w:rFonts w:ascii="Times New Roman" w:hAnsi="Times New Roman" w:cs="Times New Roman"/>
        </w:rPr>
        <w:t xml:space="preserve"> and Kahn (2000) articulate the “fundamental law of active management,” which argues that performance depends both on forecasting skill and breadth of independent opportunities, a principle that applies directly to diversified exposure across AI, space, cryptocurrencies, and other experimental assets. Moreira and Muir (2017) further argue that “</w:t>
      </w:r>
      <w:r w:rsidR="00A47C33">
        <w:rPr>
          <w:rFonts w:ascii="Times New Roman" w:hAnsi="Times New Roman" w:cs="Times New Roman"/>
        </w:rPr>
        <w:t>m</w:t>
      </w:r>
      <w:r w:rsidR="00E42F6C">
        <w:rPr>
          <w:rFonts w:ascii="Times New Roman" w:hAnsi="Times New Roman" w:cs="Times New Roman"/>
        </w:rPr>
        <w:t>anaged portfolios that take less r</w:t>
      </w:r>
      <w:r w:rsidR="00A47C33">
        <w:rPr>
          <w:rFonts w:ascii="Times New Roman" w:hAnsi="Times New Roman" w:cs="Times New Roman"/>
        </w:rPr>
        <w:t>isk when volatility is high produce large alphas, increase Sharpe ratios, and produce large utility gains for mean-variance investors</w:t>
      </w:r>
      <w:r w:rsidR="00B01F72">
        <w:rPr>
          <w:rFonts w:ascii="Times New Roman" w:hAnsi="Times New Roman" w:cs="Times New Roman"/>
        </w:rPr>
        <w:t xml:space="preserve">,” </w:t>
      </w:r>
      <w:r>
        <w:rPr>
          <w:rFonts w:ascii="Times New Roman" w:hAnsi="Times New Roman" w:cs="Times New Roman"/>
        </w:rPr>
        <w:t xml:space="preserve">demonstrating that volatility-managed portfolios can improve risk-adjusted returns by scaling exposure based on risk regimes. In practical, applied texts, </w:t>
      </w:r>
      <w:proofErr w:type="spellStart"/>
      <w:r>
        <w:rPr>
          <w:rFonts w:ascii="Times New Roman" w:hAnsi="Times New Roman" w:cs="Times New Roman"/>
        </w:rPr>
        <w:t>Clenow’s</w:t>
      </w:r>
      <w:proofErr w:type="spellEnd"/>
      <w:r>
        <w:rPr>
          <w:rFonts w:ascii="Times New Roman" w:hAnsi="Times New Roman" w:cs="Times New Roman"/>
        </w:rPr>
        <w:t xml:space="preserve"> </w:t>
      </w:r>
      <w:r>
        <w:rPr>
          <w:rFonts w:ascii="Times New Roman" w:hAnsi="Times New Roman" w:cs="Times New Roman"/>
          <w:i/>
          <w:iCs/>
        </w:rPr>
        <w:t>Trading Evolved</w:t>
      </w:r>
      <w:r>
        <w:rPr>
          <w:rFonts w:ascii="Times New Roman" w:hAnsi="Times New Roman" w:cs="Times New Roman"/>
        </w:rPr>
        <w:t xml:space="preserve"> (2019) demonstrates how “systematic trading allows you to test and evaluate your trading ideas before risking your money” and emphasizes that “following systematic rules provides a consistent approach where you will have some degree of predictability of returns,” showing how systematic trading strategies can be developed and tested in Python. Rubano’s </w:t>
      </w:r>
      <w:r>
        <w:rPr>
          <w:rFonts w:ascii="Times New Roman" w:hAnsi="Times New Roman" w:cs="Times New Roman"/>
          <w:i/>
          <w:iCs/>
        </w:rPr>
        <w:t xml:space="preserve">Trader Construction Kit </w:t>
      </w:r>
      <w:r>
        <w:rPr>
          <w:rFonts w:ascii="Times New Roman" w:hAnsi="Times New Roman" w:cs="Times New Roman"/>
        </w:rPr>
        <w:t xml:space="preserve">(2020) provides a roadmap for building explicit rule-based trading systems. To augment these academic sources, I conducted online research on ARK’s approach. ARK offers a well-documented rationale for focusing on disruptive innovation, defining it as the introduction of technologically </w:t>
      </w:r>
      <w:r>
        <w:rPr>
          <w:rFonts w:ascii="Times New Roman" w:hAnsi="Times New Roman" w:cs="Times New Roman"/>
        </w:rPr>
        <w:lastRenderedPageBreak/>
        <w:t>enabled products and services that change how the world works, and emphasizing a process that blends top-down and bottom-up work within an Open Research Ecosystem, typically over a five-year investment horizon.</w:t>
      </w:r>
    </w:p>
    <w:p w14:paraId="47494F9D" w14:textId="77777777" w:rsidR="00630757" w:rsidRDefault="00630757" w:rsidP="00B01F72">
      <w:pPr>
        <w:spacing w:line="480" w:lineRule="auto"/>
        <w:rPr>
          <w:rFonts w:ascii="Times New Roman" w:hAnsi="Times New Roman" w:cs="Times New Roman"/>
          <w:b/>
          <w:bCs/>
          <w:sz w:val="32"/>
          <w:szCs w:val="32"/>
        </w:rPr>
      </w:pPr>
      <w:r>
        <w:rPr>
          <w:rFonts w:ascii="Times New Roman" w:hAnsi="Times New Roman" w:cs="Times New Roman"/>
          <w:b/>
          <w:bCs/>
          <w:sz w:val="32"/>
          <w:szCs w:val="32"/>
        </w:rPr>
        <w:t>Methods</w:t>
      </w:r>
    </w:p>
    <w:p w14:paraId="628005B6" w14:textId="77777777" w:rsidR="00630757" w:rsidRDefault="00630757" w:rsidP="00630757">
      <w:pPr>
        <w:spacing w:line="480" w:lineRule="auto"/>
        <w:rPr>
          <w:rFonts w:ascii="Times New Roman" w:hAnsi="Times New Roman" w:cs="Times New Roman"/>
        </w:rPr>
      </w:pPr>
      <w:r>
        <w:rPr>
          <w:rFonts w:ascii="Times New Roman" w:hAnsi="Times New Roman" w:cs="Times New Roman"/>
        </w:rPr>
        <w:tab/>
        <w:t>This research aims to determine whether an actively managed, rules-based ETF offers superior risk-adjusted returns compared to a passive, buy-and-hold strategy in markets defined by transformational technologies. The central question is whether the additional complexity, turnover, and data-driven decision rules of active management create measurable value relative to passive allocation among technology-themed assets. The analysis will simulate both approaches. The passive portfolio will maintain static weights in key innovation sectors, and the active portfolio will apply algorithmic trading rules such as trend-following and volatility targeting. Comparing these strategies over multiple market cycles will help clarify whether active management is justified in the context of innovation-driven equities.</w:t>
      </w:r>
    </w:p>
    <w:p w14:paraId="66BF674E" w14:textId="6700E5D7" w:rsidR="00630757" w:rsidRDefault="00630757" w:rsidP="00630757">
      <w:pPr>
        <w:spacing w:line="480" w:lineRule="auto"/>
        <w:rPr>
          <w:rFonts w:ascii="Times New Roman" w:hAnsi="Times New Roman" w:cs="Times New Roman"/>
        </w:rPr>
      </w:pPr>
      <w:r>
        <w:rPr>
          <w:rFonts w:ascii="Times New Roman" w:hAnsi="Times New Roman" w:cs="Times New Roman"/>
        </w:rPr>
        <w:tab/>
        <w:t xml:space="preserve">The guiding investment philosophy under investigation is technology-first but quantitatively enforced. The thematic foundation follows ARK </w:t>
      </w:r>
      <w:proofErr w:type="spellStart"/>
      <w:r>
        <w:rPr>
          <w:rFonts w:ascii="Times New Roman" w:hAnsi="Times New Roman" w:cs="Times New Roman"/>
        </w:rPr>
        <w:t>Invest’s</w:t>
      </w:r>
      <w:proofErr w:type="spellEnd"/>
      <w:r>
        <w:rPr>
          <w:rFonts w:ascii="Times New Roman" w:hAnsi="Times New Roman" w:cs="Times New Roman"/>
        </w:rPr>
        <w:t xml:space="preserve"> research focus, which identifies</w:t>
      </w:r>
      <w:r w:rsidR="00074A08">
        <w:rPr>
          <w:rFonts w:ascii="Times New Roman" w:hAnsi="Times New Roman" w:cs="Times New Roman"/>
        </w:rPr>
        <w:t xml:space="preserve"> “companies that we expect to be leaders, enablers, and beneficiaries of disruptive innovation.” </w:t>
      </w:r>
      <w:r w:rsidR="00F07D46">
        <w:rPr>
          <w:rFonts w:ascii="Times New Roman" w:hAnsi="Times New Roman" w:cs="Times New Roman"/>
        </w:rPr>
        <w:t xml:space="preserve">(ARK Invest, 2025) </w:t>
      </w:r>
      <w:r>
        <w:rPr>
          <w:rFonts w:ascii="Times New Roman" w:hAnsi="Times New Roman" w:cs="Times New Roman"/>
        </w:rPr>
        <w:t xml:space="preserve">ARK relies primarily on discretionary, conviction-based management, </w:t>
      </w:r>
      <w:r w:rsidR="00074A08">
        <w:rPr>
          <w:rFonts w:ascii="Times New Roman" w:hAnsi="Times New Roman" w:cs="Times New Roman"/>
        </w:rPr>
        <w:t xml:space="preserve">however </w:t>
      </w:r>
      <w:r>
        <w:rPr>
          <w:rFonts w:ascii="Times New Roman" w:hAnsi="Times New Roman" w:cs="Times New Roman"/>
        </w:rPr>
        <w:t xml:space="preserve">this study proposes to systematize similar thematic exposures through explicit quantitative rules and to </w:t>
      </w:r>
      <w:r w:rsidR="00E96773">
        <w:rPr>
          <w:rFonts w:ascii="Times New Roman" w:hAnsi="Times New Roman" w:cs="Times New Roman"/>
        </w:rPr>
        <w:t>evaluate</w:t>
      </w:r>
      <w:r>
        <w:rPr>
          <w:rFonts w:ascii="Times New Roman" w:hAnsi="Times New Roman" w:cs="Times New Roman"/>
        </w:rPr>
        <w:t xml:space="preserve"> whether doing so improves consistency and risk control. </w:t>
      </w:r>
    </w:p>
    <w:p w14:paraId="405AD182" w14:textId="73B97E04" w:rsidR="004C1403" w:rsidRDefault="004C1403" w:rsidP="00630757">
      <w:pPr>
        <w:spacing w:line="480" w:lineRule="auto"/>
        <w:rPr>
          <w:rFonts w:ascii="Times New Roman" w:hAnsi="Times New Roman" w:cs="Times New Roman"/>
        </w:rPr>
      </w:pPr>
      <w:r>
        <w:rPr>
          <w:rFonts w:ascii="Times New Roman" w:hAnsi="Times New Roman" w:cs="Times New Roman"/>
        </w:rPr>
        <w:tab/>
        <w:t xml:space="preserve">This initial research focuses exclusively on technical analysis frameworks using price and volatility patterns as the primary signals for security selection and portfolio timing. This design </w:t>
      </w:r>
      <w:r>
        <w:rPr>
          <w:rFonts w:ascii="Times New Roman" w:hAnsi="Times New Roman" w:cs="Times New Roman"/>
        </w:rPr>
        <w:lastRenderedPageBreak/>
        <w:t>choice warrants explicit justification given the nature of transformational technology investing. Traditional fundamental metrics such as price-to-earnings ratios, price-to-sales multiples, and discounted cash flow models prove problematic for frontier technology companies where many holdings are pre-revenue, such as eVTOL, quantum computing at time horizon for this study, generate negative cash flows during scale-up phases, or trade at valuation multiples that defy conventional analysis frameworks. While ARK Invest successfully incorporates innovation-specific fundamental metrics including Wright’s Law cost-decline curves, total addressable market sizing, technology adoption S-curves, and patent quality analysis, implementing such metrics requires proprietary research infrastructure, industry-specific domain expertise, and subjective judgment that does not lend itself to fully automated, rules-based execution.</w:t>
      </w:r>
    </w:p>
    <w:p w14:paraId="48EACA99" w14:textId="442658CA" w:rsidR="004C1403" w:rsidRDefault="004C1403" w:rsidP="00630757">
      <w:pPr>
        <w:spacing w:line="480" w:lineRule="auto"/>
        <w:rPr>
          <w:rFonts w:ascii="Times New Roman" w:hAnsi="Times New Roman" w:cs="Times New Roman"/>
        </w:rPr>
      </w:pPr>
      <w:r>
        <w:rPr>
          <w:rFonts w:ascii="Times New Roman" w:hAnsi="Times New Roman" w:cs="Times New Roman"/>
        </w:rPr>
        <w:tab/>
        <w:t xml:space="preserve">The decision to rely on purely technical signals for this checkpoint reflects both practical constraints and theoretical considerations. From a practical standpoint, price-based momentum and trend-following signals can be systematically extracted from readily available market data, </w:t>
      </w:r>
      <w:proofErr w:type="spellStart"/>
      <w:r>
        <w:rPr>
          <w:rFonts w:ascii="Times New Roman" w:hAnsi="Times New Roman" w:cs="Times New Roman"/>
        </w:rPr>
        <w:t>backtested</w:t>
      </w:r>
      <w:proofErr w:type="spellEnd"/>
      <w:r>
        <w:rPr>
          <w:rFonts w:ascii="Times New Roman" w:hAnsi="Times New Roman" w:cs="Times New Roman"/>
        </w:rPr>
        <w:t xml:space="preserve"> without look-ahead bias, and implemented in real-time trading systems without requiring fundamental research teams or access to proprietary databases. From a theoretical perspective, as </w:t>
      </w:r>
      <w:proofErr w:type="spellStart"/>
      <w:r>
        <w:rPr>
          <w:rFonts w:ascii="Times New Roman" w:hAnsi="Times New Roman" w:cs="Times New Roman"/>
        </w:rPr>
        <w:t>Grinold</w:t>
      </w:r>
      <w:proofErr w:type="spellEnd"/>
      <w:r>
        <w:rPr>
          <w:rFonts w:ascii="Times New Roman" w:hAnsi="Times New Roman" w:cs="Times New Roman"/>
        </w:rPr>
        <w:t xml:space="preserve"> and Kahn observe, the most successful active managers are those who can systematically transform superior forecasts into superior portfolios, and momentum-based technical signals have demonstrated robust out-of-sample performance across asset classes and time periods. Furthermore, for transformational technologies where information asymmetry is severe and traditional valuation frameworks fail, price momentum may </w:t>
      </w:r>
      <w:proofErr w:type="gramStart"/>
      <w:r>
        <w:rPr>
          <w:rFonts w:ascii="Times New Roman" w:hAnsi="Times New Roman" w:cs="Times New Roman"/>
        </w:rPr>
        <w:t>actually serve</w:t>
      </w:r>
      <w:proofErr w:type="gramEnd"/>
      <w:r>
        <w:rPr>
          <w:rFonts w:ascii="Times New Roman" w:hAnsi="Times New Roman" w:cs="Times New Roman"/>
        </w:rPr>
        <w:t xml:space="preserve"> as a more reliable signal than fundamental metrics, as it aggregates the collective wisdom of all market participants including venture capitalists, industry experts, and early adopters who possess superior information.</w:t>
      </w:r>
    </w:p>
    <w:p w14:paraId="10C7FB5D" w14:textId="58F22372" w:rsidR="00630757" w:rsidRDefault="004C1403" w:rsidP="00630757">
      <w:pPr>
        <w:spacing w:line="480" w:lineRule="auto"/>
        <w:rPr>
          <w:rFonts w:ascii="Times New Roman" w:hAnsi="Times New Roman" w:cs="Times New Roman"/>
        </w:rPr>
      </w:pPr>
      <w:r>
        <w:rPr>
          <w:rFonts w:ascii="Times New Roman" w:hAnsi="Times New Roman" w:cs="Times New Roman"/>
        </w:rPr>
        <w:lastRenderedPageBreak/>
        <w:tab/>
        <w:t>However, this technical-only approach represents a significant limitation that future research must address. Future deliverables will evaluate whether incorporating innovation-specific fundamental overlays improves performance beyond pure momentum signals. Candidate fundamental metrics include research and development expenditure as a percentage of revenue, patent filing velocity and citation quality, revenue growth acceleration rates, gross margin expansion trajectories for companies transitioning from prototype to commercial production, and management team backgrounds in terms of prior successful ventures and technical credentials. The hypothesis is that combining technical signals for timing with fundamental filters for security selection may yield superior rather than fundamental progress. For example, a hybrid approach might select the top momentum securities within each sleeve but exclude those with declining R&amp;D intensity, deteriorating gross margins, or management teams lacking relevant domain expertise, thereby</w:t>
      </w:r>
      <w:r w:rsidR="007926F0">
        <w:rPr>
          <w:rFonts w:ascii="Times New Roman" w:hAnsi="Times New Roman" w:cs="Times New Roman"/>
        </w:rPr>
        <w:t xml:space="preserve"> reducing exposure to companies whose price momentum may reverse when fundamental weaknesses become apparent.</w:t>
      </w:r>
    </w:p>
    <w:p w14:paraId="0FA58D2B" w14:textId="61C2715B" w:rsidR="00377B4D" w:rsidRDefault="00377B4D" w:rsidP="00630757">
      <w:pPr>
        <w:spacing w:line="480" w:lineRule="auto"/>
        <w:rPr>
          <w:rFonts w:ascii="Times New Roman" w:hAnsi="Times New Roman" w:cs="Times New Roman"/>
        </w:rPr>
      </w:pPr>
      <w:r>
        <w:rPr>
          <w:rFonts w:ascii="Times New Roman" w:hAnsi="Times New Roman" w:cs="Times New Roman"/>
        </w:rPr>
        <w:tab/>
        <w:t xml:space="preserve">Candidate active strategies will employ explicit, automatable rules for buying and selling securities. Each sector the fund is seeking to invest in, </w:t>
      </w:r>
      <w:r w:rsidR="00972017">
        <w:rPr>
          <w:rFonts w:ascii="Times New Roman" w:hAnsi="Times New Roman" w:cs="Times New Roman"/>
        </w:rPr>
        <w:t>i.e.,</w:t>
      </w:r>
      <w:r>
        <w:rPr>
          <w:rFonts w:ascii="Times New Roman" w:hAnsi="Times New Roman" w:cs="Times New Roman"/>
        </w:rPr>
        <w:t xml:space="preserve"> AI infrastructure, will be evaluated under trend-following and volatility-targeted regimes. </w:t>
      </w:r>
      <w:r w:rsidR="00860C63">
        <w:rPr>
          <w:rFonts w:ascii="Times New Roman" w:hAnsi="Times New Roman" w:cs="Times New Roman"/>
        </w:rPr>
        <w:t xml:space="preserve">For baseline (S1), securities are ranked </w:t>
      </w:r>
      <w:proofErr w:type="gramStart"/>
      <w:r w:rsidR="00860C63">
        <w:rPr>
          <w:rFonts w:ascii="Times New Roman" w:hAnsi="Times New Roman" w:cs="Times New Roman"/>
        </w:rPr>
        <w:t>by</w:t>
      </w:r>
      <w:proofErr w:type="gramEnd"/>
      <w:r w:rsidR="00860C63">
        <w:rPr>
          <w:rFonts w:ascii="Times New Roman" w:hAnsi="Times New Roman" w:cs="Times New Roman"/>
        </w:rPr>
        <w:t xml:space="preserve"> 90-day price momentum. For dual momentum (S2), securities must show positive momentum on both 60-day and 120-day lookbacks, and rankings use the average of these two signals. The strategies rebalance monthly, selecting the top two securities per sleeve based on momentum rankings.</w:t>
      </w:r>
      <w:r>
        <w:rPr>
          <w:rFonts w:ascii="Times New Roman" w:hAnsi="Times New Roman" w:cs="Times New Roman"/>
        </w:rPr>
        <w:t xml:space="preserve"> This reactive, price-based process reflects the adaptive logic of managed-futures strategies. As </w:t>
      </w:r>
      <w:proofErr w:type="spellStart"/>
      <w:r>
        <w:rPr>
          <w:rFonts w:ascii="Times New Roman" w:hAnsi="Times New Roman" w:cs="Times New Roman"/>
        </w:rPr>
        <w:t>Greyserman</w:t>
      </w:r>
      <w:proofErr w:type="spellEnd"/>
      <w:r>
        <w:rPr>
          <w:rFonts w:ascii="Times New Roman" w:hAnsi="Times New Roman" w:cs="Times New Roman"/>
        </w:rPr>
        <w:t xml:space="preserve"> and Kaminski note, “trend following provides a simple but robust approach to trading that adapts to a changing market environment without forecasting.” </w:t>
      </w:r>
    </w:p>
    <w:p w14:paraId="5CD585AC" w14:textId="1F41F363" w:rsidR="001764EB" w:rsidRDefault="00377B4D" w:rsidP="00630757">
      <w:pPr>
        <w:spacing w:line="480" w:lineRule="auto"/>
        <w:rPr>
          <w:rFonts w:ascii="Times New Roman" w:hAnsi="Times New Roman" w:cs="Times New Roman"/>
        </w:rPr>
      </w:pPr>
      <w:r>
        <w:rPr>
          <w:rFonts w:ascii="Times New Roman" w:hAnsi="Times New Roman" w:cs="Times New Roman"/>
        </w:rPr>
        <w:lastRenderedPageBreak/>
        <w:tab/>
        <w:t xml:space="preserve">The study will implement systematic portfolio selection consistent with Modern Portfolio Theory and efficient-frontier optimization. In 1952, Markowitz demonstrated that diversifications across imperfectly correlated assets can reduce risk without sacrificing expected return, and Sharpe in 1964 formalized that investors will choose portfolios that are efficient in the sense that no other portfolio offers higher expected return for the same risk. Building on these principles, </w:t>
      </w:r>
      <w:r w:rsidR="009F4589">
        <w:rPr>
          <w:rFonts w:ascii="Times New Roman" w:hAnsi="Times New Roman" w:cs="Times New Roman"/>
        </w:rPr>
        <w:t>this checkpoint tests momentum-based security selection with equal-weight allocation within selected securities. Future deliverables will evaluate volatility-parity weighting and mean-variance optimization to determine which yields the highest efficiency under varying regimes</w:t>
      </w:r>
      <w:r>
        <w:rPr>
          <w:rFonts w:ascii="Times New Roman" w:hAnsi="Times New Roman" w:cs="Times New Roman"/>
        </w:rPr>
        <w:t>.</w:t>
      </w:r>
      <w:r w:rsidR="009F4589">
        <w:rPr>
          <w:rFonts w:ascii="Times New Roman" w:hAnsi="Times New Roman" w:cs="Times New Roman"/>
        </w:rPr>
        <w:t xml:space="preserve"> Additional</w:t>
      </w:r>
      <w:r w:rsidR="001764EB">
        <w:rPr>
          <w:rFonts w:ascii="Times New Roman" w:hAnsi="Times New Roman" w:cs="Times New Roman"/>
        </w:rPr>
        <w:t xml:space="preserve"> research will examine whether moving to cash during drawdown thresholds could enhance downside protection. The current checkpoint </w:t>
      </w:r>
      <w:proofErr w:type="gramStart"/>
      <w:r w:rsidR="001764EB">
        <w:rPr>
          <w:rFonts w:ascii="Times New Roman" w:hAnsi="Times New Roman" w:cs="Times New Roman"/>
        </w:rPr>
        <w:t>maintains full investment at all times</w:t>
      </w:r>
      <w:proofErr w:type="gramEnd"/>
      <w:r w:rsidR="001764EB">
        <w:rPr>
          <w:rFonts w:ascii="Times New Roman" w:hAnsi="Times New Roman" w:cs="Times New Roman"/>
        </w:rPr>
        <w:t>, rebalancing monthly among selected securities.</w:t>
      </w:r>
    </w:p>
    <w:p w14:paraId="456A69FF" w14:textId="587D5FEA" w:rsidR="00377B4D" w:rsidRDefault="00377B4D" w:rsidP="001764EB">
      <w:pPr>
        <w:spacing w:line="480" w:lineRule="auto"/>
        <w:ind w:firstLine="720"/>
        <w:rPr>
          <w:rFonts w:ascii="Times New Roman" w:hAnsi="Times New Roman" w:cs="Times New Roman"/>
        </w:rPr>
      </w:pPr>
      <w:r>
        <w:rPr>
          <w:rFonts w:ascii="Times New Roman" w:hAnsi="Times New Roman" w:cs="Times New Roman"/>
        </w:rPr>
        <w:t xml:space="preserve">Additional enhancements proposed for future research include macro-regime detection using Federal Funds Rate changes to identify tightening versus easing cycles, sentiment-based position sizing using </w:t>
      </w:r>
      <w:r w:rsidR="005A652A">
        <w:rPr>
          <w:rFonts w:ascii="Times New Roman" w:hAnsi="Times New Roman" w:cs="Times New Roman"/>
        </w:rPr>
        <w:t>media</w:t>
      </w:r>
      <w:r>
        <w:rPr>
          <w:rFonts w:ascii="Times New Roman" w:hAnsi="Times New Roman" w:cs="Times New Roman"/>
        </w:rPr>
        <w:t xml:space="preserve"> polarity scores, crash-put overlays providing tail-risk protection through long-dated out-of-the-money put options, and Wright’s Law cost-decline modeling to adjust allocations as technologies mature. While these advanced features form part of the fund’s long-term thesis, they were not implemented in this initial checkpoint due to time and data constraints. Future iterations will incorporate these elements to test whether they add value or introduce overfitting.</w:t>
      </w:r>
    </w:p>
    <w:p w14:paraId="03F60B5E" w14:textId="7EE449B8" w:rsidR="00377B4D" w:rsidRDefault="00377B4D" w:rsidP="00630757">
      <w:pPr>
        <w:spacing w:line="480" w:lineRule="auto"/>
        <w:rPr>
          <w:rFonts w:ascii="Times New Roman" w:hAnsi="Times New Roman" w:cs="Times New Roman"/>
        </w:rPr>
      </w:pPr>
      <w:r>
        <w:rPr>
          <w:rFonts w:ascii="Times New Roman" w:hAnsi="Times New Roman" w:cs="Times New Roman"/>
        </w:rPr>
        <w:tab/>
        <w:t xml:space="preserve">I will build a quantitative and data-science framework to </w:t>
      </w:r>
      <w:r w:rsidR="007745D0">
        <w:rPr>
          <w:rFonts w:ascii="Times New Roman" w:hAnsi="Times New Roman" w:cs="Times New Roman"/>
        </w:rPr>
        <w:t>assess</w:t>
      </w:r>
      <w:r>
        <w:rPr>
          <w:rFonts w:ascii="Times New Roman" w:hAnsi="Times New Roman" w:cs="Times New Roman"/>
        </w:rPr>
        <w:t xml:space="preserve"> the fund’s approach. </w:t>
      </w:r>
      <w:proofErr w:type="spellStart"/>
      <w:r>
        <w:rPr>
          <w:rFonts w:ascii="Times New Roman" w:hAnsi="Times New Roman" w:cs="Times New Roman"/>
        </w:rPr>
        <w:t>Backtesting</w:t>
      </w:r>
      <w:proofErr w:type="spellEnd"/>
      <w:r>
        <w:rPr>
          <w:rFonts w:ascii="Times New Roman" w:hAnsi="Times New Roman" w:cs="Times New Roman"/>
        </w:rPr>
        <w:t xml:space="preserve"> and model validation will follow reproducible, machine-learning oriented procedures. Additionally, I will draw on Lopez de Prado’s guidance that financial data are non-stationary, noisy, and heterogeneous, and that robust modeling therefore requires machine-</w:t>
      </w:r>
      <w:r>
        <w:rPr>
          <w:rFonts w:ascii="Times New Roman" w:hAnsi="Times New Roman" w:cs="Times New Roman"/>
        </w:rPr>
        <w:lastRenderedPageBreak/>
        <w:t>learning methods capable of detecting changing regimes and adapting to new patterns</w:t>
      </w:r>
      <w:r w:rsidR="002A41B6">
        <w:rPr>
          <w:rFonts w:ascii="Times New Roman" w:hAnsi="Times New Roman" w:cs="Times New Roman"/>
        </w:rPr>
        <w:t>.</w:t>
      </w:r>
      <w:r>
        <w:rPr>
          <w:rFonts w:ascii="Times New Roman" w:hAnsi="Times New Roman" w:cs="Times New Roman"/>
        </w:rPr>
        <w:t xml:space="preserve"> </w:t>
      </w:r>
      <w:r w:rsidR="00DD6EA9">
        <w:rPr>
          <w:rFonts w:ascii="Times New Roman" w:hAnsi="Times New Roman" w:cs="Times New Roman"/>
        </w:rPr>
        <w:t>For Checkpoint A, I implemented three strategies</w:t>
      </w:r>
      <w:r w:rsidR="0094539E">
        <w:rPr>
          <w:rFonts w:ascii="Times New Roman" w:hAnsi="Times New Roman" w:cs="Times New Roman"/>
        </w:rPr>
        <w:t xml:space="preserve">: baseline momentum, dual-momentum, and walk-forward validation with one-year training windows and three-month test periods, all with careful signal timing to eliminate look-ahead bias. Deflated-Sharpe-ratio analysis will be employed in future deliverables to ensure statistical robustness. </w:t>
      </w:r>
      <w:r>
        <w:rPr>
          <w:rFonts w:ascii="Times New Roman" w:hAnsi="Times New Roman" w:cs="Times New Roman"/>
        </w:rPr>
        <w:t xml:space="preserve">All simulations will be implemented in open-source Python libraries to guarantee transparency and replicability. Through these experiments, the research will evaluate </w:t>
      </w:r>
      <w:r w:rsidR="009B2BBF">
        <w:rPr>
          <w:rFonts w:ascii="Times New Roman" w:hAnsi="Times New Roman" w:cs="Times New Roman"/>
        </w:rPr>
        <w:t xml:space="preserve">whether </w:t>
      </w:r>
      <w:r>
        <w:rPr>
          <w:rFonts w:ascii="Times New Roman" w:hAnsi="Times New Roman" w:cs="Times New Roman"/>
        </w:rPr>
        <w:t>the active, rules-based approach c</w:t>
      </w:r>
      <w:r w:rsidR="009B2BBF">
        <w:rPr>
          <w:rFonts w:ascii="Times New Roman" w:hAnsi="Times New Roman" w:cs="Times New Roman"/>
        </w:rPr>
        <w:t>an consistently outperform a passive buy-and-hold benchmark of transformational technology exposures once adjusted for volatility, drawdowns, and transaction costs. The outcome will inform whether the final ATTF should be structured as an actively managed ETF, a passive index product, or a hybrid vehicle that blends both philosophies.</w:t>
      </w:r>
    </w:p>
    <w:p w14:paraId="359DC645" w14:textId="77777777" w:rsidR="009B2BBF" w:rsidRDefault="009B2BBF" w:rsidP="009B2BBF">
      <w:pPr>
        <w:pStyle w:val="NormalWeb"/>
        <w:spacing w:line="480" w:lineRule="auto"/>
        <w:rPr>
          <w:b/>
          <w:bCs/>
          <w:sz w:val="32"/>
          <w:szCs w:val="32"/>
        </w:rPr>
      </w:pPr>
      <w:r>
        <w:rPr>
          <w:b/>
          <w:bCs/>
          <w:sz w:val="32"/>
          <w:szCs w:val="32"/>
        </w:rPr>
        <w:t>Results</w:t>
      </w:r>
    </w:p>
    <w:p w14:paraId="00CC249B" w14:textId="7B1E8AA7" w:rsidR="009B2BBF" w:rsidRDefault="009B2BBF" w:rsidP="009B2BBF">
      <w:pPr>
        <w:pStyle w:val="NormalWeb"/>
        <w:spacing w:line="480" w:lineRule="auto"/>
      </w:pPr>
      <w:r>
        <w:rPr>
          <w:b/>
          <w:bCs/>
          <w:sz w:val="32"/>
          <w:szCs w:val="32"/>
        </w:rPr>
        <w:tab/>
      </w:r>
      <w:r>
        <w:t xml:space="preserve">The results of this study validate that a systematic, rules-based approach to managing transformational technology portfolios can outperform passive exposure on a risk-adjusted basis, while also revealing the limits of certain risk management techniques and the value of adaptive trend-following controls. I built a program in </w:t>
      </w:r>
      <w:proofErr w:type="spellStart"/>
      <w:r>
        <w:t>Jupyter</w:t>
      </w:r>
      <w:proofErr w:type="spellEnd"/>
      <w:r>
        <w:t xml:space="preserve"> notebook to </w:t>
      </w:r>
      <w:r w:rsidR="007745D0">
        <w:t>evaluate</w:t>
      </w:r>
      <w:r>
        <w:t xml:space="preserve"> my fund thesis, incorporating the research and methods discussed in the methodology section.</w:t>
      </w:r>
    </w:p>
    <w:p w14:paraId="4F09C848" w14:textId="788CFFFD" w:rsidR="009B2BBF" w:rsidRDefault="009B2BBF" w:rsidP="009B2BBF">
      <w:pPr>
        <w:pStyle w:val="NormalWeb"/>
        <w:spacing w:line="480" w:lineRule="auto"/>
      </w:pPr>
      <w:r>
        <w:tab/>
        <w:t xml:space="preserve">The </w:t>
      </w:r>
      <w:proofErr w:type="spellStart"/>
      <w:r>
        <w:t>backtesting</w:t>
      </w:r>
      <w:proofErr w:type="spellEnd"/>
      <w:r>
        <w:t xml:space="preserve"> framework implemented in my code directly operationalized the quantitative methods outlined in the literature I studied. The portfolio was simulated as an actively managed ETF using </w:t>
      </w:r>
      <w:r w:rsidR="00955E75">
        <w:t>rules</w:t>
      </w:r>
      <w:r>
        <w:t xml:space="preserve"> for trend-following, combined with the portfolio optimization principles of Markowitz and Sharpe</w:t>
      </w:r>
      <w:r w:rsidR="00DB7932">
        <w:t xml:space="preserve">. </w:t>
      </w:r>
      <w:proofErr w:type="spellStart"/>
      <w:r>
        <w:t>Grinold</w:t>
      </w:r>
      <w:proofErr w:type="spellEnd"/>
      <w:r>
        <w:t xml:space="preserve"> and Kahn</w:t>
      </w:r>
      <w:r w:rsidR="00955E75">
        <w:t xml:space="preserve"> </w:t>
      </w:r>
      <w:r>
        <w:t>guided the translation of forecasts, momentum and volatility signals, into portfolio weights</w:t>
      </w:r>
      <w:r w:rsidR="00763D4F">
        <w:t xml:space="preserve">. </w:t>
      </w:r>
      <w:r>
        <w:t xml:space="preserve">In this way, the academic research was </w:t>
      </w:r>
      <w:r>
        <w:lastRenderedPageBreak/>
        <w:t xml:space="preserve">directly encoded into the codebase, allowing the active strategy to be </w:t>
      </w:r>
      <w:r w:rsidR="009A2A02">
        <w:t>evaluated</w:t>
      </w:r>
      <w:r>
        <w:t xml:space="preserve"> against a passive benchmark of equal-weight, buy-and-hold innovation assets.</w:t>
      </w:r>
    </w:p>
    <w:p w14:paraId="6DFD387C" w14:textId="77777777" w:rsidR="0025684E" w:rsidRDefault="000320B5" w:rsidP="009B2BBF">
      <w:pPr>
        <w:pStyle w:val="NormalWeb"/>
        <w:spacing w:line="480" w:lineRule="auto"/>
      </w:pPr>
      <w:r>
        <w:tab/>
        <w:t xml:space="preserve">The </w:t>
      </w:r>
      <w:proofErr w:type="spellStart"/>
      <w:r>
        <w:t>backtest</w:t>
      </w:r>
      <w:proofErr w:type="spellEnd"/>
      <w:r>
        <w:t xml:space="preserve"> employed real market data for twenty securities covering January 2, </w:t>
      </w:r>
      <w:proofErr w:type="gramStart"/>
      <w:r>
        <w:t>2020</w:t>
      </w:r>
      <w:proofErr w:type="gramEnd"/>
      <w:r>
        <w:t xml:space="preserve"> through October 10, 2025, </w:t>
      </w:r>
      <w:proofErr w:type="gramStart"/>
      <w:r>
        <w:t>acquired</w:t>
      </w:r>
      <w:proofErr w:type="gramEnd"/>
      <w:r>
        <w:t xml:space="preserve"> via the Polygon.io financial markets API. The portfolio includes </w:t>
      </w:r>
      <w:r w:rsidR="00D333F5">
        <w:t xml:space="preserve">AI </w:t>
      </w:r>
      <w:proofErr w:type="spellStart"/>
      <w:r w:rsidR="00D333F5">
        <w:t>infrascture</w:t>
      </w:r>
      <w:proofErr w:type="spellEnd"/>
      <w:r w:rsidR="00D333F5">
        <w:t xml:space="preserve"> (NVDA, AMD, INTC, MU, NBIS, GOOGL), robotics and space (RKLB, JOBY, ACHR, TSLA</w:t>
      </w:r>
      <w:r w:rsidR="00E560E7">
        <w:t>, SERV</w:t>
      </w:r>
      <w:r w:rsidR="00D333F5">
        <w:t>)</w:t>
      </w:r>
      <w:r w:rsidR="00E560E7">
        <w:t xml:space="preserve">, cryptocurrency (COIN, HOOD, IBIT, IREN, CLSK), and quantum computing (IONQ, RGTI, QBTS, SMR). One </w:t>
      </w:r>
      <w:proofErr w:type="gramStart"/>
      <w:r w:rsidR="00E560E7">
        <w:t>ticker</w:t>
      </w:r>
      <w:proofErr w:type="gramEnd"/>
      <w:r w:rsidR="00E560E7">
        <w:t xml:space="preserve"> (CORW) was excluded due to insufficient historical data</w:t>
      </w:r>
      <w:r w:rsidR="005360F8">
        <w:t xml:space="preserve">. The resulting 20-stock </w:t>
      </w:r>
      <w:r w:rsidR="0030653E">
        <w:t>portfolio provides comprehensive exposure across transformational technology sectors, with varying data availability, established companies</w:t>
      </w:r>
      <w:r w:rsidR="0025684E">
        <w:t>, such as NVDA, have complete 5-year histories while newer entrants like quantum computing firms have shorter track records reflecting recent IPOs.</w:t>
      </w:r>
    </w:p>
    <w:p w14:paraId="71E20E55" w14:textId="77777777" w:rsidR="009B2BBF" w:rsidRPr="00330944" w:rsidRDefault="009B2BBF" w:rsidP="009B2BBF">
      <w:pPr>
        <w:pStyle w:val="NormalWeb"/>
        <w:spacing w:line="480" w:lineRule="auto"/>
        <w:jc w:val="center"/>
        <w:rPr>
          <w:b/>
          <w:bCs/>
        </w:rPr>
      </w:pPr>
      <w:r>
        <w:rPr>
          <w:b/>
          <w:bCs/>
        </w:rPr>
        <w:t>Table 1: Strategy Comparison</w:t>
      </w:r>
    </w:p>
    <w:p w14:paraId="084CBCD5" w14:textId="46383B0D" w:rsidR="009B2BBF" w:rsidRDefault="0021254C" w:rsidP="009B2BBF">
      <w:pPr>
        <w:pStyle w:val="NormalWeb"/>
        <w:spacing w:line="480" w:lineRule="auto"/>
      </w:pPr>
      <w:r w:rsidRPr="0021254C">
        <w:rPr>
          <w:noProof/>
        </w:rPr>
        <w:drawing>
          <wp:inline distT="0" distB="0" distL="0" distR="0" wp14:anchorId="763E3198" wp14:editId="0EF4DC23">
            <wp:extent cx="5943600" cy="1031240"/>
            <wp:effectExtent l="0" t="0" r="0" b="0"/>
            <wp:docPr id="127404165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041653" name="Picture 1" descr="A screenshot of a computer&#10;&#10;AI-generated content may be incorrect."/>
                    <pic:cNvPicPr/>
                  </pic:nvPicPr>
                  <pic:blipFill>
                    <a:blip r:embed="rId5"/>
                    <a:stretch>
                      <a:fillRect/>
                    </a:stretch>
                  </pic:blipFill>
                  <pic:spPr>
                    <a:xfrm>
                      <a:off x="0" y="0"/>
                      <a:ext cx="5943600" cy="1031240"/>
                    </a:xfrm>
                    <a:prstGeom prst="rect">
                      <a:avLst/>
                    </a:prstGeom>
                  </pic:spPr>
                </pic:pic>
              </a:graphicData>
            </a:graphic>
          </wp:inline>
        </w:drawing>
      </w:r>
    </w:p>
    <w:p w14:paraId="02F4E4DD" w14:textId="77777777" w:rsidR="009B2BBF" w:rsidRPr="006C5BC9" w:rsidRDefault="009B2BBF" w:rsidP="006C5BC9">
      <w:pPr>
        <w:pStyle w:val="NormalWeb"/>
        <w:rPr>
          <w:sz w:val="20"/>
          <w:szCs w:val="20"/>
        </w:rPr>
      </w:pPr>
      <w:r w:rsidRPr="006C5BC9">
        <w:rPr>
          <w:sz w:val="20"/>
          <w:szCs w:val="20"/>
        </w:rPr>
        <w:t>*Table 1 summarizes performance metrics for all tested strategies relative to the equal-weight buy-and-hold benchmark*</w:t>
      </w:r>
    </w:p>
    <w:p w14:paraId="52F035B3" w14:textId="37B5E332" w:rsidR="0023568D" w:rsidRDefault="0023568D" w:rsidP="0023568D">
      <w:pPr>
        <w:pStyle w:val="NormalWeb"/>
        <w:spacing w:line="480" w:lineRule="auto"/>
        <w:ind w:firstLine="720"/>
      </w:pPr>
      <w:r>
        <w:t>Across the 2020-2025 sample, the baseline momentum strategy (S1) generated a total return of 1,911%, an annualized return of 70.7%, a Sharpe ratio of 1.4, and a maximum drawdown of -63.8%. The dual-momentum strategy (S2) achieved 1,367% returns with a Sharpe of 1.2 and a -69.9% drawdown. Both active strategies outperformed the equal-weight passive benchmark (B1), which achieved 1,025% returns with a Sharpe ratio of 1.26.</w:t>
      </w:r>
    </w:p>
    <w:p w14:paraId="7649D81E" w14:textId="291199F0" w:rsidR="00E24B72" w:rsidRDefault="001D4646" w:rsidP="007624FC">
      <w:pPr>
        <w:pStyle w:val="NormalWeb"/>
        <w:spacing w:line="480" w:lineRule="auto"/>
        <w:ind w:firstLine="720"/>
      </w:pPr>
      <w:r>
        <w:lastRenderedPageBreak/>
        <w:t xml:space="preserve">Notably, </w:t>
      </w:r>
      <w:r w:rsidR="00F035D5">
        <w:t>the baseline momentum strategy (S1) achieved the highest risk-adjusted performance with a Sharpe ratio of 1.4, outperforming both the equal-weight passive benchmark (1.26) and other active approaches.</w:t>
      </w:r>
    </w:p>
    <w:p w14:paraId="09F500B2" w14:textId="77777777" w:rsidR="00E24B72" w:rsidRPr="00E24B72" w:rsidRDefault="00E24B72" w:rsidP="00E24B72">
      <w:pPr>
        <w:spacing w:before="100" w:beforeAutospacing="1" w:after="100" w:afterAutospacing="1" w:line="480" w:lineRule="auto"/>
        <w:jc w:val="center"/>
        <w:rPr>
          <w:rFonts w:ascii="Times New Roman" w:eastAsia="Times New Roman" w:hAnsi="Times New Roman" w:cs="Times New Roman"/>
          <w:b/>
          <w:bCs/>
          <w:kern w:val="0"/>
          <w14:ligatures w14:val="none"/>
        </w:rPr>
      </w:pPr>
      <w:r w:rsidRPr="00E24B72">
        <w:rPr>
          <w:rFonts w:ascii="Times New Roman" w:eastAsia="Times New Roman" w:hAnsi="Times New Roman" w:cs="Times New Roman"/>
          <w:b/>
          <w:bCs/>
          <w:kern w:val="0"/>
          <w14:ligatures w14:val="none"/>
        </w:rPr>
        <w:t>Figure 1: Sharpe Ratio Comparison</w:t>
      </w:r>
    </w:p>
    <w:p w14:paraId="172861A4" w14:textId="675D3485" w:rsidR="00E24B72" w:rsidRPr="00E24B72" w:rsidRDefault="00000D82" w:rsidP="00E24B72">
      <w:pPr>
        <w:spacing w:before="100" w:beforeAutospacing="1" w:after="100" w:afterAutospacing="1" w:line="480" w:lineRule="auto"/>
        <w:jc w:val="center"/>
        <w:rPr>
          <w:rFonts w:ascii="Times New Roman" w:eastAsia="Times New Roman" w:hAnsi="Times New Roman" w:cs="Times New Roman"/>
          <w:b/>
          <w:bCs/>
          <w:kern w:val="0"/>
          <w14:ligatures w14:val="none"/>
        </w:rPr>
      </w:pPr>
      <w:r w:rsidRPr="00000D82">
        <w:rPr>
          <w:rFonts w:ascii="Times New Roman" w:eastAsia="Times New Roman" w:hAnsi="Times New Roman" w:cs="Times New Roman"/>
          <w:b/>
          <w:bCs/>
          <w:noProof/>
          <w:kern w:val="0"/>
          <w14:ligatures w14:val="none"/>
        </w:rPr>
        <w:drawing>
          <wp:inline distT="0" distB="0" distL="0" distR="0" wp14:anchorId="7DB4C58D" wp14:editId="123BA3E3">
            <wp:extent cx="5943600" cy="4778375"/>
            <wp:effectExtent l="0" t="0" r="0" b="3175"/>
            <wp:docPr id="1083353638" name="Picture 1" descr="A graph with red and green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353638" name="Picture 1" descr="A graph with red and green bars&#10;&#10;AI-generated content may be incorrect."/>
                    <pic:cNvPicPr/>
                  </pic:nvPicPr>
                  <pic:blipFill>
                    <a:blip r:embed="rId6"/>
                    <a:stretch>
                      <a:fillRect/>
                    </a:stretch>
                  </pic:blipFill>
                  <pic:spPr>
                    <a:xfrm>
                      <a:off x="0" y="0"/>
                      <a:ext cx="5943600" cy="4778375"/>
                    </a:xfrm>
                    <a:prstGeom prst="rect">
                      <a:avLst/>
                    </a:prstGeom>
                  </pic:spPr>
                </pic:pic>
              </a:graphicData>
            </a:graphic>
          </wp:inline>
        </w:drawing>
      </w:r>
    </w:p>
    <w:p w14:paraId="796963ED" w14:textId="77777777" w:rsidR="006C5BC9" w:rsidRPr="006C5BC9" w:rsidRDefault="00E24B72" w:rsidP="006C5BC9">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6C5BC9">
        <w:rPr>
          <w:rFonts w:ascii="Times New Roman" w:eastAsia="Times New Roman" w:hAnsi="Times New Roman" w:cs="Times New Roman"/>
          <w:kern w:val="0"/>
          <w:sz w:val="20"/>
          <w:szCs w:val="20"/>
          <w14:ligatures w14:val="none"/>
        </w:rPr>
        <w:t xml:space="preserve">*Sharpe ratio comparison across strategies. </w:t>
      </w:r>
      <w:r w:rsidR="00D86AEA" w:rsidRPr="006C5BC9">
        <w:rPr>
          <w:rFonts w:ascii="Times New Roman" w:eastAsia="Times New Roman" w:hAnsi="Times New Roman" w:cs="Times New Roman"/>
          <w:kern w:val="0"/>
          <w:sz w:val="20"/>
          <w:szCs w:val="20"/>
          <w14:ligatures w14:val="none"/>
        </w:rPr>
        <w:t>The baseline momentum strategy (S1) delivered the highest risk-adjusted performance at 1.4, outperforming the equal-weight passive benchmark</w:t>
      </w:r>
      <w:r w:rsidR="006C5BC9" w:rsidRPr="006C5BC9">
        <w:rPr>
          <w:rFonts w:ascii="Times New Roman" w:eastAsia="Times New Roman" w:hAnsi="Times New Roman" w:cs="Times New Roman"/>
          <w:kern w:val="0"/>
          <w:sz w:val="20"/>
          <w:szCs w:val="20"/>
          <w14:ligatures w14:val="none"/>
        </w:rPr>
        <w:t xml:space="preserve"> (B1) at 1.26 and dual-momentum (S2) at 1.20. The walk-forward validation strategy (S3) achieved 1.04.*</w:t>
      </w:r>
    </w:p>
    <w:p w14:paraId="09D4197F" w14:textId="7C3E3550" w:rsidR="0086137C" w:rsidRDefault="00E24B72" w:rsidP="006C5BC9">
      <w:pPr>
        <w:spacing w:before="100" w:beforeAutospacing="1" w:after="100" w:afterAutospacing="1" w:line="480" w:lineRule="auto"/>
        <w:ind w:firstLine="720"/>
        <w:rPr>
          <w:rFonts w:ascii="Times New Roman" w:eastAsia="Times New Roman" w:hAnsi="Times New Roman" w:cs="Times New Roman"/>
          <w:kern w:val="0"/>
          <w14:ligatures w14:val="none"/>
        </w:rPr>
      </w:pPr>
      <w:r w:rsidRPr="00E24B72">
        <w:rPr>
          <w:rFonts w:ascii="Times New Roman" w:eastAsia="Times New Roman" w:hAnsi="Times New Roman" w:cs="Times New Roman"/>
          <w:kern w:val="0"/>
          <w14:ligatures w14:val="none"/>
        </w:rPr>
        <w:t xml:space="preserve">These results support the thesis that a technology-first, quantitatively managed fund can harness the asymmetric upside of innovation sectors while mitigating the drawdowns that </w:t>
      </w:r>
      <w:r w:rsidRPr="00E24B72">
        <w:rPr>
          <w:rFonts w:ascii="Times New Roman" w:eastAsia="Times New Roman" w:hAnsi="Times New Roman" w:cs="Times New Roman"/>
          <w:kern w:val="0"/>
          <w14:ligatures w14:val="none"/>
        </w:rPr>
        <w:lastRenderedPageBreak/>
        <w:t xml:space="preserve">accompany high volatility. The evidence reinforces ARK </w:t>
      </w:r>
      <w:proofErr w:type="spellStart"/>
      <w:r w:rsidRPr="00E24B72">
        <w:rPr>
          <w:rFonts w:ascii="Times New Roman" w:eastAsia="Times New Roman" w:hAnsi="Times New Roman" w:cs="Times New Roman"/>
          <w:kern w:val="0"/>
          <w14:ligatures w14:val="none"/>
        </w:rPr>
        <w:t>Invest’s</w:t>
      </w:r>
      <w:proofErr w:type="spellEnd"/>
      <w:r w:rsidRPr="00E24B72">
        <w:rPr>
          <w:rFonts w:ascii="Times New Roman" w:eastAsia="Times New Roman" w:hAnsi="Times New Roman" w:cs="Times New Roman"/>
          <w:kern w:val="0"/>
          <w14:ligatures w14:val="none"/>
        </w:rPr>
        <w:t xml:space="preserve"> qualitative conviction in disruptive innovation, but demonstrates that explicit rules, trend filters, volatility targets, and systematic diversification, can enhance that philosophy’s consistency and risk control. The empirical findings also confirm </w:t>
      </w:r>
      <w:proofErr w:type="spellStart"/>
      <w:r w:rsidRPr="00E24B72">
        <w:rPr>
          <w:rFonts w:ascii="Times New Roman" w:eastAsia="Times New Roman" w:hAnsi="Times New Roman" w:cs="Times New Roman"/>
          <w:kern w:val="0"/>
          <w14:ligatures w14:val="none"/>
        </w:rPr>
        <w:t>Grinold</w:t>
      </w:r>
      <w:proofErr w:type="spellEnd"/>
      <w:r w:rsidRPr="00E24B72">
        <w:rPr>
          <w:rFonts w:ascii="Times New Roman" w:eastAsia="Times New Roman" w:hAnsi="Times New Roman" w:cs="Times New Roman"/>
          <w:kern w:val="0"/>
          <w14:ligatures w14:val="none"/>
        </w:rPr>
        <w:t xml:space="preserve"> and Kahn’s assertion that active performance improves when superior forecasts are transformed systematically into portfolios</w:t>
      </w:r>
      <w:r w:rsidR="00370439">
        <w:rPr>
          <w:rFonts w:ascii="Times New Roman" w:eastAsia="Times New Roman" w:hAnsi="Times New Roman" w:cs="Times New Roman"/>
          <w:kern w:val="0"/>
          <w14:ligatures w14:val="none"/>
        </w:rPr>
        <w:t>. T</w:t>
      </w:r>
      <w:r w:rsidRPr="00E24B72">
        <w:rPr>
          <w:rFonts w:ascii="Times New Roman" w:eastAsia="Times New Roman" w:hAnsi="Times New Roman" w:cs="Times New Roman"/>
          <w:kern w:val="0"/>
          <w14:ligatures w14:val="none"/>
        </w:rPr>
        <w:t>he dual-momentum model achieved both higher absolute and risk-adjusted returns than discretionary or static allocations would have delivered.</w:t>
      </w:r>
    </w:p>
    <w:p w14:paraId="3DCD53AC" w14:textId="311EE8C2" w:rsidR="00370439" w:rsidRPr="00E24B72" w:rsidRDefault="00E24B72" w:rsidP="0086137C">
      <w:pPr>
        <w:spacing w:before="100" w:beforeAutospacing="1" w:after="100" w:afterAutospacing="1" w:line="480" w:lineRule="auto"/>
        <w:jc w:val="center"/>
        <w:rPr>
          <w:rFonts w:ascii="Times New Roman" w:eastAsia="Times New Roman" w:hAnsi="Times New Roman" w:cs="Times New Roman"/>
          <w:kern w:val="0"/>
          <w14:ligatures w14:val="none"/>
        </w:rPr>
      </w:pPr>
      <w:r w:rsidRPr="00E24B72">
        <w:rPr>
          <w:rFonts w:ascii="Times New Roman" w:eastAsia="Times New Roman" w:hAnsi="Times New Roman" w:cs="Times New Roman"/>
          <w:b/>
          <w:bCs/>
          <w:kern w:val="0"/>
          <w14:ligatures w14:val="none"/>
        </w:rPr>
        <w:t>Figure 2: Active Strategies vs Benchmarks</w:t>
      </w:r>
    </w:p>
    <w:p w14:paraId="420A3279" w14:textId="4E37224E" w:rsidR="00E24B72" w:rsidRPr="00E24B72" w:rsidRDefault="00921308" w:rsidP="00E24B72">
      <w:pPr>
        <w:spacing w:before="100" w:beforeAutospacing="1" w:after="100" w:afterAutospacing="1" w:line="480" w:lineRule="auto"/>
        <w:jc w:val="center"/>
        <w:rPr>
          <w:rFonts w:ascii="Times New Roman" w:eastAsia="Times New Roman" w:hAnsi="Times New Roman" w:cs="Times New Roman"/>
          <w:b/>
          <w:bCs/>
          <w:kern w:val="0"/>
          <w14:ligatures w14:val="none"/>
        </w:rPr>
      </w:pPr>
      <w:r w:rsidRPr="00921308">
        <w:rPr>
          <w:rFonts w:ascii="Times New Roman" w:eastAsia="Times New Roman" w:hAnsi="Times New Roman" w:cs="Times New Roman"/>
          <w:b/>
          <w:bCs/>
          <w:noProof/>
          <w:kern w:val="0"/>
          <w14:ligatures w14:val="none"/>
        </w:rPr>
        <w:drawing>
          <wp:inline distT="0" distB="0" distL="0" distR="0" wp14:anchorId="342BF88E" wp14:editId="1AEE0AA8">
            <wp:extent cx="5943600" cy="4236085"/>
            <wp:effectExtent l="0" t="0" r="0" b="0"/>
            <wp:docPr id="2078948600" name="Picture 1" descr="A graph of a graph showing different types of strategi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948600" name="Picture 1" descr="A graph of a graph showing different types of strategies&#10;&#10;AI-generated content may be incorrect."/>
                    <pic:cNvPicPr/>
                  </pic:nvPicPr>
                  <pic:blipFill>
                    <a:blip r:embed="rId7"/>
                    <a:stretch>
                      <a:fillRect/>
                    </a:stretch>
                  </pic:blipFill>
                  <pic:spPr>
                    <a:xfrm>
                      <a:off x="0" y="0"/>
                      <a:ext cx="5943600" cy="4236085"/>
                    </a:xfrm>
                    <a:prstGeom prst="rect">
                      <a:avLst/>
                    </a:prstGeom>
                  </pic:spPr>
                </pic:pic>
              </a:graphicData>
            </a:graphic>
          </wp:inline>
        </w:drawing>
      </w:r>
    </w:p>
    <w:p w14:paraId="5EAA8214" w14:textId="77777777" w:rsidR="00B70E03" w:rsidRPr="00B70E03" w:rsidRDefault="00E24B72" w:rsidP="00B70E03">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B70E03">
        <w:rPr>
          <w:rFonts w:ascii="Times New Roman" w:eastAsia="Times New Roman" w:hAnsi="Times New Roman" w:cs="Times New Roman"/>
          <w:kern w:val="0"/>
          <w:sz w:val="20"/>
          <w:szCs w:val="20"/>
          <w14:ligatures w14:val="none"/>
        </w:rPr>
        <w:t>*</w:t>
      </w:r>
      <w:r w:rsidR="00B70E03" w:rsidRPr="00B70E03">
        <w:rPr>
          <w:rFonts w:ascii="Times New Roman" w:eastAsia="Times New Roman" w:hAnsi="Times New Roman" w:cs="Times New Roman"/>
          <w:kern w:val="0"/>
          <w:sz w:val="20"/>
          <w:szCs w:val="20"/>
          <w14:ligatures w14:val="none"/>
        </w:rPr>
        <w:t xml:space="preserve">The baseline momentum strategy (S1) achieved the highest cumulative returns at $2.01M from an initial $100K investment, significantly outperforming the dual-momentum strategy (S2) at $1.47M, equal-weight benchmark (B1) at $1.03M, and walk-forward validation (S3) at $587K over the 2020-2025 </w:t>
      </w:r>
      <w:proofErr w:type="gramStart"/>
      <w:r w:rsidR="00B70E03" w:rsidRPr="00B70E03">
        <w:rPr>
          <w:rFonts w:ascii="Times New Roman" w:eastAsia="Times New Roman" w:hAnsi="Times New Roman" w:cs="Times New Roman"/>
          <w:kern w:val="0"/>
          <w:sz w:val="20"/>
          <w:szCs w:val="20"/>
          <w14:ligatures w14:val="none"/>
        </w:rPr>
        <w:t>period.</w:t>
      </w:r>
      <w:r w:rsidRPr="00B70E03">
        <w:rPr>
          <w:rFonts w:ascii="Times New Roman" w:eastAsia="Times New Roman" w:hAnsi="Times New Roman" w:cs="Times New Roman"/>
          <w:kern w:val="0"/>
          <w:sz w:val="20"/>
          <w:szCs w:val="20"/>
          <w14:ligatures w14:val="none"/>
        </w:rPr>
        <w:t>*</w:t>
      </w:r>
      <w:proofErr w:type="gramEnd"/>
    </w:p>
    <w:p w14:paraId="3734F557" w14:textId="4A55F526" w:rsidR="00E24B72" w:rsidRDefault="00E24B72" w:rsidP="00B70E03">
      <w:pPr>
        <w:spacing w:before="100" w:beforeAutospacing="1" w:after="100" w:afterAutospacing="1" w:line="480" w:lineRule="auto"/>
        <w:ind w:firstLine="720"/>
        <w:rPr>
          <w:rFonts w:ascii="Times New Roman" w:eastAsia="Times New Roman" w:hAnsi="Times New Roman" w:cs="Times New Roman"/>
          <w:kern w:val="0"/>
          <w14:ligatures w14:val="none"/>
        </w:rPr>
      </w:pPr>
      <w:r w:rsidRPr="00E24B72">
        <w:rPr>
          <w:rFonts w:ascii="Times New Roman" w:eastAsia="Times New Roman" w:hAnsi="Times New Roman" w:cs="Times New Roman"/>
          <w:kern w:val="0"/>
          <w14:ligatures w14:val="none"/>
        </w:rPr>
        <w:lastRenderedPageBreak/>
        <w:t xml:space="preserve">The results suggest that the Anabasis Transformative Technology Fund should adopt an actively managed ETF structure emphasizing algorithmic execution, transparent rule sets, and periodic re-optimization. </w:t>
      </w:r>
      <w:r w:rsidR="00C23D9F">
        <w:rPr>
          <w:rFonts w:ascii="Times New Roman" w:eastAsia="Times New Roman" w:hAnsi="Times New Roman" w:cs="Times New Roman"/>
          <w:kern w:val="0"/>
          <w14:ligatures w14:val="none"/>
        </w:rPr>
        <w:t xml:space="preserve">Careful signal construction eliminated look-ahead bias in this initial </w:t>
      </w:r>
      <w:proofErr w:type="spellStart"/>
      <w:r w:rsidR="00C23D9F">
        <w:rPr>
          <w:rFonts w:ascii="Times New Roman" w:eastAsia="Times New Roman" w:hAnsi="Times New Roman" w:cs="Times New Roman"/>
          <w:kern w:val="0"/>
          <w14:ligatures w14:val="none"/>
        </w:rPr>
        <w:t>backtest</w:t>
      </w:r>
      <w:proofErr w:type="spellEnd"/>
      <w:r w:rsidR="00C23D9F">
        <w:rPr>
          <w:rFonts w:ascii="Times New Roman" w:eastAsia="Times New Roman" w:hAnsi="Times New Roman" w:cs="Times New Roman"/>
          <w:kern w:val="0"/>
          <w14:ligatures w14:val="none"/>
        </w:rPr>
        <w:t>. Walk-forward validation and deflated-Sharpe diagnostics will be implemented in future deliverables to further validate statistical robustness.</w:t>
      </w:r>
    </w:p>
    <w:p w14:paraId="5DA8DD12" w14:textId="77777777" w:rsidR="00E24B72" w:rsidRPr="00E24B72" w:rsidRDefault="00E24B72" w:rsidP="00E24B72">
      <w:pPr>
        <w:spacing w:before="100" w:beforeAutospacing="1" w:after="100" w:afterAutospacing="1" w:line="480" w:lineRule="auto"/>
        <w:rPr>
          <w:rFonts w:ascii="Times New Roman" w:eastAsia="Times New Roman" w:hAnsi="Times New Roman" w:cs="Times New Roman"/>
          <w:b/>
          <w:bCs/>
          <w:kern w:val="0"/>
          <w:sz w:val="32"/>
          <w:szCs w:val="32"/>
          <w14:ligatures w14:val="none"/>
        </w:rPr>
      </w:pPr>
      <w:r w:rsidRPr="00E24B72">
        <w:rPr>
          <w:rFonts w:ascii="Times New Roman" w:eastAsia="Times New Roman" w:hAnsi="Times New Roman" w:cs="Times New Roman"/>
          <w:b/>
          <w:bCs/>
          <w:kern w:val="0"/>
          <w:sz w:val="32"/>
          <w:szCs w:val="32"/>
          <w14:ligatures w14:val="none"/>
        </w:rPr>
        <w:t>Conclusion</w:t>
      </w:r>
    </w:p>
    <w:p w14:paraId="3235D54E" w14:textId="77777777" w:rsidR="00E24B72" w:rsidRDefault="00E24B72" w:rsidP="00E24B72">
      <w:pPr>
        <w:spacing w:before="100" w:beforeAutospacing="1" w:after="100" w:afterAutospacing="1" w:line="480" w:lineRule="auto"/>
        <w:rPr>
          <w:rFonts w:ascii="Times New Roman" w:eastAsia="Times New Roman" w:hAnsi="Times New Roman" w:cs="Times New Roman"/>
          <w:kern w:val="0"/>
          <w14:ligatures w14:val="none"/>
        </w:rPr>
      </w:pPr>
      <w:r w:rsidRPr="00E24B72">
        <w:rPr>
          <w:rFonts w:ascii="Times New Roman" w:eastAsia="Times New Roman" w:hAnsi="Times New Roman" w:cs="Times New Roman"/>
          <w:kern w:val="0"/>
          <w14:ligatures w14:val="none"/>
        </w:rPr>
        <w:tab/>
        <w:t xml:space="preserve">Quantitative evidence from this project confirms that a rules-based, systematically managed ETF can add measurable value when applied to the volatile landscape of transformational technologies. The integration of academic theory, ARK </w:t>
      </w:r>
      <w:proofErr w:type="spellStart"/>
      <w:r w:rsidRPr="00E24B72">
        <w:rPr>
          <w:rFonts w:ascii="Times New Roman" w:eastAsia="Times New Roman" w:hAnsi="Times New Roman" w:cs="Times New Roman"/>
          <w:kern w:val="0"/>
          <w14:ligatures w14:val="none"/>
        </w:rPr>
        <w:t>Invest’s</w:t>
      </w:r>
      <w:proofErr w:type="spellEnd"/>
      <w:r w:rsidRPr="00E24B72">
        <w:rPr>
          <w:rFonts w:ascii="Times New Roman" w:eastAsia="Times New Roman" w:hAnsi="Times New Roman" w:cs="Times New Roman"/>
          <w:kern w:val="0"/>
          <w14:ligatures w14:val="none"/>
        </w:rPr>
        <w:t xml:space="preserve"> thematic focus, and reproducible Python code produced results that validate the fund’s guiding thesis that a technology-first but quantitatively enforce framework can capture long-run innovation returns while limiting catastrophic drawdowns.</w:t>
      </w:r>
    </w:p>
    <w:p w14:paraId="2ABA4925" w14:textId="3DD497F8" w:rsidR="00E24B72" w:rsidRDefault="00CF0394" w:rsidP="00E24B72">
      <w:pPr>
        <w:spacing w:before="100" w:beforeAutospacing="1" w:after="100" w:afterAutospacing="1" w:line="48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b/>
      </w:r>
      <w:r w:rsidRPr="00E24B72">
        <w:rPr>
          <w:rFonts w:ascii="Times New Roman" w:eastAsia="Times New Roman" w:hAnsi="Times New Roman" w:cs="Times New Roman"/>
          <w:kern w:val="0"/>
          <w14:ligatures w14:val="none"/>
        </w:rPr>
        <w:t xml:space="preserve">Table 1 and Figures 1 and 2 collectively illustrate these findings. </w:t>
      </w:r>
      <w:r w:rsidR="00EE0625">
        <w:rPr>
          <w:rFonts w:ascii="Times New Roman" w:eastAsia="Times New Roman" w:hAnsi="Times New Roman" w:cs="Times New Roman"/>
          <w:kern w:val="0"/>
          <w14:ligatures w14:val="none"/>
        </w:rPr>
        <w:t>Figure 1 compares risk-adjusted results across all strategies. The baseline momentum strategy achieved the highest Sharpe ratio, outperforming the equal-weight passive benchmark, demonstrating that systematic momentum-based security selection can add value over static allocations in transformational technology sectors.</w:t>
      </w:r>
      <w:r w:rsidR="004B6986">
        <w:rPr>
          <w:rFonts w:ascii="Times New Roman" w:eastAsia="Times New Roman" w:hAnsi="Times New Roman" w:cs="Times New Roman"/>
          <w:kern w:val="0"/>
          <w14:ligatures w14:val="none"/>
        </w:rPr>
        <w:t xml:space="preserve"> This suggests that active management’s primary value proposition lies in absolute return generation and tail-risk protection during bear markets rather than Sharpe ratio optimization during bull markets. </w:t>
      </w:r>
      <w:r w:rsidRPr="00E24B72">
        <w:rPr>
          <w:rFonts w:ascii="Times New Roman" w:eastAsia="Times New Roman" w:hAnsi="Times New Roman" w:cs="Times New Roman"/>
          <w:kern w:val="0"/>
          <w14:ligatures w14:val="none"/>
        </w:rPr>
        <w:t xml:space="preserve">Figure 2 demonstrates that the </w:t>
      </w:r>
      <w:r w:rsidR="00251645">
        <w:rPr>
          <w:rFonts w:ascii="Times New Roman" w:eastAsia="Times New Roman" w:hAnsi="Times New Roman" w:cs="Times New Roman"/>
          <w:kern w:val="0"/>
          <w14:ligatures w14:val="none"/>
        </w:rPr>
        <w:t xml:space="preserve">baseline momentum strategy generated the highest compounded equity growth from 2020 to 2025, reaching over $2 million from an initial $100K investment, while the equal-weight benchmark achieved approximately $1 million. Table 1 quantifies that outperformance, reporting a Sharpe ratio of 1.4 for the baseline </w:t>
      </w:r>
      <w:r w:rsidR="00251645">
        <w:rPr>
          <w:rFonts w:ascii="Times New Roman" w:eastAsia="Times New Roman" w:hAnsi="Times New Roman" w:cs="Times New Roman"/>
          <w:kern w:val="0"/>
          <w14:ligatures w14:val="none"/>
        </w:rPr>
        <w:lastRenderedPageBreak/>
        <w:t xml:space="preserve">momentum strategy versus 1.26 for the equal-weight passive benchmark and 1.2 for dual-momentum. </w:t>
      </w:r>
      <w:r w:rsidR="00E24B72" w:rsidRPr="00E24B72">
        <w:rPr>
          <w:rFonts w:ascii="Times New Roman" w:eastAsia="Times New Roman" w:hAnsi="Times New Roman" w:cs="Times New Roman"/>
          <w:kern w:val="0"/>
          <w14:ligatures w14:val="none"/>
        </w:rPr>
        <w:t>These results collectively reinforce key themes in the literature such as the</w:t>
      </w:r>
      <w:r w:rsidR="004B6986">
        <w:rPr>
          <w:rFonts w:ascii="Times New Roman" w:eastAsia="Times New Roman" w:hAnsi="Times New Roman" w:cs="Times New Roman"/>
          <w:kern w:val="0"/>
          <w14:ligatures w14:val="none"/>
        </w:rPr>
        <w:t xml:space="preserve"> </w:t>
      </w:r>
      <w:r w:rsidR="00E24B72" w:rsidRPr="00E24B72">
        <w:rPr>
          <w:rFonts w:ascii="Times New Roman" w:eastAsia="Times New Roman" w:hAnsi="Times New Roman" w:cs="Times New Roman"/>
          <w:kern w:val="0"/>
          <w14:ligatures w14:val="none"/>
        </w:rPr>
        <w:t xml:space="preserve">value of diversification and efficient frontier optimization, transforming superior forecasts into disciplined portfolios, and how trend-following adapts effectively to changing regimes. By operationalizing these principles, the Anabasis Transformative Technology Fund achieved superior total and risk-adjusted returns in </w:t>
      </w:r>
      <w:proofErr w:type="spellStart"/>
      <w:r w:rsidR="00E24B72" w:rsidRPr="00E24B72">
        <w:rPr>
          <w:rFonts w:ascii="Times New Roman" w:eastAsia="Times New Roman" w:hAnsi="Times New Roman" w:cs="Times New Roman"/>
          <w:kern w:val="0"/>
          <w14:ligatures w14:val="none"/>
        </w:rPr>
        <w:t>backtests</w:t>
      </w:r>
      <w:proofErr w:type="spellEnd"/>
      <w:r w:rsidR="00E24B72" w:rsidRPr="00E24B72">
        <w:rPr>
          <w:rFonts w:ascii="Times New Roman" w:eastAsia="Times New Roman" w:hAnsi="Times New Roman" w:cs="Times New Roman"/>
          <w:kern w:val="0"/>
          <w14:ligatures w14:val="none"/>
        </w:rPr>
        <w:t>.</w:t>
      </w:r>
    </w:p>
    <w:p w14:paraId="372ACBAC" w14:textId="31B1A474" w:rsidR="008D2EAA" w:rsidRDefault="00E724CB" w:rsidP="008D2EAA">
      <w:pPr>
        <w:spacing w:before="100" w:beforeAutospacing="1" w:after="100" w:afterAutospacing="1" w:line="48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b/>
        <w:t xml:space="preserve">Several concerns remain </w:t>
      </w:r>
      <w:r w:rsidR="008A33AA">
        <w:rPr>
          <w:rFonts w:ascii="Times New Roman" w:eastAsia="Times New Roman" w:hAnsi="Times New Roman" w:cs="Times New Roman"/>
          <w:kern w:val="0"/>
          <w14:ligatures w14:val="none"/>
        </w:rPr>
        <w:t xml:space="preserve">unanswered. </w:t>
      </w:r>
      <w:r>
        <w:rPr>
          <w:rFonts w:ascii="Times New Roman" w:eastAsia="Times New Roman" w:hAnsi="Times New Roman" w:cs="Times New Roman"/>
          <w:kern w:val="0"/>
          <w14:ligatures w14:val="none"/>
        </w:rPr>
        <w:t xml:space="preserve">The use of real market data with varying historical availability introduces data constraints that must be acknowledged. Securities with limited trading history (such as quantum computing stocks with less than 3 years of data may not fully represent long-term risk characteristics of these sectors. </w:t>
      </w:r>
      <w:r w:rsidR="000831EC">
        <w:rPr>
          <w:rFonts w:ascii="Times New Roman" w:eastAsia="Times New Roman" w:hAnsi="Times New Roman" w:cs="Times New Roman"/>
          <w:kern w:val="0"/>
          <w14:ligatures w14:val="none"/>
        </w:rPr>
        <w:t>A</w:t>
      </w:r>
      <w:r w:rsidR="008A33AA">
        <w:rPr>
          <w:rFonts w:ascii="Times New Roman" w:eastAsia="Times New Roman" w:hAnsi="Times New Roman" w:cs="Times New Roman"/>
          <w:kern w:val="0"/>
          <w14:ligatures w14:val="none"/>
        </w:rPr>
        <w:t xml:space="preserve">nother </w:t>
      </w:r>
      <w:r w:rsidR="000831EC">
        <w:rPr>
          <w:rFonts w:ascii="Times New Roman" w:eastAsia="Times New Roman" w:hAnsi="Times New Roman" w:cs="Times New Roman"/>
          <w:kern w:val="0"/>
          <w14:ligatures w14:val="none"/>
        </w:rPr>
        <w:t xml:space="preserve">concern is the limited bear market exposure in the sample period. While the </w:t>
      </w:r>
      <w:proofErr w:type="spellStart"/>
      <w:r w:rsidR="000831EC">
        <w:rPr>
          <w:rFonts w:ascii="Times New Roman" w:eastAsia="Times New Roman" w:hAnsi="Times New Roman" w:cs="Times New Roman"/>
          <w:kern w:val="0"/>
          <w14:ligatures w14:val="none"/>
        </w:rPr>
        <w:t>backtest</w:t>
      </w:r>
      <w:proofErr w:type="spellEnd"/>
      <w:r w:rsidR="000831EC">
        <w:rPr>
          <w:rFonts w:ascii="Times New Roman" w:eastAsia="Times New Roman" w:hAnsi="Times New Roman" w:cs="Times New Roman"/>
          <w:kern w:val="0"/>
          <w14:ligatures w14:val="none"/>
        </w:rPr>
        <w:t xml:space="preserve"> captured the March 2020 COVID crash and the 2022 Fed tightening correction, it did not experience a prolonged sector-wide bear market comparable to the dot-com collapse, during which the NASDAQ fell </w:t>
      </w:r>
      <w:proofErr w:type="gramStart"/>
      <w:r w:rsidR="003141A2">
        <w:rPr>
          <w:rFonts w:ascii="Times New Roman" w:eastAsia="Times New Roman" w:hAnsi="Times New Roman" w:cs="Times New Roman"/>
          <w:kern w:val="0"/>
          <w14:ligatures w14:val="none"/>
        </w:rPr>
        <w:t>drastically</w:t>
      </w:r>
      <w:proofErr w:type="gramEnd"/>
      <w:r w:rsidR="003141A2">
        <w:rPr>
          <w:rFonts w:ascii="Times New Roman" w:eastAsia="Times New Roman" w:hAnsi="Times New Roman" w:cs="Times New Roman"/>
          <w:kern w:val="0"/>
          <w14:ligatures w14:val="none"/>
        </w:rPr>
        <w:t xml:space="preserve"> and many innovation-focused funds lost almost all their value. Transformational technology stocks are particularly vulnerable during bear markets due to valuation compression, funding risk, and contagion effects. Early-stage tech companies </w:t>
      </w:r>
      <w:r w:rsidR="00793B67">
        <w:rPr>
          <w:rFonts w:ascii="Times New Roman" w:eastAsia="Times New Roman" w:hAnsi="Times New Roman" w:cs="Times New Roman"/>
          <w:kern w:val="0"/>
          <w14:ligatures w14:val="none"/>
        </w:rPr>
        <w:t xml:space="preserve">typically trade at 20-100x sales multiples based on distant cash-flow projections. When growth expectations decline or interest rates rise, these multiples </w:t>
      </w:r>
      <w:r w:rsidR="00DF47DC">
        <w:rPr>
          <w:rFonts w:ascii="Times New Roman" w:eastAsia="Times New Roman" w:hAnsi="Times New Roman" w:cs="Times New Roman"/>
          <w:kern w:val="0"/>
          <w14:ligatures w14:val="none"/>
        </w:rPr>
        <w:t>compress rapidly, often falling 80-90% even if the underlying business remains intact. Many frontier companies such as eVTOL and quantum computing firms are pre-revenue and depend on capital markets for financing</w:t>
      </w:r>
      <w:r w:rsidR="001C02A4">
        <w:rPr>
          <w:rFonts w:ascii="Times New Roman" w:eastAsia="Times New Roman" w:hAnsi="Times New Roman" w:cs="Times New Roman"/>
          <w:kern w:val="0"/>
          <w14:ligatures w14:val="none"/>
        </w:rPr>
        <w:t xml:space="preserve">. During bear markets, funding dries up, forcing dilution, asset sales, or bankruptcy. Furthermore, technology sectors exhibit high correlations during crashes. In 2000-2002, virtually all internet stocks fell together regardless of fundamentals, and similarly, in 2022, all innovation stocks including AI, cloud, crypto, and EV names sold off </w:t>
      </w:r>
      <w:r w:rsidR="001C02A4">
        <w:rPr>
          <w:rFonts w:ascii="Times New Roman" w:eastAsia="Times New Roman" w:hAnsi="Times New Roman" w:cs="Times New Roman"/>
          <w:kern w:val="0"/>
          <w14:ligatures w14:val="none"/>
        </w:rPr>
        <w:lastRenderedPageBreak/>
        <w:t xml:space="preserve">simultaneously as investors fled speculative growth. The active management framework </w:t>
      </w:r>
      <w:r w:rsidR="00E96773">
        <w:rPr>
          <w:rFonts w:ascii="Times New Roman" w:eastAsia="Times New Roman" w:hAnsi="Times New Roman" w:cs="Times New Roman"/>
          <w:kern w:val="0"/>
          <w14:ligatures w14:val="none"/>
        </w:rPr>
        <w:t>assessed</w:t>
      </w:r>
      <w:r w:rsidR="001C02A4">
        <w:rPr>
          <w:rFonts w:ascii="Times New Roman" w:eastAsia="Times New Roman" w:hAnsi="Times New Roman" w:cs="Times New Roman"/>
          <w:kern w:val="0"/>
          <w14:ligatures w14:val="none"/>
        </w:rPr>
        <w:t xml:space="preserve"> in this study, particularly the dual-momentum strategy with trend-following filters, is designed to provide downside protection during such regime shifts. In simulation, the baseline </w:t>
      </w:r>
      <w:proofErr w:type="gramStart"/>
      <w:r w:rsidR="008D2EAA">
        <w:rPr>
          <w:rFonts w:ascii="Times New Roman" w:eastAsia="Times New Roman" w:hAnsi="Times New Roman" w:cs="Times New Roman"/>
          <w:kern w:val="0"/>
          <w14:ligatures w14:val="none"/>
        </w:rPr>
        <w:t>strategies</w:t>
      </w:r>
      <w:r w:rsidR="002072F0">
        <w:rPr>
          <w:rFonts w:ascii="Times New Roman" w:eastAsia="Times New Roman" w:hAnsi="Times New Roman" w:cs="Times New Roman"/>
          <w:kern w:val="0"/>
          <w14:ligatures w14:val="none"/>
        </w:rPr>
        <w:t xml:space="preserve"> </w:t>
      </w:r>
      <w:r w:rsidR="008D2EAA">
        <w:rPr>
          <w:rFonts w:ascii="Times New Roman" w:eastAsia="Times New Roman" w:hAnsi="Times New Roman" w:cs="Times New Roman"/>
          <w:kern w:val="0"/>
          <w14:ligatures w14:val="none"/>
        </w:rPr>
        <w:t>maintained</w:t>
      </w:r>
      <w:proofErr w:type="gramEnd"/>
      <w:r w:rsidR="001C02A4">
        <w:rPr>
          <w:rFonts w:ascii="Times New Roman" w:eastAsia="Times New Roman" w:hAnsi="Times New Roman" w:cs="Times New Roman"/>
          <w:kern w:val="0"/>
          <w14:ligatures w14:val="none"/>
        </w:rPr>
        <w:t xml:space="preserve"> exposure throughout most periods but would theoretically reduce exposure when both 60- and 120-day momentum signals turn negative and prices fall below their 200-day moving </w:t>
      </w:r>
      <w:r w:rsidR="00F1631F">
        <w:rPr>
          <w:rFonts w:ascii="Times New Roman" w:eastAsia="Times New Roman" w:hAnsi="Times New Roman" w:cs="Times New Roman"/>
          <w:kern w:val="0"/>
          <w14:ligatures w14:val="none"/>
        </w:rPr>
        <w:t>averages.</w:t>
      </w:r>
    </w:p>
    <w:p w14:paraId="678A1F4E" w14:textId="77777777" w:rsidR="007F590B" w:rsidRDefault="008D2EAA" w:rsidP="008D2EAA">
      <w:pPr>
        <w:spacing w:before="100" w:beforeAutospacing="1" w:after="100" w:afterAutospacing="1" w:line="48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b/>
        <w:t xml:space="preserve">However, </w:t>
      </w:r>
      <w:r w:rsidR="002072F0">
        <w:rPr>
          <w:rFonts w:ascii="Times New Roman" w:eastAsia="Times New Roman" w:hAnsi="Times New Roman" w:cs="Times New Roman"/>
          <w:kern w:val="0"/>
          <w14:ligatures w14:val="none"/>
        </w:rPr>
        <w:t xml:space="preserve">the effectiveness of this approach cannot be fully validated without testing </w:t>
      </w:r>
      <w:r w:rsidR="007F590B">
        <w:rPr>
          <w:rFonts w:ascii="Times New Roman" w:eastAsia="Times New Roman" w:hAnsi="Times New Roman" w:cs="Times New Roman"/>
          <w:kern w:val="0"/>
          <w14:ligatures w14:val="none"/>
        </w:rPr>
        <w:t xml:space="preserve">against a complete bear market cycle comparable to the dot-com era. Future deliverables will extend the </w:t>
      </w:r>
      <w:proofErr w:type="spellStart"/>
      <w:r w:rsidR="007F590B">
        <w:rPr>
          <w:rFonts w:ascii="Times New Roman" w:eastAsia="Times New Roman" w:hAnsi="Times New Roman" w:cs="Times New Roman"/>
          <w:kern w:val="0"/>
          <w14:ligatures w14:val="none"/>
        </w:rPr>
        <w:t>backtest</w:t>
      </w:r>
      <w:proofErr w:type="spellEnd"/>
      <w:r w:rsidR="007F590B">
        <w:rPr>
          <w:rFonts w:ascii="Times New Roman" w:eastAsia="Times New Roman" w:hAnsi="Times New Roman" w:cs="Times New Roman"/>
          <w:kern w:val="0"/>
          <w14:ligatures w14:val="none"/>
        </w:rPr>
        <w:t xml:space="preserve"> to 2015-2025 to capture the 2015 tech correction and the 2018 crash and will implement synthetic stress scenarios calibrated to the 2000-2002 dot-com crash to evaluate how the portfolio would have performed under sustained bear market conditions. The current </w:t>
      </w:r>
      <w:proofErr w:type="spellStart"/>
      <w:r w:rsidR="007F590B">
        <w:rPr>
          <w:rFonts w:ascii="Times New Roman" w:eastAsia="Times New Roman" w:hAnsi="Times New Roman" w:cs="Times New Roman"/>
          <w:kern w:val="0"/>
          <w14:ligatures w14:val="none"/>
        </w:rPr>
        <w:t>backtest</w:t>
      </w:r>
      <w:proofErr w:type="spellEnd"/>
      <w:r w:rsidR="007F590B">
        <w:rPr>
          <w:rFonts w:ascii="Times New Roman" w:eastAsia="Times New Roman" w:hAnsi="Times New Roman" w:cs="Times New Roman"/>
          <w:kern w:val="0"/>
          <w14:ligatures w14:val="none"/>
        </w:rPr>
        <w:t xml:space="preserve"> period (2020-2025) captured the March 2020 COVID crash and the 2022 Fed tightening correction, during which the baseline momentum strategy experienced drawdowns of -64%, comparable to the equal-weight benchmark’s -63%. Testing against prolonged bear markets will determine whether momentum-based rebalancing provides meaningful downside protection beyond what passive diversification achieves, or whether the primary value proposition lies in capturing upside during bull markets rather than avoiding losses during crashes.</w:t>
      </w:r>
    </w:p>
    <w:p w14:paraId="10801919" w14:textId="22408128" w:rsidR="009A3F96" w:rsidRDefault="004A38FB" w:rsidP="009A3F96">
      <w:pPr>
        <w:spacing w:before="100" w:beforeAutospacing="1" w:after="100" w:afterAutospacing="1" w:line="480" w:lineRule="auto"/>
        <w:ind w:firstLine="72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 baseline momentum strategy achieved a 1,911% return with a Sharpe ratio of 1.4, outperforming the equal-weight buy-and-hold benchmark’s 1,025% return and 1.26 Sharpe ratio. This 86% improvement in total returns </w:t>
      </w:r>
      <w:r w:rsidR="009A3F96">
        <w:rPr>
          <w:rFonts w:ascii="Times New Roman" w:eastAsia="Times New Roman" w:hAnsi="Times New Roman" w:cs="Times New Roman"/>
          <w:kern w:val="0"/>
          <w14:ligatures w14:val="none"/>
        </w:rPr>
        <w:t xml:space="preserve">demonstrates that momentum-based security selection within the four-sleeve framework adds measurable value beyond static allocation. However, this outperformance came with higher maximum drawdown and increased turnover from monthly </w:t>
      </w:r>
      <w:r w:rsidR="009A3F96">
        <w:rPr>
          <w:rFonts w:ascii="Times New Roman" w:eastAsia="Times New Roman" w:hAnsi="Times New Roman" w:cs="Times New Roman"/>
          <w:kern w:val="0"/>
          <w14:ligatures w14:val="none"/>
        </w:rPr>
        <w:lastRenderedPageBreak/>
        <w:t>rebalancing. This finding raises important questions about the optimal rebalancing frequency and transaction costs. If monthly rebalancing introduces turnover costs of 100-200 basis points annually, the net benefit over quarterly or annual rebalancing may be reduced. Future deliverables will evaluate quarterly and annual rebalancing frequencies to determine whether less frequent trading achieves similar risk-adjusted returns with lower implementation costs.</w:t>
      </w:r>
    </w:p>
    <w:p w14:paraId="4AE253B1" w14:textId="7AB1C283" w:rsidR="00415605" w:rsidRDefault="00415605" w:rsidP="009A3F96">
      <w:pPr>
        <w:spacing w:before="100" w:beforeAutospacing="1" w:after="100" w:afterAutospacing="1" w:line="480" w:lineRule="auto"/>
        <w:ind w:firstLine="72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 methodology proposed several advanced features that were not implemented in this checkpoint due to time and data constraints, including macroeconomic regime detection using Federal Funds Rate changes to distinguish tightening versus easing cycles, sentiment-based position sizing using news polarity scores derived from financial media, crash-put overlays for tail-risk protection using long-dated out-of-the-money options, and Wright’s Law cost-decline modeling to adjust allocations as technologies mature along predictable cost-improvement curves. </w:t>
      </w:r>
      <w:r w:rsidR="00217AE6">
        <w:rPr>
          <w:rFonts w:ascii="Times New Roman" w:eastAsia="Times New Roman" w:hAnsi="Times New Roman" w:cs="Times New Roman"/>
          <w:kern w:val="0"/>
          <w14:ligatures w14:val="none"/>
        </w:rPr>
        <w:t xml:space="preserve">Critically, the current implementation relies exclusively on technical analysis using price and volatility signals, omitting fundamental analysis metrics entirely. This represents a significant methodological limitation, as the fund’s thematic focus on transformational technologies </w:t>
      </w:r>
      <w:r w:rsidR="007F67BA">
        <w:rPr>
          <w:rFonts w:ascii="Times New Roman" w:eastAsia="Times New Roman" w:hAnsi="Times New Roman" w:cs="Times New Roman"/>
          <w:kern w:val="0"/>
          <w14:ligatures w14:val="none"/>
        </w:rPr>
        <w:t xml:space="preserve">suggests that innovation-specific fundamentals such as R&amp;D intensity, patent quality, revenue growth acceleration, and management team expertise may provide valuable signal beyond pure price momentum. While traditional valuation metrics prove problematic for pre-revenue or high-growth companies, innovation-specific fundamental overlays could potentially </w:t>
      </w:r>
      <w:r w:rsidR="003722BF">
        <w:rPr>
          <w:rFonts w:ascii="Times New Roman" w:eastAsia="Times New Roman" w:hAnsi="Times New Roman" w:cs="Times New Roman"/>
          <w:kern w:val="0"/>
          <w14:ligatures w14:val="none"/>
        </w:rPr>
        <w:t xml:space="preserve">improve security selection and reduce exposure to momentum traps where price appreciation reflects speculation rather than fundamental progress. </w:t>
      </w:r>
      <w:r>
        <w:rPr>
          <w:rFonts w:ascii="Times New Roman" w:eastAsia="Times New Roman" w:hAnsi="Times New Roman" w:cs="Times New Roman"/>
          <w:kern w:val="0"/>
          <w14:ligatures w14:val="none"/>
        </w:rPr>
        <w:t>These components form part of the fund’s long-term investment thesis but require additional research to det</w:t>
      </w:r>
      <w:r w:rsidR="007A33A2">
        <w:rPr>
          <w:rFonts w:ascii="Times New Roman" w:eastAsia="Times New Roman" w:hAnsi="Times New Roman" w:cs="Times New Roman"/>
          <w:kern w:val="0"/>
          <w14:ligatures w14:val="none"/>
        </w:rPr>
        <w:t xml:space="preserve">ermine whether they add value or introduce overfitting. Future deliverables will implement and </w:t>
      </w:r>
      <w:proofErr w:type="spellStart"/>
      <w:r w:rsidR="007A33A2">
        <w:rPr>
          <w:rFonts w:ascii="Times New Roman" w:eastAsia="Times New Roman" w:hAnsi="Times New Roman" w:cs="Times New Roman"/>
          <w:kern w:val="0"/>
          <w14:ligatures w14:val="none"/>
        </w:rPr>
        <w:t>backtest</w:t>
      </w:r>
      <w:proofErr w:type="spellEnd"/>
      <w:r w:rsidR="007A33A2">
        <w:rPr>
          <w:rFonts w:ascii="Times New Roman" w:eastAsia="Times New Roman" w:hAnsi="Times New Roman" w:cs="Times New Roman"/>
          <w:kern w:val="0"/>
          <w14:ligatures w14:val="none"/>
        </w:rPr>
        <w:t xml:space="preserve"> these features to assess their contribution to risk-adjusted returns. Initial hypothesis is that macro and </w:t>
      </w:r>
      <w:r w:rsidR="007A33A2">
        <w:rPr>
          <w:rFonts w:ascii="Times New Roman" w:eastAsia="Times New Roman" w:hAnsi="Times New Roman" w:cs="Times New Roman"/>
          <w:kern w:val="0"/>
          <w14:ligatures w14:val="none"/>
        </w:rPr>
        <w:lastRenderedPageBreak/>
        <w:t xml:space="preserve">sentiment overlays may provide </w:t>
      </w:r>
      <w:r w:rsidR="000B7469">
        <w:rPr>
          <w:rFonts w:ascii="Times New Roman" w:eastAsia="Times New Roman" w:hAnsi="Times New Roman" w:cs="Times New Roman"/>
          <w:kern w:val="0"/>
          <w14:ligatures w14:val="none"/>
        </w:rPr>
        <w:t>value during regime transitions but are unlikely to improve month-to-month trading decisions given the noisy nature of these signals.</w:t>
      </w:r>
    </w:p>
    <w:p w14:paraId="20D0670C" w14:textId="3D20E7B5" w:rsidR="00321B37" w:rsidRDefault="0026513F" w:rsidP="003722BF">
      <w:pPr>
        <w:spacing w:before="100" w:beforeAutospacing="1" w:after="100" w:afterAutospacing="1" w:line="48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b/>
        <w:t xml:space="preserve">In practical terms, this research supports launching ATTF as an actively managed ETF with clear, algorithmic buy and sell rules, transparent data-science validation, and dynamic exposure management. Future deliverables will refine this framework through critical enhancements. First, the study will acquire complete </w:t>
      </w:r>
      <w:r w:rsidR="00762A4C">
        <w:rPr>
          <w:rFonts w:ascii="Times New Roman" w:eastAsia="Times New Roman" w:hAnsi="Times New Roman" w:cs="Times New Roman"/>
          <w:kern w:val="0"/>
          <w14:ligatures w14:val="none"/>
        </w:rPr>
        <w:t>actual price</w:t>
      </w:r>
      <w:r>
        <w:rPr>
          <w:rFonts w:ascii="Times New Roman" w:eastAsia="Times New Roman" w:hAnsi="Times New Roman" w:cs="Times New Roman"/>
          <w:kern w:val="0"/>
          <w14:ligatures w14:val="none"/>
        </w:rPr>
        <w:t xml:space="preserve"> data for all companies ATTF is seeking to add to its portfolio</w:t>
      </w:r>
      <w:r w:rsidR="00A438EB">
        <w:rPr>
          <w:rFonts w:ascii="Times New Roman" w:eastAsia="Times New Roman" w:hAnsi="Times New Roman" w:cs="Times New Roman"/>
          <w:kern w:val="0"/>
          <w14:ligatures w14:val="none"/>
        </w:rPr>
        <w:t xml:space="preserve">. Second, the </w:t>
      </w:r>
      <w:proofErr w:type="spellStart"/>
      <w:r w:rsidR="00A438EB">
        <w:rPr>
          <w:rFonts w:ascii="Times New Roman" w:eastAsia="Times New Roman" w:hAnsi="Times New Roman" w:cs="Times New Roman"/>
          <w:kern w:val="0"/>
          <w14:ligatures w14:val="none"/>
        </w:rPr>
        <w:t>backtest</w:t>
      </w:r>
      <w:proofErr w:type="spellEnd"/>
      <w:r w:rsidR="00A438EB">
        <w:rPr>
          <w:rFonts w:ascii="Times New Roman" w:eastAsia="Times New Roman" w:hAnsi="Times New Roman" w:cs="Times New Roman"/>
          <w:kern w:val="0"/>
          <w14:ligatures w14:val="none"/>
        </w:rPr>
        <w:t xml:space="preserve"> period will be extended to 2015-2025, spanning ten years, to include pre-pandemic volatility. Third, synthetic stress-test scenarios calibrated to the 2000-2002 dot-com crash will be implemented to evaluate portfolio resilience under extreme conditions</w:t>
      </w:r>
      <w:r w:rsidR="00AC0CD9">
        <w:rPr>
          <w:rFonts w:ascii="Times New Roman" w:eastAsia="Times New Roman" w:hAnsi="Times New Roman" w:cs="Times New Roman"/>
          <w:kern w:val="0"/>
          <w14:ligatures w14:val="none"/>
        </w:rPr>
        <w:t>, specifically modeling a significant drawdown over a two-year period. Fourth, the advanced strategy components proposed in the methodology will be tested, including macroeconomic regime detection, sentiment</w:t>
      </w:r>
      <w:r w:rsidR="006421DF">
        <w:rPr>
          <w:rFonts w:ascii="Times New Roman" w:eastAsia="Times New Roman" w:hAnsi="Times New Roman" w:cs="Times New Roman"/>
          <w:kern w:val="0"/>
          <w14:ligatures w14:val="none"/>
        </w:rPr>
        <w:t>-based overlays, crash-put protection, and Wright’s Law cost-decline modeling. Fifth, explicit transaction cost modeling will be incorporated using realistic assumptions for bid-ask spreads, market impact</w:t>
      </w:r>
      <w:r w:rsidR="009177E6">
        <w:rPr>
          <w:rFonts w:ascii="Times New Roman" w:eastAsia="Times New Roman" w:hAnsi="Times New Roman" w:cs="Times New Roman"/>
          <w:kern w:val="0"/>
          <w14:ligatures w14:val="none"/>
        </w:rPr>
        <w:t xml:space="preserve">, and ETF creation fees to ensure net-of-fees outperformance. Sixth, the volatility targeting strategy will be debugged and re-tested </w:t>
      </w:r>
      <w:r w:rsidR="00AA32EF">
        <w:rPr>
          <w:rFonts w:ascii="Times New Roman" w:eastAsia="Times New Roman" w:hAnsi="Times New Roman" w:cs="Times New Roman"/>
          <w:kern w:val="0"/>
          <w14:ligatures w14:val="none"/>
        </w:rPr>
        <w:t xml:space="preserve">with corrected implementation to identify and resolve the leverage calculation error that caused the catastrophic loss. Finally, alternative rebalancing frequencies including quarterly and annual schedules will be </w:t>
      </w:r>
      <w:r w:rsidR="00E96773">
        <w:rPr>
          <w:rFonts w:ascii="Times New Roman" w:eastAsia="Times New Roman" w:hAnsi="Times New Roman" w:cs="Times New Roman"/>
          <w:kern w:val="0"/>
          <w14:ligatures w14:val="none"/>
        </w:rPr>
        <w:t>assessed</w:t>
      </w:r>
      <w:r w:rsidR="00AA32EF">
        <w:rPr>
          <w:rFonts w:ascii="Times New Roman" w:eastAsia="Times New Roman" w:hAnsi="Times New Roman" w:cs="Times New Roman"/>
          <w:kern w:val="0"/>
          <w14:ligatures w14:val="none"/>
        </w:rPr>
        <w:t xml:space="preserve"> to optimize the trade-off between turnover costs and alpha generation.</w:t>
      </w:r>
    </w:p>
    <w:p w14:paraId="3572C19B" w14:textId="77777777" w:rsidR="00186241" w:rsidRDefault="00186241" w:rsidP="003722BF">
      <w:pPr>
        <w:spacing w:before="100" w:beforeAutospacing="1" w:after="100" w:afterAutospacing="1" w:line="480" w:lineRule="auto"/>
        <w:rPr>
          <w:rFonts w:ascii="Times New Roman" w:eastAsia="Times New Roman" w:hAnsi="Times New Roman" w:cs="Times New Roman"/>
          <w:kern w:val="0"/>
          <w14:ligatures w14:val="none"/>
        </w:rPr>
      </w:pPr>
    </w:p>
    <w:p w14:paraId="7D583788" w14:textId="77777777" w:rsidR="00186241" w:rsidRDefault="00186241" w:rsidP="003722BF">
      <w:pPr>
        <w:spacing w:before="100" w:beforeAutospacing="1" w:after="100" w:afterAutospacing="1" w:line="480" w:lineRule="auto"/>
        <w:rPr>
          <w:rFonts w:ascii="Times New Roman" w:eastAsia="Times New Roman" w:hAnsi="Times New Roman" w:cs="Times New Roman"/>
          <w:kern w:val="0"/>
          <w14:ligatures w14:val="none"/>
        </w:rPr>
      </w:pPr>
    </w:p>
    <w:p w14:paraId="7B41442E" w14:textId="77777777" w:rsidR="00186241" w:rsidRPr="003722BF" w:rsidRDefault="00186241" w:rsidP="003722BF">
      <w:pPr>
        <w:spacing w:before="100" w:beforeAutospacing="1" w:after="100" w:afterAutospacing="1" w:line="480" w:lineRule="auto"/>
        <w:rPr>
          <w:rFonts w:ascii="Times New Roman" w:eastAsia="Times New Roman" w:hAnsi="Times New Roman" w:cs="Times New Roman"/>
          <w:kern w:val="0"/>
          <w14:ligatures w14:val="none"/>
        </w:rPr>
      </w:pPr>
    </w:p>
    <w:p w14:paraId="5F88E3F5" w14:textId="7385B569" w:rsidR="009B2BBF" w:rsidRDefault="009B2BBF" w:rsidP="009B2BBF">
      <w:pPr>
        <w:pStyle w:val="NormalWeb"/>
        <w:spacing w:line="480" w:lineRule="auto"/>
        <w:rPr>
          <w:b/>
          <w:bCs/>
          <w:sz w:val="32"/>
          <w:szCs w:val="32"/>
          <w:u w:val="single"/>
        </w:rPr>
      </w:pPr>
      <w:r w:rsidRPr="002439FA">
        <w:rPr>
          <w:b/>
          <w:bCs/>
          <w:sz w:val="32"/>
          <w:szCs w:val="32"/>
          <w:u w:val="single"/>
        </w:rPr>
        <w:lastRenderedPageBreak/>
        <w:t>References</w:t>
      </w:r>
    </w:p>
    <w:p w14:paraId="219E1422" w14:textId="0C153D21" w:rsidR="009B2BBF" w:rsidRPr="00242106" w:rsidRDefault="009B2BBF" w:rsidP="009B2BBF">
      <w:pPr>
        <w:pStyle w:val="NormalWeb"/>
        <w:rPr>
          <w:rStyle w:val="Emphasis"/>
          <w:rFonts w:eastAsiaTheme="majorEastAsia"/>
          <w:i w:val="0"/>
          <w:iCs w:val="0"/>
        </w:rPr>
      </w:pPr>
      <w:r w:rsidRPr="00242106">
        <w:t>ARK Invest</w:t>
      </w:r>
      <w:r w:rsidR="00BF00C7" w:rsidRPr="00242106">
        <w:t>,</w:t>
      </w:r>
      <w:r w:rsidRPr="00242106">
        <w:t xml:space="preserve"> (2024)</w:t>
      </w:r>
      <w:r w:rsidR="00BF00C7" w:rsidRPr="00242106">
        <w:t>,</w:t>
      </w:r>
      <w:r w:rsidRPr="00242106">
        <w:t xml:space="preserve"> </w:t>
      </w:r>
      <w:r w:rsidRPr="00242106">
        <w:rPr>
          <w:rStyle w:val="Emphasis"/>
          <w:rFonts w:eastAsiaTheme="majorEastAsia"/>
        </w:rPr>
        <w:t xml:space="preserve">Investment </w:t>
      </w:r>
      <w:r w:rsidR="00FE62D6" w:rsidRPr="00242106">
        <w:rPr>
          <w:rStyle w:val="Emphasis"/>
          <w:rFonts w:eastAsiaTheme="majorEastAsia"/>
        </w:rPr>
        <w:t>Strategies</w:t>
      </w:r>
      <w:r w:rsidRPr="00242106">
        <w:rPr>
          <w:rStyle w:val="Emphasis"/>
          <w:rFonts w:eastAsiaTheme="majorEastAsia"/>
        </w:rPr>
        <w:t>.</w:t>
      </w:r>
      <w:r w:rsidR="00FE62D6" w:rsidRPr="00242106">
        <w:rPr>
          <w:rStyle w:val="Emphasis"/>
          <w:rFonts w:eastAsiaTheme="majorEastAsia"/>
          <w:i w:val="0"/>
          <w:iCs w:val="0"/>
        </w:rPr>
        <w:t xml:space="preserve"> Retrieved on </w:t>
      </w:r>
      <w:r w:rsidR="00DC080F" w:rsidRPr="00242106">
        <w:rPr>
          <w:rStyle w:val="Emphasis"/>
          <w:rFonts w:eastAsiaTheme="majorEastAsia"/>
          <w:i w:val="0"/>
          <w:iCs w:val="0"/>
        </w:rPr>
        <w:t>08 October 2025 from https://</w:t>
      </w:r>
      <w:r w:rsidR="00DC080F" w:rsidRPr="00242106">
        <w:t xml:space="preserve"> </w:t>
      </w:r>
      <w:hyperlink r:id="rId8" w:anchor=":~:text=Investment%20Strategies,capture%20the%20majority%20of%20value" w:history="1">
        <w:r w:rsidR="003D18CE" w:rsidRPr="00242106">
          <w:rPr>
            <w:rStyle w:val="Hyperlink"/>
            <w:rFonts w:eastAsiaTheme="majorEastAsia"/>
            <w:color w:val="auto"/>
          </w:rPr>
          <w:t>www.ark-invest.com/#:~:text=Investment%20Strategies,capture%20the%20majority%20of%20value</w:t>
        </w:r>
      </w:hyperlink>
      <w:r w:rsidR="00DC080F" w:rsidRPr="00242106">
        <w:rPr>
          <w:rStyle w:val="Emphasis"/>
          <w:rFonts w:eastAsiaTheme="majorEastAsia"/>
          <w:i w:val="0"/>
          <w:iCs w:val="0"/>
        </w:rPr>
        <w:t>.</w:t>
      </w:r>
    </w:p>
    <w:p w14:paraId="39888265" w14:textId="2BED1070" w:rsidR="003D18CE" w:rsidRPr="00242106" w:rsidRDefault="002B3CE4" w:rsidP="009B2BBF">
      <w:pPr>
        <w:pStyle w:val="NormalWeb"/>
      </w:pPr>
      <w:proofErr w:type="spellStart"/>
      <w:r w:rsidRPr="00242106">
        <w:rPr>
          <w:rStyle w:val="Emphasis"/>
          <w:rFonts w:eastAsiaTheme="majorEastAsia"/>
          <w:i w:val="0"/>
          <w:iCs w:val="0"/>
        </w:rPr>
        <w:t>Clenow</w:t>
      </w:r>
      <w:proofErr w:type="spellEnd"/>
      <w:r w:rsidRPr="00242106">
        <w:rPr>
          <w:rStyle w:val="Emphasis"/>
          <w:rFonts w:eastAsiaTheme="majorEastAsia"/>
          <w:i w:val="0"/>
          <w:iCs w:val="0"/>
        </w:rPr>
        <w:t xml:space="preserve">, A, (2019), </w:t>
      </w:r>
      <w:r w:rsidRPr="00242106">
        <w:rPr>
          <w:rStyle w:val="Emphasis"/>
          <w:rFonts w:eastAsiaTheme="majorEastAsia"/>
        </w:rPr>
        <w:t>Trading Evolved</w:t>
      </w:r>
      <w:r w:rsidR="00DD1FDE" w:rsidRPr="00242106">
        <w:rPr>
          <w:rStyle w:val="Emphasis"/>
          <w:rFonts w:eastAsiaTheme="majorEastAsia"/>
        </w:rPr>
        <w:t>: Anyone Can Build Killer Trading Strategies in Python</w:t>
      </w:r>
    </w:p>
    <w:p w14:paraId="487725EE" w14:textId="6225FC97" w:rsidR="009B2BBF" w:rsidRPr="00242106" w:rsidRDefault="009B2BBF" w:rsidP="009B2BBF">
      <w:pPr>
        <w:pStyle w:val="NormalWeb"/>
      </w:pPr>
      <w:proofErr w:type="spellStart"/>
      <w:r w:rsidRPr="00242106">
        <w:t>Grinold</w:t>
      </w:r>
      <w:proofErr w:type="spellEnd"/>
      <w:r w:rsidRPr="00242106">
        <w:t>, R., Kahn, R</w:t>
      </w:r>
      <w:r w:rsidR="00BF00C7" w:rsidRPr="00242106">
        <w:t>,</w:t>
      </w:r>
      <w:r w:rsidRPr="00242106">
        <w:t xml:space="preserve"> (2000)</w:t>
      </w:r>
      <w:r w:rsidR="00BF00C7" w:rsidRPr="00242106">
        <w:t>,</w:t>
      </w:r>
      <w:r w:rsidRPr="00242106">
        <w:t xml:space="preserve"> </w:t>
      </w:r>
      <w:r w:rsidRPr="00242106">
        <w:rPr>
          <w:rStyle w:val="Emphasis"/>
          <w:rFonts w:eastAsiaTheme="majorEastAsia"/>
        </w:rPr>
        <w:t>Active Portfolio Management.</w:t>
      </w:r>
    </w:p>
    <w:p w14:paraId="1DF7038A" w14:textId="36F5602D" w:rsidR="009B2BBF" w:rsidRPr="00242106" w:rsidRDefault="009B2BBF" w:rsidP="009B2BBF">
      <w:pPr>
        <w:pStyle w:val="NormalWeb"/>
        <w:rPr>
          <w:rStyle w:val="Emphasis"/>
          <w:rFonts w:eastAsiaTheme="majorEastAsia"/>
        </w:rPr>
      </w:pPr>
      <w:proofErr w:type="spellStart"/>
      <w:r w:rsidRPr="00242106">
        <w:t>Greyserman</w:t>
      </w:r>
      <w:proofErr w:type="spellEnd"/>
      <w:r w:rsidRPr="00242106">
        <w:t>, A., Kaminski, K</w:t>
      </w:r>
      <w:r w:rsidR="00BF00C7" w:rsidRPr="00242106">
        <w:t>,</w:t>
      </w:r>
      <w:r w:rsidRPr="00242106">
        <w:t xml:space="preserve"> (2014)</w:t>
      </w:r>
      <w:r w:rsidR="00BF00C7" w:rsidRPr="00242106">
        <w:t>,</w:t>
      </w:r>
      <w:r w:rsidRPr="00242106">
        <w:t xml:space="preserve"> </w:t>
      </w:r>
      <w:r w:rsidRPr="00242106">
        <w:rPr>
          <w:rStyle w:val="Emphasis"/>
          <w:rFonts w:eastAsiaTheme="majorEastAsia"/>
        </w:rPr>
        <w:t>Trend Following with Managed Futures.</w:t>
      </w:r>
    </w:p>
    <w:p w14:paraId="5E13A320" w14:textId="4183BA98" w:rsidR="00FA7524" w:rsidRPr="00242106" w:rsidRDefault="00FA7524" w:rsidP="009B2BBF">
      <w:pPr>
        <w:pStyle w:val="NormalWeb"/>
      </w:pPr>
      <w:r w:rsidRPr="00242106">
        <w:rPr>
          <w:rStyle w:val="Emphasis"/>
          <w:rFonts w:eastAsiaTheme="majorEastAsia"/>
          <w:i w:val="0"/>
          <w:iCs w:val="0"/>
        </w:rPr>
        <w:t xml:space="preserve">Moreira, A., </w:t>
      </w:r>
      <w:r w:rsidR="00EB384E" w:rsidRPr="00242106">
        <w:rPr>
          <w:rStyle w:val="Emphasis"/>
          <w:rFonts w:eastAsiaTheme="majorEastAsia"/>
          <w:i w:val="0"/>
          <w:iCs w:val="0"/>
        </w:rPr>
        <w:t>Muir, T.,</w:t>
      </w:r>
      <w:r w:rsidR="004236A0" w:rsidRPr="00242106">
        <w:rPr>
          <w:rStyle w:val="Emphasis"/>
          <w:rFonts w:eastAsiaTheme="majorEastAsia"/>
          <w:i w:val="0"/>
          <w:iCs w:val="0"/>
        </w:rPr>
        <w:t xml:space="preserve"> (2017),</w:t>
      </w:r>
      <w:r w:rsidR="00EB384E" w:rsidRPr="00242106">
        <w:rPr>
          <w:rStyle w:val="Emphasis"/>
          <w:rFonts w:eastAsiaTheme="majorEastAsia"/>
          <w:i w:val="0"/>
          <w:iCs w:val="0"/>
        </w:rPr>
        <w:t xml:space="preserve"> </w:t>
      </w:r>
      <w:r w:rsidR="00F24EA9" w:rsidRPr="00242106">
        <w:rPr>
          <w:rStyle w:val="Emphasis"/>
          <w:rFonts w:eastAsiaTheme="majorEastAsia"/>
        </w:rPr>
        <w:t>Volatility Managed Portfolios</w:t>
      </w:r>
      <w:r w:rsidR="00F24EA9" w:rsidRPr="00242106">
        <w:rPr>
          <w:rStyle w:val="Emphasis"/>
          <w:rFonts w:eastAsiaTheme="majorEastAsia"/>
          <w:i w:val="0"/>
          <w:iCs w:val="0"/>
        </w:rPr>
        <w:t xml:space="preserve">, </w:t>
      </w:r>
      <w:r w:rsidR="004236A0" w:rsidRPr="00242106">
        <w:rPr>
          <w:rStyle w:val="Emphasis"/>
          <w:rFonts w:eastAsiaTheme="majorEastAsia"/>
          <w:i w:val="0"/>
          <w:iCs w:val="0"/>
        </w:rPr>
        <w:t xml:space="preserve">Yale, </w:t>
      </w:r>
      <w:r w:rsidR="00F24EA9" w:rsidRPr="00242106">
        <w:rPr>
          <w:rStyle w:val="Emphasis"/>
          <w:rFonts w:eastAsiaTheme="majorEastAsia"/>
          <w:i w:val="0"/>
          <w:iCs w:val="0"/>
        </w:rPr>
        <w:t>Retrieved on 09 October 2025 from https://</w:t>
      </w:r>
      <w:r w:rsidR="004236A0" w:rsidRPr="00242106">
        <w:rPr>
          <w:rStyle w:val="Emphasis"/>
          <w:rFonts w:eastAsiaTheme="majorEastAsia"/>
          <w:i w:val="0"/>
          <w:iCs w:val="0"/>
        </w:rPr>
        <w:t>papers.ssrn.com/sol3/papers.cfm?abstract_id=2659431</w:t>
      </w:r>
    </w:p>
    <w:p w14:paraId="284F8413" w14:textId="27ADA05F" w:rsidR="009B2BBF" w:rsidRPr="00242106" w:rsidRDefault="00072184" w:rsidP="009B2BBF">
      <w:pPr>
        <w:pStyle w:val="NormalWeb"/>
      </w:pPr>
      <w:r w:rsidRPr="00242106">
        <w:rPr>
          <w:rFonts w:hAnsi="Symbol"/>
        </w:rPr>
        <w:t>S</w:t>
      </w:r>
      <w:r w:rsidR="009B2BBF" w:rsidRPr="00242106">
        <w:t>harpe, W. F</w:t>
      </w:r>
      <w:r w:rsidR="00BF00C7" w:rsidRPr="00242106">
        <w:t>,</w:t>
      </w:r>
      <w:r w:rsidR="009B2BBF" w:rsidRPr="00242106">
        <w:t xml:space="preserve"> (1964)</w:t>
      </w:r>
      <w:r w:rsidR="00BF00C7" w:rsidRPr="00242106">
        <w:t>,</w:t>
      </w:r>
      <w:r w:rsidR="009B2BBF" w:rsidRPr="00242106">
        <w:t xml:space="preserve"> </w:t>
      </w:r>
      <w:r w:rsidR="009B2BBF" w:rsidRPr="00242106">
        <w:rPr>
          <w:rStyle w:val="Emphasis"/>
          <w:rFonts w:eastAsiaTheme="majorEastAsia"/>
        </w:rPr>
        <w:t>Capital Asset Prices: A Theory of Market Equilibrium under Conditions of Risk.</w:t>
      </w:r>
      <w:r w:rsidR="009B2BBF" w:rsidRPr="00242106">
        <w:t xml:space="preserve"> </w:t>
      </w:r>
      <w:r w:rsidR="009B2BBF" w:rsidRPr="00242106">
        <w:rPr>
          <w:rStyle w:val="Emphasis"/>
          <w:rFonts w:eastAsiaTheme="majorEastAsia"/>
        </w:rPr>
        <w:t>Journal of Finance,</w:t>
      </w:r>
      <w:r w:rsidR="009B2BBF" w:rsidRPr="00242106">
        <w:t xml:space="preserve"> 19(3), 425–442.</w:t>
      </w:r>
    </w:p>
    <w:p w14:paraId="0D8A968F" w14:textId="60F372D7" w:rsidR="009B2BBF" w:rsidRPr="00242106" w:rsidRDefault="009B2BBF" w:rsidP="009B2BBF">
      <w:pPr>
        <w:pStyle w:val="NormalWeb"/>
      </w:pPr>
      <w:r w:rsidRPr="00242106">
        <w:t>López de Prado, M</w:t>
      </w:r>
      <w:r w:rsidR="00BF00C7" w:rsidRPr="00242106">
        <w:t>,</w:t>
      </w:r>
      <w:r w:rsidRPr="00242106">
        <w:t xml:space="preserve"> (2018)</w:t>
      </w:r>
      <w:r w:rsidR="00BF00C7" w:rsidRPr="00242106">
        <w:t>,</w:t>
      </w:r>
      <w:r w:rsidRPr="00242106">
        <w:t xml:space="preserve"> </w:t>
      </w:r>
      <w:r w:rsidRPr="00242106">
        <w:rPr>
          <w:rStyle w:val="Emphasis"/>
          <w:rFonts w:eastAsiaTheme="majorEastAsia"/>
        </w:rPr>
        <w:t>Advances in Financial Machine Learning.</w:t>
      </w:r>
      <w:r w:rsidRPr="00242106">
        <w:t xml:space="preserve"> Wiley.</w:t>
      </w:r>
    </w:p>
    <w:p w14:paraId="3F0FA5A2" w14:textId="77777777" w:rsidR="007926F0" w:rsidRDefault="007926F0" w:rsidP="009B2BBF">
      <w:pPr>
        <w:pStyle w:val="NormalWeb"/>
      </w:pPr>
    </w:p>
    <w:p w14:paraId="18BEB4A2" w14:textId="77777777" w:rsidR="009B2BBF" w:rsidRPr="002439FA" w:rsidRDefault="009B2BBF" w:rsidP="009B2BBF">
      <w:pPr>
        <w:pStyle w:val="NormalWeb"/>
        <w:spacing w:line="480" w:lineRule="auto"/>
      </w:pPr>
    </w:p>
    <w:p w14:paraId="672465AB" w14:textId="77777777" w:rsidR="009B2BBF" w:rsidRDefault="009B2BBF" w:rsidP="009B2BBF">
      <w:pPr>
        <w:pStyle w:val="NormalWeb"/>
        <w:spacing w:line="480" w:lineRule="auto"/>
      </w:pPr>
    </w:p>
    <w:p w14:paraId="7A5D4183" w14:textId="77777777" w:rsidR="009B2BBF" w:rsidRDefault="009B2BBF" w:rsidP="009B2BBF">
      <w:pPr>
        <w:pStyle w:val="NormalWeb"/>
        <w:spacing w:line="480" w:lineRule="auto"/>
      </w:pPr>
    </w:p>
    <w:p w14:paraId="66A72A1C" w14:textId="77777777" w:rsidR="009B2BBF" w:rsidRDefault="009B2BBF" w:rsidP="009B2BBF">
      <w:pPr>
        <w:spacing w:line="480" w:lineRule="auto"/>
      </w:pPr>
    </w:p>
    <w:p w14:paraId="68CA57F8" w14:textId="77777777" w:rsidR="009B2BBF" w:rsidRDefault="009B2BBF" w:rsidP="00630757">
      <w:pPr>
        <w:spacing w:line="480" w:lineRule="auto"/>
        <w:rPr>
          <w:rFonts w:ascii="Times New Roman" w:hAnsi="Times New Roman" w:cs="Times New Roman"/>
        </w:rPr>
      </w:pPr>
    </w:p>
    <w:p w14:paraId="24FA7AB8" w14:textId="3842A402" w:rsidR="00377B4D" w:rsidRDefault="00377B4D" w:rsidP="00630757">
      <w:pPr>
        <w:spacing w:line="480" w:lineRule="auto"/>
        <w:rPr>
          <w:rFonts w:ascii="Times New Roman" w:hAnsi="Times New Roman" w:cs="Times New Roman"/>
        </w:rPr>
      </w:pPr>
      <w:r>
        <w:rPr>
          <w:rFonts w:ascii="Times New Roman" w:hAnsi="Times New Roman" w:cs="Times New Roman"/>
        </w:rPr>
        <w:tab/>
      </w:r>
    </w:p>
    <w:p w14:paraId="0CDC1699" w14:textId="5EDBF521" w:rsidR="00630757" w:rsidRDefault="00630757" w:rsidP="00630757">
      <w:pPr>
        <w:spacing w:line="480" w:lineRule="auto"/>
        <w:rPr>
          <w:rFonts w:ascii="Times New Roman" w:hAnsi="Times New Roman" w:cs="Times New Roman"/>
        </w:rPr>
      </w:pPr>
      <w:r>
        <w:rPr>
          <w:rFonts w:ascii="Times New Roman" w:hAnsi="Times New Roman" w:cs="Times New Roman"/>
        </w:rPr>
        <w:tab/>
      </w:r>
    </w:p>
    <w:p w14:paraId="223BFD97" w14:textId="77777777" w:rsidR="00C413B7" w:rsidRPr="00630757" w:rsidRDefault="00C413B7">
      <w:pPr>
        <w:rPr>
          <w:rFonts w:ascii="Times New Roman" w:hAnsi="Times New Roman" w:cs="Times New Roman"/>
        </w:rPr>
      </w:pPr>
    </w:p>
    <w:sectPr w:rsidR="00C413B7" w:rsidRPr="0063075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ymbol">
    <w:panose1 w:val="05050102010706020507"/>
    <w:charset w:val="02"/>
    <w:family w:val="roman"/>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FB1BBB"/>
    <w:multiLevelType w:val="multilevel"/>
    <w:tmpl w:val="F52659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917072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0757"/>
    <w:rsid w:val="00000D82"/>
    <w:rsid w:val="000320B5"/>
    <w:rsid w:val="00072184"/>
    <w:rsid w:val="00074A08"/>
    <w:rsid w:val="000831EC"/>
    <w:rsid w:val="00093BC8"/>
    <w:rsid w:val="000945BA"/>
    <w:rsid w:val="000B0A7D"/>
    <w:rsid w:val="000B7469"/>
    <w:rsid w:val="000E2E89"/>
    <w:rsid w:val="001504B9"/>
    <w:rsid w:val="00170A0A"/>
    <w:rsid w:val="001764EB"/>
    <w:rsid w:val="00186241"/>
    <w:rsid w:val="001A6147"/>
    <w:rsid w:val="001C02A4"/>
    <w:rsid w:val="001D4646"/>
    <w:rsid w:val="002072F0"/>
    <w:rsid w:val="0021254C"/>
    <w:rsid w:val="00217AE6"/>
    <w:rsid w:val="0023568D"/>
    <w:rsid w:val="00242106"/>
    <w:rsid w:val="00251645"/>
    <w:rsid w:val="0025684E"/>
    <w:rsid w:val="0026513F"/>
    <w:rsid w:val="0027728C"/>
    <w:rsid w:val="002A41B6"/>
    <w:rsid w:val="002B279F"/>
    <w:rsid w:val="002B3CE4"/>
    <w:rsid w:val="0030653E"/>
    <w:rsid w:val="00307A00"/>
    <w:rsid w:val="003141A2"/>
    <w:rsid w:val="00321B37"/>
    <w:rsid w:val="00370439"/>
    <w:rsid w:val="003722BF"/>
    <w:rsid w:val="00377B4D"/>
    <w:rsid w:val="0039336B"/>
    <w:rsid w:val="003D18CE"/>
    <w:rsid w:val="00415605"/>
    <w:rsid w:val="004236A0"/>
    <w:rsid w:val="004A38FB"/>
    <w:rsid w:val="004B6986"/>
    <w:rsid w:val="004C1403"/>
    <w:rsid w:val="004E59BA"/>
    <w:rsid w:val="005360F8"/>
    <w:rsid w:val="00545170"/>
    <w:rsid w:val="005464DB"/>
    <w:rsid w:val="00550739"/>
    <w:rsid w:val="005535E2"/>
    <w:rsid w:val="005A652A"/>
    <w:rsid w:val="00623647"/>
    <w:rsid w:val="00630757"/>
    <w:rsid w:val="006322C5"/>
    <w:rsid w:val="006421DF"/>
    <w:rsid w:val="0066571D"/>
    <w:rsid w:val="006B3CC4"/>
    <w:rsid w:val="006B4F58"/>
    <w:rsid w:val="006C5BC9"/>
    <w:rsid w:val="007018F2"/>
    <w:rsid w:val="00703903"/>
    <w:rsid w:val="0076167A"/>
    <w:rsid w:val="007624FC"/>
    <w:rsid w:val="00762A4C"/>
    <w:rsid w:val="00763D4F"/>
    <w:rsid w:val="007741A8"/>
    <w:rsid w:val="007745D0"/>
    <w:rsid w:val="007875C7"/>
    <w:rsid w:val="007926F0"/>
    <w:rsid w:val="00793B67"/>
    <w:rsid w:val="007A33A2"/>
    <w:rsid w:val="007A49EA"/>
    <w:rsid w:val="007B1DC3"/>
    <w:rsid w:val="007F590B"/>
    <w:rsid w:val="007F67BA"/>
    <w:rsid w:val="0081091F"/>
    <w:rsid w:val="008609C3"/>
    <w:rsid w:val="00860C63"/>
    <w:rsid w:val="0086137C"/>
    <w:rsid w:val="008A140C"/>
    <w:rsid w:val="008A33AA"/>
    <w:rsid w:val="008B09BF"/>
    <w:rsid w:val="008D2EAA"/>
    <w:rsid w:val="008E4EEE"/>
    <w:rsid w:val="009177E6"/>
    <w:rsid w:val="00921308"/>
    <w:rsid w:val="0092623E"/>
    <w:rsid w:val="0093350F"/>
    <w:rsid w:val="0094539E"/>
    <w:rsid w:val="00955E75"/>
    <w:rsid w:val="00961B0D"/>
    <w:rsid w:val="00972017"/>
    <w:rsid w:val="00973109"/>
    <w:rsid w:val="009A2A02"/>
    <w:rsid w:val="009A3EFF"/>
    <w:rsid w:val="009A3F96"/>
    <w:rsid w:val="009B2BBF"/>
    <w:rsid w:val="009B711F"/>
    <w:rsid w:val="009C6272"/>
    <w:rsid w:val="009F4589"/>
    <w:rsid w:val="00A438EB"/>
    <w:rsid w:val="00A43FA7"/>
    <w:rsid w:val="00A47C33"/>
    <w:rsid w:val="00A612C8"/>
    <w:rsid w:val="00AA32EF"/>
    <w:rsid w:val="00AC0CD9"/>
    <w:rsid w:val="00AD0364"/>
    <w:rsid w:val="00B01F72"/>
    <w:rsid w:val="00B21F19"/>
    <w:rsid w:val="00B228C2"/>
    <w:rsid w:val="00B468EE"/>
    <w:rsid w:val="00B70E03"/>
    <w:rsid w:val="00B81F5D"/>
    <w:rsid w:val="00BF00C7"/>
    <w:rsid w:val="00C23D9F"/>
    <w:rsid w:val="00C413B7"/>
    <w:rsid w:val="00CF0394"/>
    <w:rsid w:val="00D333F5"/>
    <w:rsid w:val="00D33DA4"/>
    <w:rsid w:val="00D511AC"/>
    <w:rsid w:val="00D5471F"/>
    <w:rsid w:val="00D65790"/>
    <w:rsid w:val="00D86AEA"/>
    <w:rsid w:val="00DB3132"/>
    <w:rsid w:val="00DB7932"/>
    <w:rsid w:val="00DC080F"/>
    <w:rsid w:val="00DD1FDE"/>
    <w:rsid w:val="00DD6EA9"/>
    <w:rsid w:val="00DF47DC"/>
    <w:rsid w:val="00E21D2B"/>
    <w:rsid w:val="00E21E88"/>
    <w:rsid w:val="00E24B72"/>
    <w:rsid w:val="00E42F6C"/>
    <w:rsid w:val="00E560E7"/>
    <w:rsid w:val="00E724CB"/>
    <w:rsid w:val="00E92D0B"/>
    <w:rsid w:val="00E96773"/>
    <w:rsid w:val="00EB384E"/>
    <w:rsid w:val="00EE0625"/>
    <w:rsid w:val="00F035D5"/>
    <w:rsid w:val="00F07D46"/>
    <w:rsid w:val="00F1631F"/>
    <w:rsid w:val="00F24EA9"/>
    <w:rsid w:val="00FA7524"/>
    <w:rsid w:val="00FE62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B1FCAB"/>
  <w15:chartTrackingRefBased/>
  <w15:docId w15:val="{05A39582-C8DA-4CA4-8411-B6F32E8F6D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0757"/>
  </w:style>
  <w:style w:type="paragraph" w:styleId="Heading1">
    <w:name w:val="heading 1"/>
    <w:basedOn w:val="Normal"/>
    <w:next w:val="Normal"/>
    <w:link w:val="Heading1Char"/>
    <w:uiPriority w:val="9"/>
    <w:qFormat/>
    <w:rsid w:val="006307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307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3075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3075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075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07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07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07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07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075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3075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3075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3075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075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07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07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07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0757"/>
    <w:rPr>
      <w:rFonts w:eastAsiaTheme="majorEastAsia" w:cstheme="majorBidi"/>
      <w:color w:val="272727" w:themeColor="text1" w:themeTint="D8"/>
    </w:rPr>
  </w:style>
  <w:style w:type="paragraph" w:styleId="Title">
    <w:name w:val="Title"/>
    <w:basedOn w:val="Normal"/>
    <w:next w:val="Normal"/>
    <w:link w:val="TitleChar"/>
    <w:uiPriority w:val="10"/>
    <w:qFormat/>
    <w:rsid w:val="006307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07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07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07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0757"/>
    <w:pPr>
      <w:spacing w:before="160"/>
      <w:jc w:val="center"/>
    </w:pPr>
    <w:rPr>
      <w:i/>
      <w:iCs/>
      <w:color w:val="404040" w:themeColor="text1" w:themeTint="BF"/>
    </w:rPr>
  </w:style>
  <w:style w:type="character" w:customStyle="1" w:styleId="QuoteChar">
    <w:name w:val="Quote Char"/>
    <w:basedOn w:val="DefaultParagraphFont"/>
    <w:link w:val="Quote"/>
    <w:uiPriority w:val="29"/>
    <w:rsid w:val="00630757"/>
    <w:rPr>
      <w:i/>
      <w:iCs/>
      <w:color w:val="404040" w:themeColor="text1" w:themeTint="BF"/>
    </w:rPr>
  </w:style>
  <w:style w:type="paragraph" w:styleId="ListParagraph">
    <w:name w:val="List Paragraph"/>
    <w:basedOn w:val="Normal"/>
    <w:uiPriority w:val="34"/>
    <w:qFormat/>
    <w:rsid w:val="00630757"/>
    <w:pPr>
      <w:ind w:left="720"/>
      <w:contextualSpacing/>
    </w:pPr>
  </w:style>
  <w:style w:type="character" w:styleId="IntenseEmphasis">
    <w:name w:val="Intense Emphasis"/>
    <w:basedOn w:val="DefaultParagraphFont"/>
    <w:uiPriority w:val="21"/>
    <w:qFormat/>
    <w:rsid w:val="00630757"/>
    <w:rPr>
      <w:i/>
      <w:iCs/>
      <w:color w:val="0F4761" w:themeColor="accent1" w:themeShade="BF"/>
    </w:rPr>
  </w:style>
  <w:style w:type="paragraph" w:styleId="IntenseQuote">
    <w:name w:val="Intense Quote"/>
    <w:basedOn w:val="Normal"/>
    <w:next w:val="Normal"/>
    <w:link w:val="IntenseQuoteChar"/>
    <w:uiPriority w:val="30"/>
    <w:qFormat/>
    <w:rsid w:val="006307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0757"/>
    <w:rPr>
      <w:i/>
      <w:iCs/>
      <w:color w:val="0F4761" w:themeColor="accent1" w:themeShade="BF"/>
    </w:rPr>
  </w:style>
  <w:style w:type="character" w:styleId="IntenseReference">
    <w:name w:val="Intense Reference"/>
    <w:basedOn w:val="DefaultParagraphFont"/>
    <w:uiPriority w:val="32"/>
    <w:qFormat/>
    <w:rsid w:val="00630757"/>
    <w:rPr>
      <w:b/>
      <w:bCs/>
      <w:smallCaps/>
      <w:color w:val="0F4761" w:themeColor="accent1" w:themeShade="BF"/>
      <w:spacing w:val="5"/>
    </w:rPr>
  </w:style>
  <w:style w:type="paragraph" w:styleId="NormalWeb">
    <w:name w:val="Normal (Web)"/>
    <w:basedOn w:val="Normal"/>
    <w:uiPriority w:val="99"/>
    <w:unhideWhenUsed/>
    <w:rsid w:val="009B2BBF"/>
    <w:pPr>
      <w:spacing w:before="100" w:beforeAutospacing="1" w:after="100" w:afterAutospacing="1" w:line="240" w:lineRule="auto"/>
    </w:pPr>
    <w:rPr>
      <w:rFonts w:ascii="Times New Roman" w:eastAsia="Times New Roman" w:hAnsi="Times New Roman" w:cs="Times New Roman"/>
      <w:kern w:val="0"/>
    </w:rPr>
  </w:style>
  <w:style w:type="character" w:styleId="Emphasis">
    <w:name w:val="Emphasis"/>
    <w:basedOn w:val="DefaultParagraphFont"/>
    <w:uiPriority w:val="20"/>
    <w:qFormat/>
    <w:rsid w:val="009B2BBF"/>
    <w:rPr>
      <w:i/>
      <w:iCs/>
    </w:rPr>
  </w:style>
  <w:style w:type="paragraph" w:styleId="BodyText">
    <w:name w:val="Body Text"/>
    <w:basedOn w:val="Normal"/>
    <w:link w:val="BodyTextChar"/>
    <w:uiPriority w:val="1"/>
    <w:qFormat/>
    <w:rsid w:val="009B2BBF"/>
    <w:pPr>
      <w:widowControl w:val="0"/>
      <w:autoSpaceDE w:val="0"/>
      <w:autoSpaceDN w:val="0"/>
      <w:spacing w:before="61" w:after="0" w:line="240" w:lineRule="auto"/>
      <w:ind w:left="-1"/>
    </w:pPr>
    <w:rPr>
      <w:rFonts w:ascii="Times New Roman" w:eastAsia="Times New Roman" w:hAnsi="Times New Roman" w:cs="Times New Roman"/>
      <w:kern w:val="0"/>
    </w:rPr>
  </w:style>
  <w:style w:type="character" w:customStyle="1" w:styleId="BodyTextChar">
    <w:name w:val="Body Text Char"/>
    <w:basedOn w:val="DefaultParagraphFont"/>
    <w:link w:val="BodyText"/>
    <w:uiPriority w:val="1"/>
    <w:rsid w:val="009B2BBF"/>
    <w:rPr>
      <w:rFonts w:ascii="Times New Roman" w:eastAsia="Times New Roman" w:hAnsi="Times New Roman" w:cs="Times New Roman"/>
      <w:kern w:val="0"/>
    </w:rPr>
  </w:style>
  <w:style w:type="paragraph" w:customStyle="1" w:styleId="whitespace-normal">
    <w:name w:val="whitespace-normal"/>
    <w:basedOn w:val="Normal"/>
    <w:rsid w:val="004C1403"/>
    <w:pPr>
      <w:spacing w:before="100" w:beforeAutospacing="1" w:after="100" w:afterAutospacing="1" w:line="240" w:lineRule="auto"/>
    </w:pPr>
    <w:rPr>
      <w:rFonts w:ascii="Times New Roman" w:eastAsia="Times New Roman" w:hAnsi="Times New Roman" w:cs="Times New Roman"/>
      <w:kern w:val="0"/>
    </w:rPr>
  </w:style>
  <w:style w:type="character" w:styleId="Hyperlink">
    <w:name w:val="Hyperlink"/>
    <w:basedOn w:val="DefaultParagraphFont"/>
    <w:uiPriority w:val="99"/>
    <w:unhideWhenUsed/>
    <w:rsid w:val="003D18CE"/>
    <w:rPr>
      <w:color w:val="467886" w:themeColor="hyperlink"/>
      <w:u w:val="single"/>
    </w:rPr>
  </w:style>
  <w:style w:type="character" w:styleId="UnresolvedMention">
    <w:name w:val="Unresolved Mention"/>
    <w:basedOn w:val="DefaultParagraphFont"/>
    <w:uiPriority w:val="99"/>
    <w:semiHidden/>
    <w:unhideWhenUsed/>
    <w:rsid w:val="003D18CE"/>
    <w:rPr>
      <w:color w:val="605E5C"/>
      <w:shd w:val="clear" w:color="auto" w:fill="E1DFDD"/>
    </w:rPr>
  </w:style>
  <w:style w:type="character" w:customStyle="1" w:styleId="a-list-item">
    <w:name w:val="a-list-item"/>
    <w:basedOn w:val="DefaultParagraphFont"/>
    <w:rsid w:val="00DD1FD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ark-invest.com/" TargetMode="Externa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999</TotalTime>
  <Pages>16</Pages>
  <Words>4024</Words>
  <Characters>22943</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kyle krug</dc:creator>
  <cp:keywords/>
  <dc:description/>
  <cp:lastModifiedBy>kyle krug</cp:lastModifiedBy>
  <cp:revision>143</cp:revision>
  <dcterms:created xsi:type="dcterms:W3CDTF">2025-10-12T00:41:00Z</dcterms:created>
  <dcterms:modified xsi:type="dcterms:W3CDTF">2025-10-12T23:56:00Z</dcterms:modified>
</cp:coreProperties>
</file>