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6E3ED" w14:textId="271062A9" w:rsidR="007B7005" w:rsidRPr="00086C4E" w:rsidRDefault="007B7005" w:rsidP="007B7005">
      <w:pPr>
        <w:pStyle w:val="NormalWeb"/>
        <w:numPr>
          <w:ilvl w:val="0"/>
          <w:numId w:val="1"/>
        </w:numPr>
        <w:shd w:val="clear" w:color="auto" w:fill="FFFFFF"/>
        <w:spacing w:before="0" w:beforeAutospacing="0" w:after="0" w:afterAutospacing="0" w:line="276" w:lineRule="auto"/>
        <w:jc w:val="both"/>
        <w:rPr>
          <w:rFonts w:ascii="Quicksand" w:hAnsi="Quicksand" w:cstheme="minorHAnsi"/>
          <w:color w:val="1D2125"/>
          <w:sz w:val="18"/>
          <w:szCs w:val="18"/>
        </w:rPr>
      </w:pPr>
      <w:r w:rsidRPr="00086C4E">
        <w:rPr>
          <w:rStyle w:val="Textoennegrita"/>
          <w:rFonts w:ascii="Quicksand" w:hAnsi="Quicksand" w:cstheme="minorHAnsi"/>
          <w:color w:val="1D2125"/>
          <w:sz w:val="18"/>
          <w:szCs w:val="18"/>
        </w:rPr>
        <w:t>Anota las operaciones de una empresa en las cuentas "Bancos", "Caja" y "Proveedores" con la información: </w:t>
      </w:r>
    </w:p>
    <w:p w14:paraId="51CA2162" w14:textId="77777777" w:rsidR="007B7005" w:rsidRPr="00086C4E" w:rsidRDefault="007B7005" w:rsidP="007B7005">
      <w:pPr>
        <w:pStyle w:val="NormalWeb"/>
        <w:numPr>
          <w:ilvl w:val="0"/>
          <w:numId w:val="2"/>
        </w:numPr>
        <w:shd w:val="clear" w:color="auto" w:fill="FFFFFF"/>
        <w:spacing w:before="0" w:beforeAutospacing="0" w:after="0" w:afterAutospacing="0" w:line="276" w:lineRule="auto"/>
        <w:jc w:val="both"/>
        <w:rPr>
          <w:rFonts w:ascii="Quicksand" w:hAnsi="Quicksand" w:cstheme="minorHAnsi"/>
          <w:b/>
          <w:bCs/>
          <w:color w:val="1D2125"/>
          <w:sz w:val="18"/>
          <w:szCs w:val="18"/>
        </w:rPr>
      </w:pPr>
      <w:r w:rsidRPr="00086C4E">
        <w:rPr>
          <w:rFonts w:ascii="Quicksand" w:hAnsi="Quicksand" w:cstheme="minorHAnsi"/>
          <w:b/>
          <w:bCs/>
          <w:color w:val="1D2125"/>
          <w:sz w:val="18"/>
          <w:szCs w:val="18"/>
        </w:rPr>
        <w:t>Saca 1.000 euros para depositarlos en la caja. La cuenta del banco tenía 2.000 euros.</w:t>
      </w:r>
    </w:p>
    <w:p w14:paraId="24B9E4D3" w14:textId="77777777" w:rsidR="007B7005" w:rsidRPr="00086C4E" w:rsidRDefault="007B7005" w:rsidP="007B7005">
      <w:pPr>
        <w:pStyle w:val="NormalWeb"/>
        <w:numPr>
          <w:ilvl w:val="0"/>
          <w:numId w:val="2"/>
        </w:numPr>
        <w:shd w:val="clear" w:color="auto" w:fill="FFFFFF"/>
        <w:spacing w:before="0" w:beforeAutospacing="0" w:after="0" w:afterAutospacing="0" w:line="276" w:lineRule="auto"/>
        <w:jc w:val="both"/>
        <w:rPr>
          <w:rFonts w:ascii="Quicksand" w:hAnsi="Quicksand" w:cstheme="minorHAnsi"/>
          <w:b/>
          <w:bCs/>
          <w:color w:val="1D2125"/>
          <w:sz w:val="18"/>
          <w:szCs w:val="18"/>
        </w:rPr>
      </w:pPr>
      <w:r w:rsidRPr="00086C4E">
        <w:rPr>
          <w:rFonts w:ascii="Quicksand" w:hAnsi="Quicksand" w:cstheme="minorHAnsi"/>
          <w:b/>
          <w:bCs/>
          <w:color w:val="1D2125"/>
          <w:sz w:val="18"/>
          <w:szCs w:val="18"/>
        </w:rPr>
        <w:t>Compra 4 impresoras y paga a través del banco.</w:t>
      </w:r>
    </w:p>
    <w:p w14:paraId="570A3B61" w14:textId="1C706BE4" w:rsidR="007B7005" w:rsidRPr="00086C4E" w:rsidRDefault="007B7005" w:rsidP="00BD002D">
      <w:pPr>
        <w:pStyle w:val="NormalWeb"/>
        <w:numPr>
          <w:ilvl w:val="0"/>
          <w:numId w:val="2"/>
        </w:numPr>
        <w:shd w:val="clear" w:color="auto" w:fill="FFFFFF"/>
        <w:spacing w:before="0" w:beforeAutospacing="0" w:after="240" w:afterAutospacing="0" w:line="276" w:lineRule="auto"/>
        <w:jc w:val="both"/>
        <w:rPr>
          <w:rStyle w:val="Textoennegrita"/>
          <w:rFonts w:ascii="Quicksand" w:hAnsi="Quicksand" w:cstheme="minorHAnsi"/>
          <w:color w:val="1D2125"/>
          <w:sz w:val="18"/>
          <w:szCs w:val="18"/>
        </w:rPr>
      </w:pPr>
      <w:r w:rsidRPr="00086C4E">
        <w:rPr>
          <w:rFonts w:ascii="Quicksand" w:hAnsi="Quicksand" w:cstheme="minorHAnsi"/>
          <w:b/>
          <w:bCs/>
          <w:color w:val="1D2125"/>
          <w:sz w:val="18"/>
          <w:szCs w:val="18"/>
        </w:rPr>
        <w:t>Compra material informático por valor de 500 euros que paga con dinero de la caja.</w:t>
      </w:r>
    </w:p>
    <w:p w14:paraId="5A92CD9A" w14:textId="6FBBB396" w:rsidR="007B7005" w:rsidRPr="00086C4E" w:rsidRDefault="007B7005" w:rsidP="007B7005">
      <w:pPr>
        <w:pStyle w:val="NormalWeb"/>
        <w:numPr>
          <w:ilvl w:val="0"/>
          <w:numId w:val="1"/>
        </w:numPr>
        <w:shd w:val="clear" w:color="auto" w:fill="FFFFFF"/>
        <w:spacing w:before="0" w:beforeAutospacing="0" w:after="0" w:afterAutospacing="0" w:line="276" w:lineRule="auto"/>
        <w:jc w:val="both"/>
        <w:rPr>
          <w:rFonts w:ascii="Quicksand" w:hAnsi="Quicksand" w:cstheme="minorHAnsi"/>
          <w:color w:val="1D2125"/>
          <w:sz w:val="18"/>
          <w:szCs w:val="18"/>
        </w:rPr>
      </w:pPr>
      <w:r w:rsidRPr="00086C4E">
        <w:rPr>
          <w:rStyle w:val="Textoennegrita"/>
          <w:rFonts w:ascii="Quicksand" w:hAnsi="Quicksand" w:cstheme="minorHAnsi"/>
          <w:color w:val="1D2125"/>
          <w:sz w:val="18"/>
          <w:szCs w:val="18"/>
        </w:rPr>
        <w:t>Ratios de liquidez y endeudamiento de una empresa.</w:t>
      </w:r>
    </w:p>
    <w:p w14:paraId="4CE678FE" w14:textId="77777777" w:rsidR="007B7005" w:rsidRPr="00086C4E" w:rsidRDefault="007B7005" w:rsidP="007B7005">
      <w:pPr>
        <w:pStyle w:val="NormalWeb"/>
        <w:numPr>
          <w:ilvl w:val="0"/>
          <w:numId w:val="2"/>
        </w:numPr>
        <w:shd w:val="clear" w:color="auto" w:fill="FFFFFF"/>
        <w:spacing w:before="0" w:beforeAutospacing="0" w:after="0" w:afterAutospacing="0" w:line="276" w:lineRule="auto"/>
        <w:jc w:val="both"/>
        <w:rPr>
          <w:rFonts w:ascii="Quicksand" w:hAnsi="Quicksand" w:cstheme="minorHAnsi"/>
          <w:color w:val="1D2125"/>
          <w:sz w:val="18"/>
          <w:szCs w:val="18"/>
        </w:rPr>
      </w:pPr>
      <w:r w:rsidRPr="00086C4E">
        <w:rPr>
          <w:rStyle w:val="Textoennegrita"/>
          <w:rFonts w:ascii="Quicksand" w:hAnsi="Quicksand" w:cstheme="minorHAnsi"/>
          <w:color w:val="1D2125"/>
          <w:sz w:val="18"/>
          <w:szCs w:val="18"/>
        </w:rPr>
        <w:t>Ratio de liquidez: </w:t>
      </w:r>
      <w:r w:rsidRPr="00086C4E">
        <w:rPr>
          <w:rFonts w:ascii="Quicksand" w:hAnsi="Quicksand" w:cstheme="minorHAnsi"/>
          <w:color w:val="1D2125"/>
          <w:sz w:val="18"/>
          <w:szCs w:val="18"/>
        </w:rPr>
        <w:t>Activo corriente - existencias / Pasivo corriente. </w:t>
      </w:r>
    </w:p>
    <w:p w14:paraId="6F2C50D9" w14:textId="1F442120" w:rsidR="007B7005" w:rsidRPr="00086C4E" w:rsidRDefault="007B7005" w:rsidP="00BD002D">
      <w:pPr>
        <w:pStyle w:val="NormalWeb"/>
        <w:numPr>
          <w:ilvl w:val="0"/>
          <w:numId w:val="2"/>
        </w:numPr>
        <w:shd w:val="clear" w:color="auto" w:fill="FFFFFF"/>
        <w:spacing w:before="0" w:beforeAutospacing="0" w:after="240" w:afterAutospacing="0" w:line="276" w:lineRule="auto"/>
        <w:jc w:val="both"/>
        <w:rPr>
          <w:rStyle w:val="Textoennegrita"/>
          <w:rFonts w:ascii="Quicksand" w:hAnsi="Quicksand" w:cstheme="minorHAnsi"/>
          <w:b w:val="0"/>
          <w:bCs w:val="0"/>
          <w:color w:val="1D2125"/>
          <w:sz w:val="18"/>
          <w:szCs w:val="18"/>
        </w:rPr>
      </w:pPr>
      <w:r w:rsidRPr="00086C4E">
        <w:rPr>
          <w:rStyle w:val="Textoennegrita"/>
          <w:rFonts w:ascii="Quicksand" w:hAnsi="Quicksand" w:cstheme="minorHAnsi"/>
          <w:color w:val="1D2125"/>
          <w:sz w:val="18"/>
          <w:szCs w:val="18"/>
        </w:rPr>
        <w:t>Ratio de endeudamiento: </w:t>
      </w:r>
      <w:r w:rsidRPr="00086C4E">
        <w:rPr>
          <w:rFonts w:ascii="Quicksand" w:hAnsi="Quicksand" w:cstheme="minorHAnsi"/>
          <w:color w:val="1D2125"/>
          <w:sz w:val="18"/>
          <w:szCs w:val="18"/>
        </w:rPr>
        <w:t>Pasivo / (patrimonio + pasivo) </w:t>
      </w:r>
    </w:p>
    <w:p w14:paraId="6AF165E1" w14:textId="295390B0" w:rsidR="007B7005" w:rsidRPr="00086C4E" w:rsidRDefault="007B7005" w:rsidP="00BD002D">
      <w:pPr>
        <w:pStyle w:val="NormalWeb"/>
        <w:numPr>
          <w:ilvl w:val="0"/>
          <w:numId w:val="1"/>
        </w:numPr>
        <w:shd w:val="clear" w:color="auto" w:fill="FFFFFF"/>
        <w:spacing w:before="0" w:beforeAutospacing="0" w:after="240" w:afterAutospacing="0" w:line="276" w:lineRule="auto"/>
        <w:jc w:val="both"/>
        <w:rPr>
          <w:rStyle w:val="Textoennegrita"/>
          <w:rFonts w:ascii="Quicksand" w:hAnsi="Quicksand" w:cstheme="minorHAnsi"/>
          <w:b w:val="0"/>
          <w:bCs w:val="0"/>
          <w:color w:val="1D2125"/>
          <w:sz w:val="18"/>
          <w:szCs w:val="18"/>
        </w:rPr>
      </w:pPr>
      <w:r w:rsidRPr="00086C4E">
        <w:rPr>
          <w:rStyle w:val="Textoennegrita"/>
          <w:rFonts w:ascii="Quicksand" w:hAnsi="Quicksand" w:cstheme="minorHAnsi"/>
          <w:color w:val="1D2125"/>
          <w:sz w:val="18"/>
          <w:szCs w:val="18"/>
        </w:rPr>
        <w:t>Fondo de maniobra de una empresa:</w:t>
      </w:r>
      <w:r w:rsidRPr="00086C4E">
        <w:rPr>
          <w:rFonts w:ascii="Quicksand" w:hAnsi="Quicksand" w:cstheme="minorHAnsi"/>
          <w:color w:val="1D2125"/>
          <w:sz w:val="18"/>
          <w:szCs w:val="18"/>
        </w:rPr>
        <w:t> </w:t>
      </w:r>
    </w:p>
    <w:p w14:paraId="56F8448C" w14:textId="799C6BD5" w:rsidR="007B7005" w:rsidRPr="00086C4E" w:rsidRDefault="007B7005" w:rsidP="007B7005">
      <w:pPr>
        <w:pStyle w:val="NormalWeb"/>
        <w:numPr>
          <w:ilvl w:val="0"/>
          <w:numId w:val="1"/>
        </w:numPr>
        <w:shd w:val="clear" w:color="auto" w:fill="FFFFFF"/>
        <w:spacing w:before="0" w:beforeAutospacing="0" w:after="0" w:afterAutospacing="0" w:line="276" w:lineRule="auto"/>
        <w:jc w:val="both"/>
        <w:rPr>
          <w:rFonts w:ascii="Quicksand" w:hAnsi="Quicksand" w:cstheme="minorHAnsi"/>
          <w:color w:val="1D2125"/>
          <w:sz w:val="18"/>
          <w:szCs w:val="18"/>
        </w:rPr>
      </w:pPr>
      <w:r w:rsidRPr="00086C4E">
        <w:rPr>
          <w:rStyle w:val="Textoennegrita"/>
          <w:rFonts w:ascii="Quicksand" w:hAnsi="Quicksand" w:cstheme="minorHAnsi"/>
          <w:color w:val="1D2125"/>
          <w:sz w:val="18"/>
          <w:szCs w:val="18"/>
        </w:rPr>
        <w:t>Indica qué tipo impositivo se aplica del Impuesto de Sociedades en cada caso: </w:t>
      </w:r>
    </w:p>
    <w:p w14:paraId="0D6A9225" w14:textId="7BA23AB4" w:rsidR="007B7005" w:rsidRPr="00086C4E" w:rsidRDefault="007B7005" w:rsidP="007B7005">
      <w:pPr>
        <w:pStyle w:val="NormalWeb"/>
        <w:numPr>
          <w:ilvl w:val="0"/>
          <w:numId w:val="2"/>
        </w:numPr>
        <w:shd w:val="clear" w:color="auto" w:fill="FFFFFF"/>
        <w:spacing w:before="0" w:beforeAutospacing="0" w:after="0" w:afterAutospacing="0" w:line="276" w:lineRule="auto"/>
        <w:jc w:val="both"/>
        <w:rPr>
          <w:rFonts w:ascii="Quicksand" w:hAnsi="Quicksand" w:cstheme="minorHAnsi"/>
          <w:color w:val="1D2125"/>
          <w:sz w:val="18"/>
          <w:szCs w:val="18"/>
        </w:rPr>
      </w:pPr>
      <w:r w:rsidRPr="00086C4E">
        <w:rPr>
          <w:rStyle w:val="Textoennegrita"/>
          <w:rFonts w:ascii="Quicksand" w:hAnsi="Quicksand" w:cstheme="minorHAnsi"/>
          <w:color w:val="1D2125"/>
          <w:sz w:val="18"/>
          <w:szCs w:val="18"/>
        </w:rPr>
        <w:t>Sociedad cooperativa:</w:t>
      </w:r>
      <w:r w:rsidRPr="00086C4E">
        <w:rPr>
          <w:rFonts w:ascii="Quicksand" w:hAnsi="Quicksand" w:cstheme="minorHAnsi"/>
          <w:color w:val="1D2125"/>
          <w:sz w:val="18"/>
          <w:szCs w:val="18"/>
        </w:rPr>
        <w:t> </w:t>
      </w:r>
    </w:p>
    <w:p w14:paraId="4C753C67" w14:textId="053DD30E" w:rsidR="007B7005" w:rsidRPr="00086C4E" w:rsidRDefault="007B7005" w:rsidP="007B7005">
      <w:pPr>
        <w:pStyle w:val="NormalWeb"/>
        <w:numPr>
          <w:ilvl w:val="0"/>
          <w:numId w:val="2"/>
        </w:numPr>
        <w:shd w:val="clear" w:color="auto" w:fill="FFFFFF"/>
        <w:spacing w:before="0" w:beforeAutospacing="0" w:after="0" w:afterAutospacing="0" w:line="276" w:lineRule="auto"/>
        <w:jc w:val="both"/>
        <w:rPr>
          <w:rFonts w:ascii="Quicksand" w:hAnsi="Quicksand" w:cstheme="minorHAnsi"/>
          <w:color w:val="1D2125"/>
          <w:sz w:val="18"/>
          <w:szCs w:val="18"/>
        </w:rPr>
      </w:pPr>
      <w:r w:rsidRPr="00086C4E">
        <w:rPr>
          <w:rStyle w:val="Textoennegrita"/>
          <w:rFonts w:ascii="Quicksand" w:hAnsi="Quicksand" w:cstheme="minorHAnsi"/>
          <w:color w:val="1D2125"/>
          <w:sz w:val="18"/>
          <w:szCs w:val="18"/>
        </w:rPr>
        <w:t>Fondo de inversión financiero: </w:t>
      </w:r>
    </w:p>
    <w:p w14:paraId="489B26A4" w14:textId="23573605" w:rsidR="007B7005" w:rsidRPr="00086C4E" w:rsidRDefault="007B7005" w:rsidP="007B7005">
      <w:pPr>
        <w:pStyle w:val="NormalWeb"/>
        <w:numPr>
          <w:ilvl w:val="0"/>
          <w:numId w:val="2"/>
        </w:numPr>
        <w:shd w:val="clear" w:color="auto" w:fill="FFFFFF"/>
        <w:spacing w:before="0" w:beforeAutospacing="0" w:after="0" w:afterAutospacing="0" w:line="276" w:lineRule="auto"/>
        <w:jc w:val="both"/>
        <w:rPr>
          <w:rFonts w:ascii="Quicksand" w:hAnsi="Quicksand" w:cstheme="minorHAnsi"/>
          <w:color w:val="1D2125"/>
          <w:sz w:val="18"/>
          <w:szCs w:val="18"/>
        </w:rPr>
      </w:pPr>
      <w:r w:rsidRPr="00086C4E">
        <w:rPr>
          <w:rStyle w:val="Textoennegrita"/>
          <w:rFonts w:ascii="Quicksand" w:hAnsi="Quicksand" w:cstheme="minorHAnsi"/>
          <w:color w:val="1D2125"/>
          <w:sz w:val="18"/>
          <w:szCs w:val="18"/>
        </w:rPr>
        <w:t>Asociación:</w:t>
      </w:r>
      <w:r w:rsidRPr="00086C4E">
        <w:rPr>
          <w:rFonts w:ascii="Quicksand" w:hAnsi="Quicksand" w:cstheme="minorHAnsi"/>
          <w:color w:val="1D2125"/>
          <w:sz w:val="18"/>
          <w:szCs w:val="18"/>
        </w:rPr>
        <w:t> </w:t>
      </w:r>
    </w:p>
    <w:p w14:paraId="032638A6" w14:textId="5B2D72DD" w:rsidR="007B7005" w:rsidRPr="00086C4E" w:rsidRDefault="007B7005" w:rsidP="007B7005">
      <w:pPr>
        <w:pStyle w:val="NormalWeb"/>
        <w:numPr>
          <w:ilvl w:val="0"/>
          <w:numId w:val="2"/>
        </w:numPr>
        <w:shd w:val="clear" w:color="auto" w:fill="FFFFFF"/>
        <w:spacing w:before="0" w:beforeAutospacing="0" w:after="0" w:afterAutospacing="0" w:line="276" w:lineRule="auto"/>
        <w:jc w:val="both"/>
        <w:rPr>
          <w:rFonts w:ascii="Quicksand" w:hAnsi="Quicksand" w:cstheme="minorHAnsi"/>
          <w:color w:val="1D2125"/>
          <w:sz w:val="18"/>
          <w:szCs w:val="18"/>
        </w:rPr>
      </w:pPr>
      <w:r w:rsidRPr="00086C4E">
        <w:rPr>
          <w:rStyle w:val="Textoennegrita"/>
          <w:rFonts w:ascii="Quicksand" w:hAnsi="Quicksand" w:cstheme="minorHAnsi"/>
          <w:color w:val="1D2125"/>
          <w:sz w:val="18"/>
          <w:szCs w:val="18"/>
        </w:rPr>
        <w:t>Fondos de pensiones: </w:t>
      </w:r>
    </w:p>
    <w:p w14:paraId="726FEE43" w14:textId="09425910" w:rsidR="007B7005" w:rsidRPr="00086C4E" w:rsidRDefault="007B7005" w:rsidP="00BD002D">
      <w:pPr>
        <w:pStyle w:val="NormalWeb"/>
        <w:numPr>
          <w:ilvl w:val="0"/>
          <w:numId w:val="2"/>
        </w:numPr>
        <w:shd w:val="clear" w:color="auto" w:fill="FFFFFF"/>
        <w:spacing w:before="0" w:beforeAutospacing="0" w:after="240" w:afterAutospacing="0" w:line="276" w:lineRule="auto"/>
        <w:jc w:val="both"/>
        <w:rPr>
          <w:rStyle w:val="Textoennegrita"/>
          <w:rFonts w:ascii="Quicksand" w:hAnsi="Quicksand" w:cstheme="minorHAnsi"/>
          <w:b w:val="0"/>
          <w:bCs w:val="0"/>
          <w:color w:val="1D2125"/>
          <w:sz w:val="18"/>
          <w:szCs w:val="18"/>
        </w:rPr>
      </w:pPr>
      <w:r w:rsidRPr="00086C4E">
        <w:rPr>
          <w:rStyle w:val="Textoennegrita"/>
          <w:rFonts w:ascii="Quicksand" w:hAnsi="Quicksand" w:cstheme="minorHAnsi"/>
          <w:color w:val="1D2125"/>
          <w:sz w:val="18"/>
          <w:szCs w:val="18"/>
        </w:rPr>
        <w:t>Empresa en general:</w:t>
      </w:r>
      <w:r w:rsidRPr="00086C4E">
        <w:rPr>
          <w:rFonts w:ascii="Quicksand" w:hAnsi="Quicksand" w:cstheme="minorHAnsi"/>
          <w:color w:val="1D2125"/>
          <w:sz w:val="18"/>
          <w:szCs w:val="18"/>
        </w:rPr>
        <w:t> </w:t>
      </w:r>
    </w:p>
    <w:p w14:paraId="68EDF059" w14:textId="5D920558" w:rsidR="007B7005" w:rsidRPr="00086C4E" w:rsidRDefault="007B7005" w:rsidP="00BD002D">
      <w:pPr>
        <w:pStyle w:val="NormalWeb"/>
        <w:numPr>
          <w:ilvl w:val="0"/>
          <w:numId w:val="1"/>
        </w:numPr>
        <w:shd w:val="clear" w:color="auto" w:fill="FFFFFF"/>
        <w:spacing w:before="0" w:beforeAutospacing="0" w:after="240" w:afterAutospacing="0" w:line="276" w:lineRule="auto"/>
        <w:jc w:val="both"/>
        <w:rPr>
          <w:rStyle w:val="Textoennegrita"/>
          <w:rFonts w:ascii="Quicksand" w:hAnsi="Quicksand" w:cstheme="minorHAnsi"/>
          <w:b w:val="0"/>
          <w:bCs w:val="0"/>
          <w:color w:val="1D2125"/>
          <w:sz w:val="18"/>
          <w:szCs w:val="18"/>
        </w:rPr>
      </w:pPr>
      <w:r w:rsidRPr="00086C4E">
        <w:rPr>
          <w:rStyle w:val="Textoennegrita"/>
          <w:rFonts w:ascii="Quicksand" w:hAnsi="Quicksand" w:cstheme="minorHAnsi"/>
          <w:color w:val="1D2125"/>
          <w:sz w:val="18"/>
          <w:szCs w:val="18"/>
        </w:rPr>
        <w:t>Las principales consideraciones que se deben valorar a la hora de elaborar la cuenta de pérdidas y ganancias son:</w:t>
      </w:r>
    </w:p>
    <w:p w14:paraId="753C5832" w14:textId="7B438415" w:rsidR="007B7005" w:rsidRPr="00086C4E" w:rsidRDefault="007B7005" w:rsidP="00BD002D">
      <w:pPr>
        <w:pStyle w:val="NormalWeb"/>
        <w:numPr>
          <w:ilvl w:val="0"/>
          <w:numId w:val="1"/>
        </w:numPr>
        <w:shd w:val="clear" w:color="auto" w:fill="FFFFFF"/>
        <w:spacing w:before="0" w:beforeAutospacing="0" w:after="240" w:afterAutospacing="0" w:line="276" w:lineRule="auto"/>
        <w:jc w:val="both"/>
        <w:rPr>
          <w:rStyle w:val="Textoennegrita"/>
          <w:rFonts w:ascii="Quicksand" w:hAnsi="Quicksand" w:cstheme="minorHAnsi"/>
          <w:b w:val="0"/>
          <w:bCs w:val="0"/>
          <w:color w:val="1D2125"/>
          <w:sz w:val="18"/>
          <w:szCs w:val="18"/>
        </w:rPr>
      </w:pPr>
      <w:r w:rsidRPr="00086C4E">
        <w:rPr>
          <w:rStyle w:val="Textoennegrita"/>
          <w:rFonts w:ascii="Quicksand" w:hAnsi="Quicksand" w:cstheme="minorHAnsi"/>
          <w:color w:val="1D2125"/>
          <w:sz w:val="18"/>
          <w:szCs w:val="18"/>
        </w:rPr>
        <w:t>Una empresa necesita hacer una inversión en maquinaria de 25.000 euros de la que se espera recibir unos ingresos anuales de 8.300 euros. ¿Cuál sería el plazo de recuperación de la inversión?</w:t>
      </w:r>
    </w:p>
    <w:p w14:paraId="4AE28E78" w14:textId="2D74FC3E" w:rsidR="007B7005" w:rsidRPr="00086C4E" w:rsidRDefault="007B7005" w:rsidP="00BD002D">
      <w:pPr>
        <w:pStyle w:val="NormalWeb"/>
        <w:numPr>
          <w:ilvl w:val="0"/>
          <w:numId w:val="1"/>
        </w:numPr>
        <w:shd w:val="clear" w:color="auto" w:fill="FFFFFF"/>
        <w:spacing w:before="0" w:beforeAutospacing="0" w:after="240" w:afterAutospacing="0" w:line="276" w:lineRule="auto"/>
        <w:jc w:val="both"/>
        <w:rPr>
          <w:rFonts w:ascii="Quicksand" w:hAnsi="Quicksand" w:cstheme="minorHAnsi"/>
          <w:color w:val="1D2125"/>
          <w:sz w:val="18"/>
          <w:szCs w:val="18"/>
        </w:rPr>
      </w:pPr>
      <w:r w:rsidRPr="00086C4E">
        <w:rPr>
          <w:rStyle w:val="Textoennegrita"/>
          <w:rFonts w:ascii="Quicksand" w:hAnsi="Quicksand" w:cstheme="minorHAnsi"/>
          <w:color w:val="1D2125"/>
          <w:sz w:val="18"/>
          <w:szCs w:val="18"/>
        </w:rPr>
        <w:t>Diferencia entre inversión y financiación. </w:t>
      </w:r>
    </w:p>
    <w:p w14:paraId="26F45551" w14:textId="23596D9E" w:rsidR="00C606B1" w:rsidRPr="00086C4E" w:rsidRDefault="007B7005" w:rsidP="00BD002D">
      <w:pPr>
        <w:pStyle w:val="NormalWeb"/>
        <w:numPr>
          <w:ilvl w:val="0"/>
          <w:numId w:val="1"/>
        </w:numPr>
        <w:shd w:val="clear" w:color="auto" w:fill="FFFFFF"/>
        <w:spacing w:before="0" w:beforeAutospacing="0" w:after="0" w:afterAutospacing="0" w:line="276" w:lineRule="auto"/>
        <w:jc w:val="both"/>
        <w:rPr>
          <w:rFonts w:ascii="Quicksand" w:hAnsi="Quicksand" w:cstheme="minorHAnsi"/>
          <w:color w:val="1D2125"/>
          <w:sz w:val="18"/>
          <w:szCs w:val="18"/>
        </w:rPr>
      </w:pPr>
      <w:r w:rsidRPr="00086C4E">
        <w:rPr>
          <w:rStyle w:val="Textoennegrita"/>
          <w:rFonts w:ascii="Quicksand" w:hAnsi="Quicksand" w:cstheme="minorHAnsi"/>
          <w:color w:val="1D2125"/>
          <w:sz w:val="18"/>
          <w:szCs w:val="18"/>
        </w:rPr>
        <w:t>¿Qué es la memoria de la empresa?</w:t>
      </w:r>
    </w:p>
    <w:sectPr w:rsidR="00C606B1" w:rsidRPr="00086C4E">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F21A2" w14:textId="77777777" w:rsidR="0066224D" w:rsidRDefault="0066224D" w:rsidP="007B7005">
      <w:pPr>
        <w:spacing w:after="0" w:line="240" w:lineRule="auto"/>
      </w:pPr>
      <w:r>
        <w:separator/>
      </w:r>
    </w:p>
  </w:endnote>
  <w:endnote w:type="continuationSeparator" w:id="0">
    <w:p w14:paraId="4BBC2BA2" w14:textId="77777777" w:rsidR="0066224D" w:rsidRDefault="0066224D" w:rsidP="007B7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icksand">
    <w:panose1 w:val="00000000000000000000"/>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E4340" w14:textId="77777777" w:rsidR="0066224D" w:rsidRDefault="0066224D" w:rsidP="007B7005">
      <w:pPr>
        <w:spacing w:after="0" w:line="240" w:lineRule="auto"/>
      </w:pPr>
      <w:r>
        <w:separator/>
      </w:r>
    </w:p>
  </w:footnote>
  <w:footnote w:type="continuationSeparator" w:id="0">
    <w:p w14:paraId="5237FB7D" w14:textId="77777777" w:rsidR="0066224D" w:rsidRDefault="0066224D" w:rsidP="007B7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1CEFD" w14:textId="14BABCA1" w:rsidR="007B7005" w:rsidRPr="00086C4E" w:rsidRDefault="007B7005" w:rsidP="007B7005">
    <w:pPr>
      <w:shd w:val="clear" w:color="auto" w:fill="FFFFFF"/>
      <w:spacing w:line="276" w:lineRule="auto"/>
      <w:ind w:left="360" w:hanging="360"/>
      <w:jc w:val="center"/>
      <w:rPr>
        <w:rFonts w:ascii="Quicksand" w:hAnsi="Quicksand"/>
        <w:sz w:val="32"/>
        <w:szCs w:val="32"/>
      </w:rPr>
    </w:pPr>
    <w:r w:rsidRPr="00086C4E">
      <w:rPr>
        <w:rFonts w:ascii="Quicksand" w:hAnsi="Quicksand"/>
        <w:sz w:val="32"/>
        <w:szCs w:val="32"/>
      </w:rPr>
      <w:t>ACTIVIDADES DE REPASO TEMA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5EBA"/>
    <w:multiLevelType w:val="hybridMultilevel"/>
    <w:tmpl w:val="BC9C2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0C1FE7"/>
    <w:multiLevelType w:val="hybridMultilevel"/>
    <w:tmpl w:val="C0E246C4"/>
    <w:lvl w:ilvl="0" w:tplc="500AF6EE">
      <w:start w:val="1"/>
      <w:numFmt w:val="decimal"/>
      <w:lvlText w:val="%1."/>
      <w:lvlJc w:val="left"/>
      <w:pPr>
        <w:ind w:left="360" w:hanging="360"/>
      </w:pPr>
      <w:rPr>
        <w:b/>
        <w:b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625814BE"/>
    <w:multiLevelType w:val="hybridMultilevel"/>
    <w:tmpl w:val="CED2DF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005"/>
    <w:rsid w:val="00086C4E"/>
    <w:rsid w:val="0066224D"/>
    <w:rsid w:val="007B7005"/>
    <w:rsid w:val="00BD002D"/>
    <w:rsid w:val="00C606B1"/>
    <w:rsid w:val="00DA0ABF"/>
    <w:rsid w:val="00DA5C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F50EB"/>
  <w15:chartTrackingRefBased/>
  <w15:docId w15:val="{7DB66769-6E6E-4B1A-9F7A-7DB344374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B700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B7005"/>
    <w:rPr>
      <w:b/>
      <w:bCs/>
    </w:rPr>
  </w:style>
  <w:style w:type="paragraph" w:styleId="Encabezado">
    <w:name w:val="header"/>
    <w:basedOn w:val="Normal"/>
    <w:link w:val="EncabezadoCar"/>
    <w:uiPriority w:val="99"/>
    <w:unhideWhenUsed/>
    <w:rsid w:val="007B700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7005"/>
  </w:style>
  <w:style w:type="paragraph" w:styleId="Piedepgina">
    <w:name w:val="footer"/>
    <w:basedOn w:val="Normal"/>
    <w:link w:val="PiedepginaCar"/>
    <w:uiPriority w:val="99"/>
    <w:unhideWhenUsed/>
    <w:rsid w:val="007B700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7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57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170</Words>
  <Characters>938</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 Pedrajas</dc:creator>
  <cp:keywords/>
  <dc:description/>
  <cp:lastModifiedBy>Anabel Pedrajas</cp:lastModifiedBy>
  <cp:revision>5</cp:revision>
  <dcterms:created xsi:type="dcterms:W3CDTF">2022-10-08T14:25:00Z</dcterms:created>
  <dcterms:modified xsi:type="dcterms:W3CDTF">2022-10-08T14:27:00Z</dcterms:modified>
</cp:coreProperties>
</file>