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E3ED" w14:textId="271062A9"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Anota las operaciones de una empresa en las cuentas "Bancos", "Caja" y "Proveedores" con la información: </w:t>
      </w:r>
    </w:p>
    <w:p w14:paraId="51CA2162"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b/>
          <w:bCs/>
          <w:color w:val="1D2125"/>
          <w:sz w:val="18"/>
          <w:szCs w:val="18"/>
        </w:rPr>
      </w:pPr>
      <w:r w:rsidRPr="009D2BF1">
        <w:rPr>
          <w:rFonts w:ascii="Quicksand" w:hAnsi="Quicksand" w:cstheme="minorHAnsi"/>
          <w:b/>
          <w:bCs/>
          <w:color w:val="1D2125"/>
          <w:sz w:val="18"/>
          <w:szCs w:val="18"/>
        </w:rPr>
        <w:t>Saca 1.000 euros para depositarlos en la caja. La cuenta del banco tenía 2.000 euros.</w:t>
      </w:r>
    </w:p>
    <w:p w14:paraId="69AFBBAC" w14:textId="77777777"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b/>
          <w:bCs/>
          <w:color w:val="1D2125"/>
          <w:sz w:val="18"/>
          <w:szCs w:val="18"/>
        </w:rPr>
      </w:pPr>
      <w:r w:rsidRPr="009D2BF1">
        <w:rPr>
          <w:rFonts w:ascii="Quicksand" w:hAnsi="Quicksand" w:cstheme="minorHAnsi"/>
          <w:color w:val="1D2125"/>
          <w:sz w:val="18"/>
          <w:szCs w:val="18"/>
        </w:rPr>
        <w:t xml:space="preserve">En la cuenta del banco consignaremos 2.00 euros en </w:t>
      </w:r>
      <w:proofErr w:type="spellStart"/>
      <w:r w:rsidRPr="009D2BF1">
        <w:rPr>
          <w:rFonts w:ascii="Quicksand" w:hAnsi="Quicksand" w:cstheme="minorHAnsi"/>
          <w:color w:val="1D2125"/>
          <w:sz w:val="18"/>
          <w:szCs w:val="18"/>
        </w:rPr>
        <w:t>el</w:t>
      </w:r>
      <w:proofErr w:type="spellEnd"/>
      <w:r w:rsidRPr="009D2BF1">
        <w:rPr>
          <w:rFonts w:ascii="Quicksand" w:hAnsi="Quicksand" w:cstheme="minorHAnsi"/>
          <w:color w:val="1D2125"/>
          <w:sz w:val="18"/>
          <w:szCs w:val="18"/>
        </w:rPr>
        <w:t xml:space="preserve"> debe y 1.000 en el haber.</w:t>
      </w:r>
    </w:p>
    <w:p w14:paraId="699EB1ED" w14:textId="7A7EB341"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b/>
          <w:bCs/>
          <w:color w:val="1D2125"/>
          <w:sz w:val="18"/>
          <w:szCs w:val="18"/>
        </w:rPr>
      </w:pPr>
      <w:r w:rsidRPr="009D2BF1">
        <w:rPr>
          <w:rFonts w:ascii="Quicksand" w:hAnsi="Quicksand" w:cstheme="minorHAnsi"/>
          <w:color w:val="1D2125"/>
          <w:sz w:val="18"/>
          <w:szCs w:val="18"/>
        </w:rPr>
        <w:t xml:space="preserve">En la cuenta de caja consignaremos 1.000 euros en </w:t>
      </w:r>
      <w:proofErr w:type="spellStart"/>
      <w:r w:rsidRPr="009D2BF1">
        <w:rPr>
          <w:rFonts w:ascii="Quicksand" w:hAnsi="Quicksand" w:cstheme="minorHAnsi"/>
          <w:color w:val="1D2125"/>
          <w:sz w:val="18"/>
          <w:szCs w:val="18"/>
        </w:rPr>
        <w:t>el</w:t>
      </w:r>
      <w:proofErr w:type="spellEnd"/>
      <w:r w:rsidRPr="009D2BF1">
        <w:rPr>
          <w:rFonts w:ascii="Quicksand" w:hAnsi="Quicksand" w:cstheme="minorHAnsi"/>
          <w:color w:val="1D2125"/>
          <w:sz w:val="18"/>
          <w:szCs w:val="18"/>
        </w:rPr>
        <w:t xml:space="preserve"> debe</w:t>
      </w:r>
      <w:r w:rsidRPr="009D2BF1">
        <w:rPr>
          <w:rStyle w:val="Textoennegrita"/>
          <w:rFonts w:ascii="Quicksand" w:hAnsi="Quicksand" w:cstheme="minorHAnsi"/>
          <w:color w:val="1D2125"/>
          <w:sz w:val="18"/>
          <w:szCs w:val="18"/>
        </w:rPr>
        <w:t>.</w:t>
      </w:r>
    </w:p>
    <w:p w14:paraId="24B9E4D3"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b/>
          <w:bCs/>
          <w:color w:val="1D2125"/>
          <w:sz w:val="18"/>
          <w:szCs w:val="18"/>
        </w:rPr>
      </w:pPr>
      <w:r w:rsidRPr="009D2BF1">
        <w:rPr>
          <w:rFonts w:ascii="Quicksand" w:hAnsi="Quicksand" w:cstheme="minorHAnsi"/>
          <w:b/>
          <w:bCs/>
          <w:color w:val="1D2125"/>
          <w:sz w:val="18"/>
          <w:szCs w:val="18"/>
        </w:rPr>
        <w:t>Compra 4 impresoras y paga a través del banco.</w:t>
      </w:r>
    </w:p>
    <w:p w14:paraId="252E7DC8" w14:textId="77777777"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b/>
          <w:bCs/>
          <w:color w:val="1D2125"/>
          <w:sz w:val="18"/>
          <w:szCs w:val="18"/>
        </w:rPr>
      </w:pPr>
      <w:r w:rsidRPr="009D2BF1">
        <w:rPr>
          <w:rFonts w:ascii="Quicksand" w:hAnsi="Quicksand" w:cstheme="minorHAnsi"/>
          <w:color w:val="1D2125"/>
          <w:sz w:val="18"/>
          <w:szCs w:val="18"/>
        </w:rPr>
        <w:t xml:space="preserve">En la cuenta de proveedores (pasivo) consignaremos 1.500 euros en </w:t>
      </w:r>
      <w:proofErr w:type="spellStart"/>
      <w:r w:rsidRPr="009D2BF1">
        <w:rPr>
          <w:rFonts w:ascii="Quicksand" w:hAnsi="Quicksand" w:cstheme="minorHAnsi"/>
          <w:color w:val="1D2125"/>
          <w:sz w:val="18"/>
          <w:szCs w:val="18"/>
        </w:rPr>
        <w:t>el</w:t>
      </w:r>
      <w:proofErr w:type="spellEnd"/>
      <w:r w:rsidRPr="009D2BF1">
        <w:rPr>
          <w:rFonts w:ascii="Quicksand" w:hAnsi="Quicksand" w:cstheme="minorHAnsi"/>
          <w:color w:val="1D2125"/>
          <w:sz w:val="18"/>
          <w:szCs w:val="18"/>
        </w:rPr>
        <w:t xml:space="preserve"> debe.</w:t>
      </w:r>
    </w:p>
    <w:p w14:paraId="3ACEE551" w14:textId="411D8971"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b/>
          <w:bCs/>
          <w:color w:val="1D2125"/>
          <w:sz w:val="18"/>
          <w:szCs w:val="18"/>
        </w:rPr>
      </w:pPr>
      <w:r w:rsidRPr="009D2BF1">
        <w:rPr>
          <w:rFonts w:ascii="Quicksand" w:hAnsi="Quicksand" w:cstheme="minorHAnsi"/>
          <w:color w:val="1D2125"/>
          <w:sz w:val="18"/>
          <w:szCs w:val="18"/>
        </w:rPr>
        <w:t xml:space="preserve">En la cuenta de caja consignaremos 2.000 euros en </w:t>
      </w:r>
      <w:proofErr w:type="spellStart"/>
      <w:r w:rsidRPr="009D2BF1">
        <w:rPr>
          <w:rFonts w:ascii="Quicksand" w:hAnsi="Quicksand" w:cstheme="minorHAnsi"/>
          <w:color w:val="1D2125"/>
          <w:sz w:val="18"/>
          <w:szCs w:val="18"/>
        </w:rPr>
        <w:t>el</w:t>
      </w:r>
      <w:proofErr w:type="spellEnd"/>
      <w:r w:rsidRPr="009D2BF1">
        <w:rPr>
          <w:rFonts w:ascii="Quicksand" w:hAnsi="Quicksand" w:cstheme="minorHAnsi"/>
          <w:color w:val="1D2125"/>
          <w:sz w:val="18"/>
          <w:szCs w:val="18"/>
        </w:rPr>
        <w:t xml:space="preserve"> debe y en el haber 1.000 euros y 1.500 euros.</w:t>
      </w:r>
    </w:p>
    <w:p w14:paraId="12496DC9"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b/>
          <w:bCs/>
          <w:color w:val="1D2125"/>
          <w:sz w:val="18"/>
          <w:szCs w:val="18"/>
        </w:rPr>
      </w:pPr>
      <w:r w:rsidRPr="009D2BF1">
        <w:rPr>
          <w:rFonts w:ascii="Quicksand" w:hAnsi="Quicksand" w:cstheme="minorHAnsi"/>
          <w:b/>
          <w:bCs/>
          <w:color w:val="1D2125"/>
          <w:sz w:val="18"/>
          <w:szCs w:val="18"/>
        </w:rPr>
        <w:t>Compra material informático por valor de 500 euros que paga con dinero de la caja.</w:t>
      </w:r>
    </w:p>
    <w:p w14:paraId="27940D38" w14:textId="77777777"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b/>
          <w:bCs/>
          <w:color w:val="1D2125"/>
          <w:sz w:val="18"/>
          <w:szCs w:val="18"/>
        </w:rPr>
      </w:pPr>
      <w:r w:rsidRPr="009D2BF1">
        <w:rPr>
          <w:rFonts w:ascii="Quicksand" w:hAnsi="Quicksand" w:cstheme="minorHAnsi"/>
          <w:color w:val="1D2125"/>
          <w:sz w:val="18"/>
          <w:szCs w:val="18"/>
        </w:rPr>
        <w:t xml:space="preserve">En la cuenta de proveedores (pasivo) consignaremos 500 euros en </w:t>
      </w:r>
      <w:proofErr w:type="spellStart"/>
      <w:r w:rsidRPr="009D2BF1">
        <w:rPr>
          <w:rFonts w:ascii="Quicksand" w:hAnsi="Quicksand" w:cstheme="minorHAnsi"/>
          <w:color w:val="1D2125"/>
          <w:sz w:val="18"/>
          <w:szCs w:val="18"/>
        </w:rPr>
        <w:t>el</w:t>
      </w:r>
      <w:proofErr w:type="spellEnd"/>
      <w:r w:rsidRPr="009D2BF1">
        <w:rPr>
          <w:rFonts w:ascii="Quicksand" w:hAnsi="Quicksand" w:cstheme="minorHAnsi"/>
          <w:color w:val="1D2125"/>
          <w:sz w:val="18"/>
          <w:szCs w:val="18"/>
        </w:rPr>
        <w:t xml:space="preserve"> debe.</w:t>
      </w:r>
    </w:p>
    <w:p w14:paraId="3FAFE938" w14:textId="3BE3A740"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b/>
          <w:bCs/>
          <w:color w:val="1D2125"/>
          <w:sz w:val="18"/>
          <w:szCs w:val="18"/>
        </w:rPr>
      </w:pPr>
      <w:r w:rsidRPr="009D2BF1">
        <w:rPr>
          <w:rFonts w:ascii="Quicksand" w:hAnsi="Quicksand" w:cstheme="minorHAnsi"/>
          <w:color w:val="1D2125"/>
          <w:sz w:val="18"/>
          <w:szCs w:val="18"/>
        </w:rPr>
        <w:t xml:space="preserve">En la cuenta de caja consignaremos 1.000 euros en </w:t>
      </w:r>
      <w:proofErr w:type="spellStart"/>
      <w:r w:rsidRPr="009D2BF1">
        <w:rPr>
          <w:rFonts w:ascii="Quicksand" w:hAnsi="Quicksand" w:cstheme="minorHAnsi"/>
          <w:color w:val="1D2125"/>
          <w:sz w:val="18"/>
          <w:szCs w:val="18"/>
        </w:rPr>
        <w:t>el</w:t>
      </w:r>
      <w:proofErr w:type="spellEnd"/>
      <w:r w:rsidRPr="009D2BF1">
        <w:rPr>
          <w:rFonts w:ascii="Quicksand" w:hAnsi="Quicksand" w:cstheme="minorHAnsi"/>
          <w:color w:val="1D2125"/>
          <w:sz w:val="18"/>
          <w:szCs w:val="18"/>
        </w:rPr>
        <w:t xml:space="preserve"> debe y 500 euros en el haber.</w:t>
      </w:r>
    </w:p>
    <w:p w14:paraId="570A3B61" w14:textId="77777777" w:rsidR="007B7005" w:rsidRPr="009D2BF1" w:rsidRDefault="007B7005" w:rsidP="007B7005">
      <w:pPr>
        <w:pStyle w:val="NormalWeb"/>
        <w:shd w:val="clear" w:color="auto" w:fill="FFFFFF"/>
        <w:spacing w:before="0" w:beforeAutospacing="0" w:after="0" w:afterAutospacing="0" w:line="276" w:lineRule="auto"/>
        <w:jc w:val="both"/>
        <w:rPr>
          <w:rStyle w:val="Textoennegrita"/>
          <w:rFonts w:ascii="Quicksand" w:hAnsi="Quicksand" w:cstheme="minorHAnsi"/>
          <w:color w:val="1D2125"/>
          <w:sz w:val="18"/>
          <w:szCs w:val="18"/>
        </w:rPr>
      </w:pPr>
    </w:p>
    <w:p w14:paraId="5A92CD9A" w14:textId="6FBBB396"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Ratios de liquidez y endeudamiento de una empresa.</w:t>
      </w:r>
    </w:p>
    <w:p w14:paraId="4CE678FE"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Ratio de liquidez: </w:t>
      </w:r>
      <w:r w:rsidRPr="009D2BF1">
        <w:rPr>
          <w:rFonts w:ascii="Quicksand" w:hAnsi="Quicksand" w:cstheme="minorHAnsi"/>
          <w:color w:val="1D2125"/>
          <w:sz w:val="18"/>
          <w:szCs w:val="18"/>
        </w:rPr>
        <w:t>Activo corriente - existencias / Pasivo corriente. </w:t>
      </w:r>
    </w:p>
    <w:p w14:paraId="40BC7F44" w14:textId="77777777"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color w:val="1D2125"/>
          <w:sz w:val="18"/>
          <w:szCs w:val="18"/>
        </w:rPr>
      </w:pPr>
      <w:r w:rsidRPr="009D2BF1">
        <w:rPr>
          <w:rFonts w:ascii="Quicksand" w:hAnsi="Quicksand" w:cstheme="minorHAnsi"/>
          <w:color w:val="1D2125"/>
          <w:sz w:val="18"/>
          <w:szCs w:val="18"/>
        </w:rPr>
        <w:t>Ratio de liquidez: 50.000 - 8.000 / 30.000 = 1,4. </w:t>
      </w:r>
    </w:p>
    <w:p w14:paraId="1A6B2920" w14:textId="029182CC"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color w:val="1D2125"/>
          <w:sz w:val="18"/>
          <w:szCs w:val="18"/>
        </w:rPr>
      </w:pPr>
      <w:r w:rsidRPr="009D2BF1">
        <w:rPr>
          <w:rFonts w:ascii="Quicksand" w:hAnsi="Quicksand" w:cstheme="minorHAnsi"/>
          <w:color w:val="1D2125"/>
          <w:sz w:val="18"/>
          <w:szCs w:val="18"/>
        </w:rPr>
        <w:t>La liquidez es buena. Se puede hacer frente a las deudas a corto plazo, aunque no se vendan las existencias.</w:t>
      </w:r>
    </w:p>
    <w:p w14:paraId="1C1566CD"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Ratio de endeudamiento: </w:t>
      </w:r>
      <w:r w:rsidRPr="009D2BF1">
        <w:rPr>
          <w:rFonts w:ascii="Quicksand" w:hAnsi="Quicksand" w:cstheme="minorHAnsi"/>
          <w:color w:val="1D2125"/>
          <w:sz w:val="18"/>
          <w:szCs w:val="18"/>
        </w:rPr>
        <w:t>Pasivo / (patrimonio + pasivo) </w:t>
      </w:r>
    </w:p>
    <w:p w14:paraId="7C158675" w14:textId="407153CF" w:rsidR="007B7005" w:rsidRPr="009D2BF1" w:rsidRDefault="007B7005" w:rsidP="007B7005">
      <w:pPr>
        <w:pStyle w:val="NormalWeb"/>
        <w:shd w:val="clear" w:color="auto" w:fill="FFFFFF"/>
        <w:spacing w:before="0" w:beforeAutospacing="0" w:after="0" w:afterAutospacing="0" w:line="276" w:lineRule="auto"/>
        <w:ind w:left="720"/>
        <w:jc w:val="both"/>
        <w:rPr>
          <w:rFonts w:ascii="Quicksand" w:hAnsi="Quicksand" w:cstheme="minorHAnsi"/>
          <w:color w:val="1D2125"/>
          <w:sz w:val="18"/>
          <w:szCs w:val="18"/>
        </w:rPr>
      </w:pPr>
      <w:r w:rsidRPr="009D2BF1">
        <w:rPr>
          <w:rFonts w:ascii="Quicksand" w:hAnsi="Quicksand" w:cstheme="minorHAnsi"/>
          <w:color w:val="1D2125"/>
          <w:sz w:val="18"/>
          <w:szCs w:val="18"/>
        </w:rPr>
        <w:t>Ratio de endeudamiento: 60.000 / 85.000 = 0,71 En este caso el valor de las deudas es superior al de los recursos propios, pero es aceptable, ya que está entre 0,5 y 1,5.</w:t>
      </w:r>
    </w:p>
    <w:p w14:paraId="6F2C50D9" w14:textId="77777777" w:rsidR="007B7005" w:rsidRPr="009D2BF1" w:rsidRDefault="007B7005" w:rsidP="007B7005">
      <w:pPr>
        <w:pStyle w:val="NormalWeb"/>
        <w:shd w:val="clear" w:color="auto" w:fill="FFFFFF"/>
        <w:spacing w:before="0" w:beforeAutospacing="0" w:after="0" w:afterAutospacing="0" w:line="276" w:lineRule="auto"/>
        <w:jc w:val="both"/>
        <w:rPr>
          <w:rStyle w:val="Textoennegrita"/>
          <w:rFonts w:ascii="Quicksand" w:hAnsi="Quicksand" w:cstheme="minorHAnsi"/>
          <w:color w:val="1D2125"/>
          <w:sz w:val="18"/>
          <w:szCs w:val="18"/>
        </w:rPr>
      </w:pPr>
    </w:p>
    <w:p w14:paraId="60D43B5A" w14:textId="00E45E15"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Fondo de maniobra de una empresa:</w:t>
      </w:r>
      <w:r w:rsidRPr="009D2BF1">
        <w:rPr>
          <w:rFonts w:ascii="Quicksand" w:hAnsi="Quicksand" w:cstheme="minorHAnsi"/>
          <w:color w:val="1D2125"/>
          <w:sz w:val="18"/>
          <w:szCs w:val="18"/>
        </w:rPr>
        <w:t> </w:t>
      </w:r>
    </w:p>
    <w:p w14:paraId="48F5C77B" w14:textId="77777777" w:rsidR="007B7005" w:rsidRPr="009D2BF1" w:rsidRDefault="007B7005" w:rsidP="007B7005">
      <w:pPr>
        <w:pStyle w:val="NormalWeb"/>
        <w:shd w:val="clear" w:color="auto" w:fill="FFFFFF"/>
        <w:spacing w:before="0" w:beforeAutospacing="0" w:after="0" w:afterAutospacing="0" w:line="276" w:lineRule="auto"/>
        <w:ind w:left="360"/>
        <w:jc w:val="both"/>
        <w:rPr>
          <w:rFonts w:ascii="Quicksand" w:hAnsi="Quicksand" w:cstheme="minorHAnsi"/>
          <w:color w:val="1D2125"/>
          <w:sz w:val="18"/>
          <w:szCs w:val="18"/>
        </w:rPr>
      </w:pPr>
      <w:r w:rsidRPr="009D2BF1">
        <w:rPr>
          <w:rFonts w:ascii="Quicksand" w:hAnsi="Quicksand" w:cstheme="minorHAnsi"/>
          <w:color w:val="1D2125"/>
          <w:sz w:val="18"/>
          <w:szCs w:val="18"/>
        </w:rPr>
        <w:t>El fondo de maniobra es la parte del activo corriente que se financia con inversiones a largo plazo, es decir, los bienes y derechos de la empresa que son financiados con deudas a largo plazo.</w:t>
      </w:r>
    </w:p>
    <w:p w14:paraId="17F2A715" w14:textId="77777777" w:rsidR="007B7005" w:rsidRPr="009D2BF1" w:rsidRDefault="007B7005" w:rsidP="007B7005">
      <w:pPr>
        <w:pStyle w:val="NormalWeb"/>
        <w:shd w:val="clear" w:color="auto" w:fill="FFFFFF"/>
        <w:spacing w:before="0" w:beforeAutospacing="0" w:after="0" w:afterAutospacing="0" w:line="276" w:lineRule="auto"/>
        <w:ind w:left="360"/>
        <w:jc w:val="both"/>
        <w:rPr>
          <w:rFonts w:ascii="Quicksand" w:hAnsi="Quicksand" w:cstheme="minorHAnsi"/>
          <w:color w:val="1D2125"/>
          <w:sz w:val="18"/>
          <w:szCs w:val="18"/>
        </w:rPr>
      </w:pPr>
      <w:r w:rsidRPr="009D2BF1">
        <w:rPr>
          <w:rFonts w:ascii="Quicksand" w:hAnsi="Quicksand" w:cstheme="minorHAnsi"/>
          <w:color w:val="1D2125"/>
          <w:sz w:val="18"/>
          <w:szCs w:val="18"/>
        </w:rPr>
        <w:t>Fondo de maniobra = Activo corriente - pasivo corriente</w:t>
      </w:r>
    </w:p>
    <w:p w14:paraId="53008B99" w14:textId="77777777" w:rsidR="007B7005" w:rsidRPr="009D2BF1" w:rsidRDefault="007B7005" w:rsidP="007B7005">
      <w:pPr>
        <w:pStyle w:val="NormalWeb"/>
        <w:shd w:val="clear" w:color="auto" w:fill="FFFFFF"/>
        <w:spacing w:before="0" w:beforeAutospacing="0" w:after="0" w:afterAutospacing="0" w:line="276" w:lineRule="auto"/>
        <w:ind w:left="360"/>
        <w:jc w:val="both"/>
        <w:rPr>
          <w:rFonts w:ascii="Quicksand" w:hAnsi="Quicksand" w:cstheme="minorHAnsi"/>
          <w:color w:val="1D2125"/>
          <w:sz w:val="18"/>
          <w:szCs w:val="18"/>
        </w:rPr>
      </w:pPr>
      <w:r w:rsidRPr="009D2BF1">
        <w:rPr>
          <w:rFonts w:ascii="Quicksand" w:hAnsi="Quicksand" w:cstheme="minorHAnsi"/>
          <w:color w:val="1D2125"/>
          <w:sz w:val="18"/>
          <w:szCs w:val="18"/>
        </w:rPr>
        <w:t>Fondo de maniobra: 35.000 -30.000 =1,17</w:t>
      </w:r>
    </w:p>
    <w:p w14:paraId="6AF165E1" w14:textId="77777777" w:rsidR="007B7005" w:rsidRPr="009D2BF1" w:rsidRDefault="007B7005" w:rsidP="007B7005">
      <w:pPr>
        <w:pStyle w:val="NormalWeb"/>
        <w:shd w:val="clear" w:color="auto" w:fill="FFFFFF"/>
        <w:spacing w:before="0" w:beforeAutospacing="0" w:after="0" w:afterAutospacing="0" w:line="276" w:lineRule="auto"/>
        <w:jc w:val="both"/>
        <w:rPr>
          <w:rStyle w:val="Textoennegrita"/>
          <w:rFonts w:ascii="Quicksand" w:hAnsi="Quicksand" w:cstheme="minorHAnsi"/>
          <w:color w:val="1D2125"/>
          <w:sz w:val="18"/>
          <w:szCs w:val="18"/>
        </w:rPr>
      </w:pPr>
    </w:p>
    <w:p w14:paraId="56F8448C" w14:textId="799C6BD5"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Indica qué tipo impositivo se aplica del Impuesto de Sociedades en cada caso: </w:t>
      </w:r>
    </w:p>
    <w:p w14:paraId="0D6A9225"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Sociedad cooperativa:</w:t>
      </w:r>
      <w:r w:rsidRPr="009D2BF1">
        <w:rPr>
          <w:rFonts w:ascii="Quicksand" w:hAnsi="Quicksand" w:cstheme="minorHAnsi"/>
          <w:color w:val="1D2125"/>
          <w:sz w:val="18"/>
          <w:szCs w:val="18"/>
        </w:rPr>
        <w:t> 20%</w:t>
      </w:r>
    </w:p>
    <w:p w14:paraId="4C753C67"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Fondo de inversión financiero: </w:t>
      </w:r>
      <w:r w:rsidRPr="009D2BF1">
        <w:rPr>
          <w:rFonts w:ascii="Quicksand" w:hAnsi="Quicksand" w:cstheme="minorHAnsi"/>
          <w:color w:val="1D2125"/>
          <w:sz w:val="18"/>
          <w:szCs w:val="18"/>
        </w:rPr>
        <w:t>1%</w:t>
      </w:r>
    </w:p>
    <w:p w14:paraId="489B26A4"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Asociación:</w:t>
      </w:r>
      <w:r w:rsidRPr="009D2BF1">
        <w:rPr>
          <w:rFonts w:ascii="Quicksand" w:hAnsi="Quicksand" w:cstheme="minorHAnsi"/>
          <w:color w:val="1D2125"/>
          <w:sz w:val="18"/>
          <w:szCs w:val="18"/>
        </w:rPr>
        <w:t> 10%</w:t>
      </w:r>
    </w:p>
    <w:p w14:paraId="032638A6"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Fondos de pensiones: </w:t>
      </w:r>
      <w:r w:rsidRPr="009D2BF1">
        <w:rPr>
          <w:rFonts w:ascii="Quicksand" w:hAnsi="Quicksand" w:cstheme="minorHAnsi"/>
          <w:color w:val="1D2125"/>
          <w:sz w:val="18"/>
          <w:szCs w:val="18"/>
        </w:rPr>
        <w:t>0%</w:t>
      </w:r>
    </w:p>
    <w:p w14:paraId="6C57EE53" w14:textId="77777777" w:rsidR="007B7005" w:rsidRPr="009D2BF1" w:rsidRDefault="007B7005" w:rsidP="007B7005">
      <w:pPr>
        <w:pStyle w:val="NormalWeb"/>
        <w:numPr>
          <w:ilvl w:val="0"/>
          <w:numId w:val="2"/>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Empresa en general:</w:t>
      </w:r>
      <w:r w:rsidRPr="009D2BF1">
        <w:rPr>
          <w:rFonts w:ascii="Quicksand" w:hAnsi="Quicksand" w:cstheme="minorHAnsi"/>
          <w:color w:val="1D2125"/>
          <w:sz w:val="18"/>
          <w:szCs w:val="18"/>
        </w:rPr>
        <w:t> 30%</w:t>
      </w:r>
    </w:p>
    <w:p w14:paraId="726FEE43" w14:textId="77777777" w:rsidR="007B7005" w:rsidRPr="009D2BF1" w:rsidRDefault="007B7005" w:rsidP="007B7005">
      <w:pPr>
        <w:pStyle w:val="NormalWeb"/>
        <w:shd w:val="clear" w:color="auto" w:fill="FFFFFF"/>
        <w:spacing w:before="0" w:beforeAutospacing="0" w:after="0" w:afterAutospacing="0" w:line="276" w:lineRule="auto"/>
        <w:jc w:val="both"/>
        <w:rPr>
          <w:rStyle w:val="Textoennegrita"/>
          <w:rFonts w:ascii="Quicksand" w:hAnsi="Quicksand" w:cstheme="minorHAnsi"/>
          <w:color w:val="1D2125"/>
          <w:sz w:val="18"/>
          <w:szCs w:val="18"/>
        </w:rPr>
      </w:pPr>
    </w:p>
    <w:p w14:paraId="045EE4F0" w14:textId="6B1833C0"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Las principales consideraciones que se deben valorar a la hora de elaborar la cuenta de pérdidas y ganancias son:</w:t>
      </w:r>
    </w:p>
    <w:p w14:paraId="47817C44" w14:textId="039DD3CB" w:rsidR="007B7005" w:rsidRPr="009D2BF1" w:rsidRDefault="007B7005" w:rsidP="007B7005">
      <w:pPr>
        <w:pStyle w:val="NormalWeb"/>
        <w:numPr>
          <w:ilvl w:val="0"/>
          <w:numId w:val="3"/>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Fonts w:ascii="Quicksand" w:hAnsi="Quicksand" w:cstheme="minorHAnsi"/>
          <w:color w:val="1D2125"/>
          <w:sz w:val="18"/>
          <w:szCs w:val="18"/>
        </w:rPr>
        <w:t>Indicar las cantidades sin IVA.</w:t>
      </w:r>
    </w:p>
    <w:p w14:paraId="4D891591" w14:textId="58D2D090" w:rsidR="007B7005" w:rsidRPr="009D2BF1" w:rsidRDefault="007B7005" w:rsidP="007B7005">
      <w:pPr>
        <w:pStyle w:val="NormalWeb"/>
        <w:numPr>
          <w:ilvl w:val="0"/>
          <w:numId w:val="3"/>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Fonts w:ascii="Quicksand" w:hAnsi="Quicksand" w:cstheme="minorHAnsi"/>
          <w:color w:val="1D2125"/>
          <w:sz w:val="18"/>
          <w:szCs w:val="18"/>
        </w:rPr>
        <w:t>Las subvenciones se indican siempre y cuando estén concedidas.</w:t>
      </w:r>
    </w:p>
    <w:p w14:paraId="1F0D45DA" w14:textId="2A97F889" w:rsidR="007B7005" w:rsidRPr="009D2BF1" w:rsidRDefault="007B7005" w:rsidP="007B7005">
      <w:pPr>
        <w:pStyle w:val="NormalWeb"/>
        <w:numPr>
          <w:ilvl w:val="0"/>
          <w:numId w:val="3"/>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Fonts w:ascii="Quicksand" w:hAnsi="Quicksand" w:cstheme="minorHAnsi"/>
          <w:color w:val="1D2125"/>
          <w:sz w:val="18"/>
          <w:szCs w:val="18"/>
        </w:rPr>
        <w:t>Los costes variables están directamente relacionados con las ventas.</w:t>
      </w:r>
    </w:p>
    <w:p w14:paraId="5B3D7E6E" w14:textId="2326598B" w:rsidR="007B7005" w:rsidRPr="009D2BF1" w:rsidRDefault="007B7005" w:rsidP="007B7005">
      <w:pPr>
        <w:pStyle w:val="NormalWeb"/>
        <w:numPr>
          <w:ilvl w:val="0"/>
          <w:numId w:val="3"/>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Fonts w:ascii="Quicksand" w:hAnsi="Quicksand" w:cstheme="minorHAnsi"/>
          <w:color w:val="1D2125"/>
          <w:sz w:val="18"/>
          <w:szCs w:val="18"/>
        </w:rPr>
        <w:t>Los costes fijos o estructurales no dependen de las ventas.</w:t>
      </w:r>
    </w:p>
    <w:p w14:paraId="612831AD" w14:textId="407D2B28" w:rsidR="007B7005" w:rsidRPr="009D2BF1" w:rsidRDefault="007B7005" w:rsidP="007B7005">
      <w:pPr>
        <w:pStyle w:val="NormalWeb"/>
        <w:numPr>
          <w:ilvl w:val="0"/>
          <w:numId w:val="3"/>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Fonts w:ascii="Quicksand" w:hAnsi="Quicksand" w:cstheme="minorHAnsi"/>
          <w:color w:val="1D2125"/>
          <w:sz w:val="18"/>
          <w:szCs w:val="18"/>
        </w:rPr>
        <w:t>En las amortizaciones se reflejan únicamente las del inmovilizado</w:t>
      </w:r>
    </w:p>
    <w:p w14:paraId="5E06B361" w14:textId="5A434920" w:rsidR="007B7005" w:rsidRPr="009D2BF1" w:rsidRDefault="007B7005" w:rsidP="007B7005">
      <w:pPr>
        <w:pStyle w:val="NormalWeb"/>
        <w:numPr>
          <w:ilvl w:val="0"/>
          <w:numId w:val="3"/>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Fonts w:ascii="Quicksand" w:hAnsi="Quicksand" w:cstheme="minorHAnsi"/>
          <w:color w:val="1D2125"/>
          <w:sz w:val="18"/>
          <w:szCs w:val="18"/>
        </w:rPr>
        <w:t>En la partida de tributos no se indican el IRPF y el IS. Únicamente las tasas o contribuciones especiales. Los impuestos se indican al final.</w:t>
      </w:r>
    </w:p>
    <w:p w14:paraId="68EDF059" w14:textId="77777777" w:rsidR="007B7005" w:rsidRPr="009D2BF1" w:rsidRDefault="007B7005" w:rsidP="007B7005">
      <w:pPr>
        <w:pStyle w:val="NormalWeb"/>
        <w:shd w:val="clear" w:color="auto" w:fill="FFFFFF"/>
        <w:spacing w:before="0" w:beforeAutospacing="0" w:after="0" w:afterAutospacing="0" w:line="276" w:lineRule="auto"/>
        <w:jc w:val="both"/>
        <w:rPr>
          <w:rStyle w:val="Textoennegrita"/>
          <w:rFonts w:ascii="Quicksand" w:hAnsi="Quicksand" w:cstheme="minorHAnsi"/>
          <w:color w:val="1D2125"/>
          <w:sz w:val="18"/>
          <w:szCs w:val="18"/>
        </w:rPr>
      </w:pPr>
    </w:p>
    <w:p w14:paraId="421C81E8" w14:textId="4014B467"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Una empresa necesita hacer una inversión en maquinaria de 25.000 euros de la que se espera recibir unos ingresos anuales de 8.300 euros. ¿Cuál sería el plazo de recuperación de la inversión?</w:t>
      </w:r>
    </w:p>
    <w:p w14:paraId="5AB069CF" w14:textId="77777777" w:rsidR="007B7005" w:rsidRPr="009D2BF1" w:rsidRDefault="007B7005" w:rsidP="007B7005">
      <w:pPr>
        <w:pStyle w:val="NormalWeb"/>
        <w:shd w:val="clear" w:color="auto" w:fill="FFFFFF"/>
        <w:spacing w:before="0" w:beforeAutospacing="0" w:after="0" w:afterAutospacing="0" w:line="276" w:lineRule="auto"/>
        <w:ind w:left="360"/>
        <w:jc w:val="both"/>
        <w:rPr>
          <w:rFonts w:ascii="Quicksand" w:hAnsi="Quicksand" w:cstheme="minorHAnsi"/>
          <w:color w:val="1D2125"/>
          <w:sz w:val="18"/>
          <w:szCs w:val="18"/>
        </w:rPr>
      </w:pPr>
      <w:r w:rsidRPr="009D2BF1">
        <w:rPr>
          <w:rFonts w:ascii="Quicksand" w:hAnsi="Quicksand" w:cstheme="minorHAnsi"/>
          <w:color w:val="1D2125"/>
          <w:sz w:val="18"/>
          <w:szCs w:val="18"/>
        </w:rPr>
        <w:t>Con unos ingresos constantes la inversión se recuperaría en 3 años: 25.000 / 8.300 = 3, 01</w:t>
      </w:r>
    </w:p>
    <w:p w14:paraId="753C5832" w14:textId="77777777" w:rsidR="007B7005" w:rsidRPr="009D2BF1" w:rsidRDefault="007B7005" w:rsidP="007B7005">
      <w:pPr>
        <w:pStyle w:val="NormalWeb"/>
        <w:shd w:val="clear" w:color="auto" w:fill="FFFFFF"/>
        <w:spacing w:before="0" w:beforeAutospacing="0" w:after="0" w:afterAutospacing="0" w:line="276" w:lineRule="auto"/>
        <w:jc w:val="both"/>
        <w:rPr>
          <w:rStyle w:val="Textoennegrita"/>
          <w:rFonts w:ascii="Quicksand" w:hAnsi="Quicksand" w:cstheme="minorHAnsi"/>
          <w:color w:val="1D2125"/>
          <w:sz w:val="18"/>
          <w:szCs w:val="18"/>
        </w:rPr>
      </w:pPr>
    </w:p>
    <w:p w14:paraId="3CD823CF" w14:textId="21874E7D"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Diferencia entre inversión y financiación. </w:t>
      </w:r>
    </w:p>
    <w:p w14:paraId="4AE28E78" w14:textId="77777777" w:rsidR="007B7005" w:rsidRPr="009D2BF1" w:rsidRDefault="007B7005" w:rsidP="007B7005">
      <w:pPr>
        <w:pStyle w:val="NormalWeb"/>
        <w:shd w:val="clear" w:color="auto" w:fill="FFFFFF"/>
        <w:spacing w:before="0" w:beforeAutospacing="0" w:after="0" w:afterAutospacing="0" w:line="276" w:lineRule="auto"/>
        <w:ind w:left="360"/>
        <w:jc w:val="both"/>
        <w:rPr>
          <w:rFonts w:ascii="Quicksand" w:hAnsi="Quicksand" w:cstheme="minorHAnsi"/>
          <w:color w:val="1D2125"/>
          <w:sz w:val="18"/>
          <w:szCs w:val="18"/>
        </w:rPr>
      </w:pPr>
      <w:r w:rsidRPr="009D2BF1">
        <w:rPr>
          <w:rFonts w:ascii="Quicksand" w:hAnsi="Quicksand" w:cstheme="minorHAnsi"/>
          <w:color w:val="1D2125"/>
          <w:sz w:val="18"/>
          <w:szCs w:val="18"/>
        </w:rPr>
        <w:t xml:space="preserve">Inversión es la adquisición de todos aquellos recursos que la empresa necesita para funcionar. Financiación es la adquisición de fondos monetarios que permitan hacer frente a las inversiones </w:t>
      </w:r>
      <w:r w:rsidRPr="009D2BF1">
        <w:rPr>
          <w:rFonts w:ascii="Quicksand" w:hAnsi="Quicksand" w:cstheme="minorHAnsi"/>
          <w:color w:val="1D2125"/>
          <w:sz w:val="18"/>
          <w:szCs w:val="18"/>
        </w:rPr>
        <w:lastRenderedPageBreak/>
        <w:t>realizadas.  </w:t>
      </w:r>
      <w:r w:rsidRPr="009D2BF1">
        <w:rPr>
          <w:rFonts w:ascii="Quicksand" w:hAnsi="Quicksand" w:cstheme="minorHAnsi"/>
          <w:color w:val="1D2125"/>
          <w:sz w:val="18"/>
          <w:szCs w:val="18"/>
        </w:rPr>
        <w:br/>
      </w:r>
    </w:p>
    <w:p w14:paraId="70807C5D" w14:textId="7EAE3730" w:rsidR="007B7005" w:rsidRPr="009D2BF1" w:rsidRDefault="007B7005" w:rsidP="007B7005">
      <w:pPr>
        <w:pStyle w:val="NormalWeb"/>
        <w:numPr>
          <w:ilvl w:val="0"/>
          <w:numId w:val="1"/>
        </w:numPr>
        <w:shd w:val="clear" w:color="auto" w:fill="FFFFFF"/>
        <w:spacing w:before="0" w:beforeAutospacing="0" w:after="0" w:afterAutospacing="0" w:line="276" w:lineRule="auto"/>
        <w:jc w:val="both"/>
        <w:rPr>
          <w:rFonts w:ascii="Quicksand" w:hAnsi="Quicksand" w:cstheme="minorHAnsi"/>
          <w:color w:val="1D2125"/>
          <w:sz w:val="18"/>
          <w:szCs w:val="18"/>
        </w:rPr>
      </w:pPr>
      <w:r w:rsidRPr="009D2BF1">
        <w:rPr>
          <w:rStyle w:val="Textoennegrita"/>
          <w:rFonts w:ascii="Quicksand" w:hAnsi="Quicksand" w:cstheme="minorHAnsi"/>
          <w:color w:val="1D2125"/>
          <w:sz w:val="18"/>
          <w:szCs w:val="18"/>
        </w:rPr>
        <w:t>¿Qué es la memoria de la empresa?</w:t>
      </w:r>
    </w:p>
    <w:p w14:paraId="26F45551" w14:textId="7897D005" w:rsidR="00C606B1" w:rsidRPr="009D2BF1" w:rsidRDefault="007B7005" w:rsidP="007B7005">
      <w:pPr>
        <w:pStyle w:val="NormalWeb"/>
        <w:shd w:val="clear" w:color="auto" w:fill="FFFFFF"/>
        <w:spacing w:before="0" w:beforeAutospacing="0" w:after="0" w:afterAutospacing="0" w:line="276" w:lineRule="auto"/>
        <w:ind w:left="360"/>
        <w:jc w:val="both"/>
        <w:rPr>
          <w:rFonts w:ascii="Quicksand" w:hAnsi="Quicksand" w:cstheme="minorHAnsi"/>
          <w:color w:val="1D2125"/>
          <w:sz w:val="18"/>
          <w:szCs w:val="18"/>
        </w:rPr>
      </w:pPr>
      <w:r w:rsidRPr="009D2BF1">
        <w:rPr>
          <w:rFonts w:ascii="Quicksand" w:hAnsi="Quicksand" w:cstheme="minorHAnsi"/>
          <w:color w:val="1D2125"/>
          <w:sz w:val="18"/>
          <w:szCs w:val="18"/>
        </w:rPr>
        <w:t>La memoria recoge la información de las cuentas contables y la empresa en general: actividad, declaración de que las cuentas arrojan una imagen fiel, cómo se aplican los resultados obtenidos, qué normas se utilizan para el registro y la valoración de las cuentas, explicación de los fondos, situación fiscal de la empresa, etc.</w:t>
      </w:r>
    </w:p>
    <w:sectPr w:rsidR="00C606B1" w:rsidRPr="009D2BF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4BC5" w14:textId="77777777" w:rsidR="003B083F" w:rsidRDefault="003B083F" w:rsidP="007B7005">
      <w:pPr>
        <w:spacing w:after="0" w:line="240" w:lineRule="auto"/>
      </w:pPr>
      <w:r>
        <w:separator/>
      </w:r>
    </w:p>
  </w:endnote>
  <w:endnote w:type="continuationSeparator" w:id="0">
    <w:p w14:paraId="162930D6" w14:textId="77777777" w:rsidR="003B083F" w:rsidRDefault="003B083F" w:rsidP="007B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F52B" w14:textId="77777777" w:rsidR="003B083F" w:rsidRDefault="003B083F" w:rsidP="007B7005">
      <w:pPr>
        <w:spacing w:after="0" w:line="240" w:lineRule="auto"/>
      </w:pPr>
      <w:r>
        <w:separator/>
      </w:r>
    </w:p>
  </w:footnote>
  <w:footnote w:type="continuationSeparator" w:id="0">
    <w:p w14:paraId="5B041732" w14:textId="77777777" w:rsidR="003B083F" w:rsidRDefault="003B083F" w:rsidP="007B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CEFD" w14:textId="14BABCA1" w:rsidR="007B7005" w:rsidRPr="009D2BF1" w:rsidRDefault="007B7005" w:rsidP="007B7005">
    <w:pPr>
      <w:shd w:val="clear" w:color="auto" w:fill="FFFFFF"/>
      <w:spacing w:line="276" w:lineRule="auto"/>
      <w:ind w:left="360" w:hanging="360"/>
      <w:jc w:val="center"/>
      <w:rPr>
        <w:rFonts w:ascii="Quicksand" w:hAnsi="Quicksand"/>
        <w:sz w:val="32"/>
        <w:szCs w:val="32"/>
      </w:rPr>
    </w:pPr>
    <w:r w:rsidRPr="009D2BF1">
      <w:rPr>
        <w:rFonts w:ascii="Quicksand" w:hAnsi="Quicksand"/>
        <w:sz w:val="32"/>
        <w:szCs w:val="32"/>
      </w:rPr>
      <w:t>ACTIVIDADES DE REPASO TEMA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EBA"/>
    <w:multiLevelType w:val="hybridMultilevel"/>
    <w:tmpl w:val="BC9C2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C1FE7"/>
    <w:multiLevelType w:val="hybridMultilevel"/>
    <w:tmpl w:val="C0E246C4"/>
    <w:lvl w:ilvl="0" w:tplc="500AF6EE">
      <w:start w:val="1"/>
      <w:numFmt w:val="decimal"/>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25814BE"/>
    <w:multiLevelType w:val="hybridMultilevel"/>
    <w:tmpl w:val="CED2D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05"/>
    <w:rsid w:val="003B083F"/>
    <w:rsid w:val="007B7005"/>
    <w:rsid w:val="009D2BF1"/>
    <w:rsid w:val="00C606B1"/>
    <w:rsid w:val="00DA5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50EB"/>
  <w15:chartTrackingRefBased/>
  <w15:docId w15:val="{7DB66769-6E6E-4B1A-9F7A-7DB34437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70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7005"/>
    <w:rPr>
      <w:b/>
      <w:bCs/>
    </w:rPr>
  </w:style>
  <w:style w:type="paragraph" w:styleId="Encabezado">
    <w:name w:val="header"/>
    <w:basedOn w:val="Normal"/>
    <w:link w:val="EncabezadoCar"/>
    <w:uiPriority w:val="99"/>
    <w:unhideWhenUsed/>
    <w:rsid w:val="007B70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005"/>
  </w:style>
  <w:style w:type="paragraph" w:styleId="Piedepgina">
    <w:name w:val="footer"/>
    <w:basedOn w:val="Normal"/>
    <w:link w:val="PiedepginaCar"/>
    <w:uiPriority w:val="99"/>
    <w:unhideWhenUsed/>
    <w:rsid w:val="007B70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503</Words>
  <Characters>2770</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Pedrajas</dc:creator>
  <cp:keywords/>
  <dc:description/>
  <cp:lastModifiedBy>Anabel Pedrajas</cp:lastModifiedBy>
  <cp:revision>3</cp:revision>
  <dcterms:created xsi:type="dcterms:W3CDTF">2022-10-08T12:02:00Z</dcterms:created>
  <dcterms:modified xsi:type="dcterms:W3CDTF">2022-10-08T14:27:00Z</dcterms:modified>
</cp:coreProperties>
</file>