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proofErr w:type="gramStart"/>
      <w:r w:rsidRPr="00A11F8A">
        <w:rPr>
          <w:lang w:eastAsia="ru-RU" w:bidi="ru-RU"/>
        </w:rPr>
        <w:t>участников</w:t>
      </w:r>
      <w:r w:rsidR="00CA247A" w:rsidRPr="00CA247A">
        <w:rPr>
          <w:lang w:eastAsia="ru-RU" w:bidi="ru-RU"/>
        </w:rPr>
        <w:t>[</w:t>
      </w:r>
      <w:proofErr w:type="gramEnd"/>
      <w:r w:rsidR="00CA247A" w:rsidRPr="00CA247A">
        <w:rPr>
          <w:lang w:eastAsia="ru-RU" w:bidi="ru-RU"/>
        </w:rPr>
        <w:t>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</w:t>
      </w:r>
      <w:proofErr w:type="gramStart"/>
      <w:r>
        <w:rPr>
          <w:lang w:eastAsia="ru-RU" w:bidi="ru-RU"/>
        </w:rPr>
        <w:t>недвижимости</w:t>
      </w:r>
      <w:r w:rsidR="00D62866" w:rsidRPr="00D62866">
        <w:rPr>
          <w:lang w:eastAsia="ru-RU" w:bidi="ru-RU"/>
        </w:rPr>
        <w:t>[</w:t>
      </w:r>
      <w:proofErr w:type="gramEnd"/>
      <w:r w:rsidR="00D62866" w:rsidRPr="00D62866">
        <w:rPr>
          <w:lang w:eastAsia="ru-RU" w:bidi="ru-RU"/>
        </w:rPr>
        <w:t>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6E11936C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(аренда/продажа); ключевые характеристики: </w:t>
      </w:r>
      <w:commentRangeStart w:id="9"/>
      <w:r w:rsidRPr="00AD6EF6">
        <w:t>локация</w:t>
      </w:r>
      <w:commentRangeEnd w:id="9"/>
      <w:r w:rsidR="00802503">
        <w:rPr>
          <w:rStyle w:val="aff"/>
        </w:rPr>
        <w:commentReference w:id="9"/>
      </w:r>
      <w:r w:rsidRPr="00AD6EF6">
        <w:t xml:space="preserve">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0" w:name="_Toc212455482"/>
      <w:r>
        <w:t>Обзор существующих аналогов</w:t>
      </w:r>
      <w:bookmarkEnd w:id="10"/>
    </w:p>
    <w:p w14:paraId="614D62BD" w14:textId="1C7C42DB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продажи/аренды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1" w:name="_Toc212455483"/>
      <w:r>
        <w:t>Цель и задачи</w:t>
      </w:r>
      <w:bookmarkEnd w:id="1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2" w:name="_Toc212455484"/>
      <w:r>
        <w:lastRenderedPageBreak/>
        <w:t>Техническое задание</w:t>
      </w:r>
      <w:bookmarkEnd w:id="12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3" w:name="_Toc212455485"/>
      <w:r>
        <w:t>Назначение и цели разработки системы</w:t>
      </w:r>
      <w:bookmarkEnd w:id="13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6658AF85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продажи 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4" w:name="_Toc212455486"/>
      <w:r>
        <w:t>Функциональные требования</w:t>
      </w:r>
      <w:bookmarkEnd w:id="14"/>
    </w:p>
    <w:p w14:paraId="09C672CB" w14:textId="5A302E4A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(продажа/аренда),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321117B6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продажи и/или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5" w:name="_Toc212455487"/>
      <w:r>
        <w:t>Нефункциональные требования</w:t>
      </w:r>
      <w:bookmarkEnd w:id="15"/>
    </w:p>
    <w:p w14:paraId="1B676AED" w14:textId="7B0BAEBD" w:rsidR="00916593" w:rsidRDefault="00E26663" w:rsidP="00067DF4">
      <w:pPr>
        <w:pStyle w:val="20"/>
      </w:pPr>
      <w:r>
        <w:t>в</w:t>
      </w:r>
      <w:commentRangeStart w:id="16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6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6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 xml:space="preserve">озможность горизонтального масштабирования сервиса </w:t>
      </w:r>
      <w:proofErr w:type="spellStart"/>
      <w:r w:rsidR="0032643D" w:rsidRPr="0032643D">
        <w:t>инференса</w:t>
      </w:r>
      <w:proofErr w:type="spellEnd"/>
      <w:r>
        <w:t>.</w:t>
      </w:r>
    </w:p>
    <w:p w14:paraId="267B6148" w14:textId="0133272F" w:rsidR="00AC7469" w:rsidRDefault="00AC7469" w:rsidP="00067DF4">
      <w:pPr>
        <w:pStyle w:val="31"/>
      </w:pPr>
      <w:bookmarkStart w:id="17" w:name="_Toc212455488"/>
      <w:r>
        <w:lastRenderedPageBreak/>
        <w:t>Требования к аппаратно-программной платформе</w:t>
      </w:r>
      <w:bookmarkEnd w:id="17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89"/>
      <w:r>
        <w:t>Аппаратная часть</w:t>
      </w:r>
      <w:bookmarkEnd w:id="18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9" w:name="_Toc212455490"/>
      <w:r>
        <w:t>Программная часть</w:t>
      </w:r>
      <w:bookmarkEnd w:id="19"/>
    </w:p>
    <w:p w14:paraId="54EF08EB" w14:textId="4456D9A2" w:rsidR="00E061B4" w:rsidRP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6107D6">
      <w:pPr>
        <w:pStyle w:val="22"/>
        <w:numPr>
          <w:ilvl w:val="0"/>
          <w:numId w:val="57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20" w:name="_Toc212455491"/>
      <w:r>
        <w:t>Порядок контроля</w:t>
      </w:r>
      <w:bookmarkEnd w:id="20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1" w:name="_Toc212455492"/>
      <w:r>
        <w:lastRenderedPageBreak/>
        <w:t>Требования к программной документации</w:t>
      </w:r>
      <w:bookmarkEnd w:id="21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2" w:name="_Toc212455493"/>
      <w:r>
        <w:t>Стадии разработки</w:t>
      </w:r>
      <w:bookmarkEnd w:id="22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3" w:name="_Toc212455494"/>
      <w:r>
        <w:t>Этапы разработки</w:t>
      </w:r>
      <w:bookmarkEnd w:id="23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lastRenderedPageBreak/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4" w:name="_Toc212455495"/>
      <w:r>
        <w:t>Вывод по исследовательскому разделу</w:t>
      </w:r>
      <w:bookmarkEnd w:id="24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lastRenderedPageBreak/>
        <w:br w:type="page"/>
      </w:r>
    </w:p>
    <w:p w14:paraId="6A77F707" w14:textId="4B7A2693" w:rsidR="00114C28" w:rsidRDefault="00114C28" w:rsidP="00A8308B">
      <w:pPr>
        <w:pStyle w:val="a0"/>
      </w:pPr>
      <w:bookmarkStart w:id="25" w:name="_Toc212455496"/>
      <w:r>
        <w:lastRenderedPageBreak/>
        <w:t>АНАЛИТИЧЕСКИЕ РАЗДЕЛ</w:t>
      </w:r>
      <w:bookmarkEnd w:id="25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0B7D919D" w:rsidR="00FE47EF" w:rsidRDefault="00FE47EF" w:rsidP="00FE47EF">
      <w:r w:rsidRPr="00FE47EF">
        <w:t>Базовым языком выбран</w:t>
      </w:r>
      <w:r>
        <w:t xml:space="preserve"> </w:t>
      </w:r>
      <w:r>
        <w:rPr>
          <w:lang w:val="en-US"/>
        </w:rPr>
        <w:t>Python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CE1350">
      <w:pPr>
        <w:pStyle w:val="a1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CE1350">
      <w:pPr>
        <w:pStyle w:val="a1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CE1350">
      <w:pPr>
        <w:pStyle w:val="a1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CE1350">
      <w:pPr>
        <w:pStyle w:val="a1"/>
      </w:pPr>
      <w:proofErr w:type="spellStart"/>
      <w:r w:rsidRPr="00CE1350">
        <w:lastRenderedPageBreak/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627B12FF" w:rsidR="00CE1350" w:rsidRDefault="00CE1350" w:rsidP="00CE1350">
      <w:pPr>
        <w:pStyle w:val="a1"/>
      </w:pPr>
      <w:proofErr w:type="spellStart"/>
      <w:r w:rsidRPr="00CE1350">
        <w:t>LightGBM</w:t>
      </w:r>
      <w:proofErr w:type="spellEnd"/>
      <w:r w:rsidR="00F8788F">
        <w:rPr>
          <w:rStyle w:val="affd"/>
        </w:rPr>
        <w:t>/</w:t>
      </w:r>
      <w:proofErr w:type="spellStart"/>
      <w:r w:rsidR="00F8788F">
        <w:rPr>
          <w:rStyle w:val="affd"/>
        </w:rPr>
        <w:t>CatBoost</w:t>
      </w:r>
      <w:proofErr w:type="spellEnd"/>
      <w:r w:rsidR="00F8788F">
        <w:rPr>
          <w:rStyle w:val="affd"/>
        </w:rPr>
        <w:t xml:space="preserve"> / </w:t>
      </w:r>
      <w:proofErr w:type="spellStart"/>
      <w:proofErr w:type="gramStart"/>
      <w:r w:rsidR="00F8788F">
        <w:rPr>
          <w:rStyle w:val="affd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>–</w:t>
      </w:r>
      <w:proofErr w:type="gramEnd"/>
      <w:r w:rsidR="00011111">
        <w:t xml:space="preserve">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по деревьям 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44C35EC6" w:rsidR="00011111" w:rsidRDefault="00011111" w:rsidP="00011111">
      <w:pPr>
        <w:pStyle w:val="a1"/>
      </w:pPr>
      <w:r>
        <w:t>SHAP – локальные и глобальные объяснения вкладов признаков</w:t>
      </w:r>
      <w:r w:rsidRPr="00011111">
        <w:t>;</w:t>
      </w:r>
    </w:p>
    <w:p w14:paraId="44ED49F6" w14:textId="3506116A" w:rsidR="00011111" w:rsidRDefault="00011111" w:rsidP="00011111">
      <w:pPr>
        <w:pStyle w:val="a1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77777777" w:rsidR="006107D6" w:rsidRDefault="006107D6" w:rsidP="006107D6">
      <w:pPr>
        <w:pStyle w:val="22"/>
        <w:numPr>
          <w:ilvl w:val="0"/>
          <w:numId w:val="59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— учёт экспериментов, метрик и артефактов, «реестр» моделей.</w:t>
      </w:r>
    </w:p>
    <w:p w14:paraId="0E6F196B" w14:textId="77777777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— управление зависимостями.</w:t>
      </w:r>
    </w:p>
    <w:p w14:paraId="572ED40B" w14:textId="77777777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 w:rsidRPr="006107D6">
        <w:rPr>
          <w:b/>
          <w:bCs/>
        </w:rPr>
        <w:t>Docker</w:t>
      </w:r>
      <w:proofErr w:type="spellEnd"/>
      <w:r w:rsidRPr="006107D6">
        <w:t xml:space="preserve"> — 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</w:p>
    <w:p w14:paraId="507D5F50" w14:textId="77777777" w:rsidR="006107D6" w:rsidRDefault="006107D6" w:rsidP="00011111"/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144918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— REST API прототипа сервиса</w:t>
      </w:r>
      <w:r>
        <w:t>.</w:t>
      </w:r>
    </w:p>
    <w:p w14:paraId="742C94EA" w14:textId="5D382BF1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— хранилище табличных и пространственных данных.</w:t>
      </w:r>
    </w:p>
    <w:p w14:paraId="08423116" w14:textId="363A0919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— компактное </w:t>
      </w:r>
      <w:proofErr w:type="spellStart"/>
      <w:r>
        <w:t>колонночное</w:t>
      </w:r>
      <w:proofErr w:type="spellEnd"/>
      <w:r>
        <w:t xml:space="preserve"> хранилище витрин/фичей</w:t>
      </w:r>
      <w:r w:rsidRPr="006107D6">
        <w:t>.</w:t>
      </w:r>
    </w:p>
    <w:p w14:paraId="6B7BDC32" w14:textId="5FCD1977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— генерация HTML/PDF-отчётов</w:t>
      </w:r>
      <w:r>
        <w:t>.</w:t>
      </w:r>
    </w:p>
    <w:p w14:paraId="5A56CDBC" w14:textId="4775F3F6" w:rsidR="006107D6" w:rsidRDefault="006107D6" w:rsidP="006107D6">
      <w:pPr>
        <w:pStyle w:val="22"/>
        <w:numPr>
          <w:ilvl w:val="0"/>
          <w:numId w:val="58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— 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26" w:name="_Toc212455498"/>
      <w:r>
        <w:t xml:space="preserve">Обоснование </w:t>
      </w:r>
      <w:bookmarkEnd w:id="26"/>
      <w:r w:rsidR="00F8788F" w:rsidRPr="00F8788F">
        <w:t>выбора методов прогнозирования и компонентов решения</w:t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lastRenderedPageBreak/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5FCF6685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по деревьям решений и дополняется модулями неопределённости, интерпретации и отбора сопоставимых объектов. Структура и степень детализации подраздела выдержаны в духе предоставленных примеров </w:t>
      </w:r>
      <w:r w:rsidR="002A461B">
        <w:t>–</w:t>
      </w:r>
      <w:r w:rsidRPr="00F8788F">
        <w:t xml:space="preserve"> без математических выкладок, с фокусом на прикладные решения и их место в системе.</w:t>
      </w:r>
    </w:p>
    <w:p w14:paraId="6B82AF18" w14:textId="052140E3" w:rsidR="00F8788F" w:rsidRDefault="00F8788F" w:rsidP="00D40023">
      <w:r w:rsidRPr="00F8788F">
        <w:t>В качестве основного класса моделей применяются градиентные ансамбли над деревьями (</w:t>
      </w:r>
      <w:proofErr w:type="spellStart"/>
      <w:r w:rsidRPr="00F8788F">
        <w:t>CatBoost</w:t>
      </w:r>
      <w:proofErr w:type="spellEnd"/>
      <w:r w:rsidRPr="00F8788F">
        <w:t xml:space="preserve">, </w:t>
      </w:r>
      <w:proofErr w:type="spellStart"/>
      <w:r w:rsidRPr="00F8788F">
        <w:t>LightGBM</w:t>
      </w:r>
      <w:proofErr w:type="spellEnd"/>
      <w:r w:rsidRPr="00F8788F">
        <w:t xml:space="preserve">, </w:t>
      </w:r>
      <w:proofErr w:type="spellStart"/>
      <w:r w:rsidRPr="00F8788F">
        <w:t>XGBoost</w:t>
      </w:r>
      <w:proofErr w:type="spellEnd"/>
      <w:r w:rsidRPr="00F8788F">
        <w:t>). Такой выбор обусловлен</w:t>
      </w:r>
      <w:r>
        <w:t>:</w:t>
      </w:r>
    </w:p>
    <w:p w14:paraId="67C2E522" w14:textId="11FC29ED" w:rsidR="00F8788F" w:rsidRDefault="00F8788F" w:rsidP="00F8788F">
      <w:pPr>
        <w:pStyle w:val="20"/>
      </w:pPr>
      <w:r w:rsidRPr="00B85481">
        <w:rPr>
          <w:b/>
          <w:bCs/>
        </w:rPr>
        <w:t>устойчивостью к смешанным признакам</w:t>
      </w:r>
      <w:r w:rsidRPr="00F8788F">
        <w:t>. Модели адекватно работают на наборах, где присутствуют и числовые, и категориальные поля (тип дома, материал стен, состояние, класс объекта, наличие лифта/паркинга и т.д.)</w:t>
      </w:r>
      <w:r>
        <w:t>;</w:t>
      </w:r>
    </w:p>
    <w:p w14:paraId="11E12A83" w14:textId="7E87E488" w:rsidR="00F8788F" w:rsidRDefault="00F8788F" w:rsidP="00F8788F">
      <w:pPr>
        <w:pStyle w:val="20"/>
      </w:pPr>
      <w:r w:rsidRPr="00B85481">
        <w:rPr>
          <w:b/>
          <w:bCs/>
        </w:rPr>
        <w:t>нелинейностями и взаимодействиями</w:t>
      </w:r>
      <w:r w:rsidRPr="00F8788F">
        <w:t>. Деревья естественно «ловят» пороговые эффекты (близость к метро до/после 10 минут), разрывы и сложные взаимодействия признаков без ручного конструирования большого числа полиномиальных или кросс-признаков</w:t>
      </w:r>
      <w:r>
        <w:t>;</w:t>
      </w:r>
    </w:p>
    <w:p w14:paraId="3E5720C7" w14:textId="2BD74DFE" w:rsidR="00F8788F" w:rsidRDefault="00F8788F" w:rsidP="00F8788F">
      <w:pPr>
        <w:pStyle w:val="20"/>
      </w:pPr>
      <w:r w:rsidRPr="00B85481">
        <w:rPr>
          <w:b/>
          <w:bCs/>
        </w:rPr>
        <w:t>производительностью</w:t>
      </w:r>
      <w:r w:rsidRPr="00F8788F">
        <w:t xml:space="preserve">. Реализуют быструю итеративную разработку (важно на этапе прототипирования и отбора </w:t>
      </w:r>
      <w:proofErr w:type="spellStart"/>
      <w:r w:rsidRPr="00F8788F">
        <w:t>гиперпараметров</w:t>
      </w:r>
      <w:proofErr w:type="spellEnd"/>
      <w:r w:rsidRPr="00F8788F">
        <w:t>), масштабируются на десятки/сотни тысяч объявлений.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lastRenderedPageBreak/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lastRenderedPageBreak/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772186">
      <w:pPr>
        <w:pStyle w:val="22"/>
        <w:numPr>
          <w:ilvl w:val="0"/>
          <w:numId w:val="56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772186">
      <w:pPr>
        <w:pStyle w:val="22"/>
        <w:numPr>
          <w:ilvl w:val="0"/>
          <w:numId w:val="56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lastRenderedPageBreak/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YAML-конфигами, команды </w:t>
      </w:r>
      <w:r w:rsidR="00A0774B">
        <w:t>–</w:t>
      </w:r>
      <w:r w:rsidRPr="00B85481">
        <w:t xml:space="preserve">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8F409F7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экспортируются артефакты модели (в т.ч. </w:t>
      </w:r>
      <w:r w:rsidRPr="00B85481">
        <w:rPr>
          <w:rFonts w:eastAsia="Times New Roman"/>
          <w:b/>
          <w:bCs/>
        </w:rPr>
        <w:t>ONNX</w:t>
      </w:r>
      <w:r w:rsidRPr="00B85481">
        <w:rPr>
          <w:rFonts w:eastAsia="Times New Roman"/>
        </w:rPr>
        <w:t xml:space="preserve"> там, где применимо) и </w:t>
      </w:r>
      <w:proofErr w:type="spellStart"/>
      <w:r w:rsidRPr="00B85481">
        <w:rPr>
          <w:rFonts w:eastAsia="Times New Roman"/>
          <w:b/>
          <w:bCs/>
        </w:rPr>
        <w:t>gRPC</w:t>
      </w:r>
      <w:proofErr w:type="spellEnd"/>
      <w:r w:rsidRPr="00B85481">
        <w:rPr>
          <w:rFonts w:eastAsia="Times New Roman"/>
          <w:b/>
          <w:bCs/>
        </w:rPr>
        <w:t>-контракты</w:t>
      </w:r>
      <w:r w:rsidRPr="00B85481">
        <w:rPr>
          <w:rFonts w:eastAsia="Times New Roman"/>
        </w:rPr>
        <w:t xml:space="preserve"> для </w:t>
      </w:r>
      <w:proofErr w:type="spellStart"/>
      <w:r w:rsidRPr="00B85481">
        <w:rPr>
          <w:rFonts w:eastAsia="Times New Roman"/>
        </w:rPr>
        <w:t>инференса</w:t>
      </w:r>
      <w:proofErr w:type="spellEnd"/>
      <w:r>
        <w:rPr>
          <w:rFonts w:eastAsia="Times New Roman"/>
        </w:rPr>
        <w:t>;</w:t>
      </w:r>
    </w:p>
    <w:p w14:paraId="3F475D57" w14:textId="4655D4B9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HTML/PDF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04BBF769" w:rsid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поддерживается легковесный сервис </w:t>
      </w:r>
      <w:proofErr w:type="spellStart"/>
      <w:r w:rsidRPr="00B85481">
        <w:rPr>
          <w:rFonts w:eastAsia="Times New Roman"/>
        </w:rPr>
        <w:t>инференса</w:t>
      </w:r>
      <w:proofErr w:type="spellEnd"/>
      <w:r w:rsidRPr="00B85481">
        <w:rPr>
          <w:rFonts w:eastAsia="Times New Roman"/>
        </w:rPr>
        <w:t xml:space="preserve"> с возможностью </w:t>
      </w:r>
      <w:r w:rsidRPr="00B85481">
        <w:rPr>
          <w:rFonts w:eastAsia="Times New Roman"/>
          <w:b/>
          <w:bCs/>
        </w:rPr>
        <w:t>горизонтального масштабирования</w:t>
      </w:r>
      <w:r w:rsidRPr="00B85481">
        <w:rPr>
          <w:rFonts w:eastAsia="Times New Roman"/>
        </w:rPr>
        <w:t>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E2C12FB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— при этом весь стек совместим с дальнейшей веб-интеграцией и </w:t>
      </w:r>
      <w:r w:rsidRPr="004976A4">
        <w:lastRenderedPageBreak/>
        <w:t>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lastRenderedPageBreak/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1270584C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lastRenderedPageBreak/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7F8CD4BD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организованы последовательно: из A1 в A2 передаётся нормализованное </w:t>
      </w:r>
      <w:r>
        <w:lastRenderedPageBreak/>
        <w:t xml:space="preserve">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Pr="00A0774B" w:rsidRDefault="002406A5" w:rsidP="00D2424E">
      <w:pPr>
        <w:pStyle w:val="20"/>
      </w:pPr>
      <w:r>
        <w:rPr>
          <w:rStyle w:val="affd"/>
        </w:rPr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lastRenderedPageBreak/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27" w:name="_Toc212455500"/>
      <w:commentRangeStart w:id="28"/>
      <w:r>
        <w:t>Анализ архитектуры системы</w:t>
      </w:r>
      <w:commentRangeEnd w:id="28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28"/>
      </w:r>
      <w:bookmarkEnd w:id="27"/>
    </w:p>
    <w:p w14:paraId="75E9F76C" w14:textId="34B0F70A" w:rsidR="004841AB" w:rsidRPr="006107D6" w:rsidRDefault="004841AB" w:rsidP="004841AB">
      <w:r w:rsidRPr="006107D6">
        <w:t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продажи 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(аренда/продажа), по режиму формирования интервала 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</w:t>
      </w:r>
      <w:r w:rsidRPr="006107D6">
        <w:lastRenderedPageBreak/>
        <w:t xml:space="preserve">ответ с картой и кратким отчётом. Архитектура интеллектуальной системы анализа недвижимости представлена на </w:t>
      </w:r>
      <w:commentRangeStart w:id="29"/>
      <w:r w:rsidRPr="006107D6">
        <w:t>Рисунке 2.4</w:t>
      </w:r>
      <w:commentRangeEnd w:id="29"/>
      <w:r w:rsidR="00A0774B" w:rsidRPr="006107D6">
        <w:commentReference w:id="29"/>
      </w:r>
      <w:r w:rsidRPr="006107D6">
        <w:t>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582BAED5" w:rsidR="004841AB" w:rsidRPr="006107D6" w:rsidRDefault="00A0774B" w:rsidP="004841AB">
      <w:pPr>
        <w:pStyle w:val="20"/>
      </w:pPr>
      <w:r w:rsidRPr="006107D6">
        <w:lastRenderedPageBreak/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 xml:space="preserve">етви «продажа» и 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30" w:name="_Toc212455501"/>
      <w:commentRangeStart w:id="31"/>
      <w:r>
        <w:lastRenderedPageBreak/>
        <w:t>Вывод по аналитическому разделу</w:t>
      </w:r>
      <w:commentRangeEnd w:id="31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31"/>
      </w:r>
      <w:bookmarkEnd w:id="30"/>
    </w:p>
    <w:p w14:paraId="0E57EAD1" w14:textId="2E01507C" w:rsidR="00BE0B31" w:rsidRDefault="00BE0B31" w:rsidP="00BE0B31"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(MAE/</w:t>
      </w:r>
      <w:proofErr w:type="spellStart"/>
      <w:r>
        <w:t>MedAE</w:t>
      </w:r>
      <w:proofErr w:type="spellEnd"/>
      <w:r>
        <w:t>, RMSE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 xml:space="preserve">, карта, </w:t>
      </w:r>
      <w:r>
        <w:lastRenderedPageBreak/>
        <w:t>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A8308B">
      <w:pPr>
        <w:pStyle w:val="a0"/>
      </w:pPr>
      <w:bookmarkStart w:id="32" w:name="_Toc212455502"/>
      <w:commentRangeStart w:id="33"/>
      <w:r>
        <w:lastRenderedPageBreak/>
        <w:t>ТЕХНОЛОГИЧЕСКИЙ РАЗДЕЛ</w:t>
      </w:r>
      <w:commentRangeEnd w:id="33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3"/>
      </w:r>
      <w:bookmarkEnd w:id="32"/>
    </w:p>
    <w:p w14:paraId="6808237B" w14:textId="35079909" w:rsidR="006238B1" w:rsidRDefault="00F721BF" w:rsidP="00E26663">
      <w:pPr>
        <w:pStyle w:val="23"/>
      </w:pPr>
      <w:bookmarkStart w:id="34" w:name="_Toc212455503"/>
      <w:commentRangeStart w:id="35"/>
      <w:r>
        <w:t>Описание программной реализации</w:t>
      </w:r>
      <w:commentRangeEnd w:id="35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35"/>
      </w:r>
      <w:bookmarkEnd w:id="34"/>
    </w:p>
    <w:p w14:paraId="1B461EB2" w14:textId="7EFAB185" w:rsidR="006238B1" w:rsidRDefault="00F721BF" w:rsidP="00E26663">
      <w:pPr>
        <w:pStyle w:val="23"/>
      </w:pPr>
      <w:bookmarkStart w:id="36" w:name="_Toc212455504"/>
      <w:commentRangeStart w:id="37"/>
      <w:r>
        <w:t>Тестирование приложения</w:t>
      </w:r>
      <w:commentRangeEnd w:id="37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37"/>
      </w:r>
      <w:bookmarkEnd w:id="36"/>
    </w:p>
    <w:p w14:paraId="6C14538D" w14:textId="6C7CF572" w:rsidR="006238B1" w:rsidRDefault="00F721BF" w:rsidP="00E26663">
      <w:pPr>
        <w:pStyle w:val="23"/>
      </w:pPr>
      <w:bookmarkStart w:id="38" w:name="_Toc212455505"/>
      <w:commentRangeStart w:id="39"/>
      <w:r>
        <w:t>Расчёт надёжности</w:t>
      </w:r>
      <w:commentRangeEnd w:id="39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39"/>
      </w:r>
      <w:bookmarkEnd w:id="38"/>
    </w:p>
    <w:p w14:paraId="62D62D99" w14:textId="1BB415B9" w:rsidR="006238B1" w:rsidRDefault="00F721BF" w:rsidP="00E26663">
      <w:pPr>
        <w:pStyle w:val="23"/>
      </w:pPr>
      <w:bookmarkStart w:id="40" w:name="_Toc212455506"/>
      <w:commentRangeStart w:id="41"/>
      <w:r>
        <w:t>Руководство пользователя</w:t>
      </w:r>
      <w:commentRangeEnd w:id="41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1"/>
      </w:r>
      <w:bookmarkEnd w:id="40"/>
    </w:p>
    <w:p w14:paraId="3346E56D" w14:textId="205561B3" w:rsidR="006C58E0" w:rsidRDefault="00F721BF" w:rsidP="00E26663">
      <w:pPr>
        <w:pStyle w:val="23"/>
      </w:pPr>
      <w:bookmarkStart w:id="42" w:name="_Toc212455507"/>
      <w:commentRangeStart w:id="43"/>
      <w:r>
        <w:t>Вывод по технологическому разделу</w:t>
      </w:r>
      <w:commentRangeEnd w:id="43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3"/>
      </w:r>
      <w:bookmarkEnd w:id="42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1C79BE8F" w14:textId="014B7D5E" w:rsidR="001F2DE4" w:rsidRDefault="006C58E0" w:rsidP="005C4711">
      <w:pPr>
        <w:pStyle w:val="1a"/>
        <w:rPr>
          <w:lang w:bidi="ru-RU"/>
        </w:rPr>
      </w:pPr>
      <w:bookmarkStart w:id="44" w:name="_Toc212455508"/>
      <w:commentRangeStart w:id="45"/>
      <w:r>
        <w:rPr>
          <w:lang w:bidi="ru-RU"/>
        </w:rPr>
        <w:lastRenderedPageBreak/>
        <w:t>ЗАКЛЮЧЕНИЕ</w:t>
      </w:r>
      <w:commentRangeEnd w:id="45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45"/>
      </w:r>
      <w:bookmarkEnd w:id="44"/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46" w:name="_Toc212455509"/>
      <w:r>
        <w:lastRenderedPageBreak/>
        <w:t>СПИСОК ИСПОЛЬЗОВАННЫХ ИСТОЧНИКОВ</w:t>
      </w:r>
      <w:bookmarkEnd w:id="46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6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7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8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9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9" w:author="Grigor Ogannisyan" w:date="2025-10-29T14:37:00Z" w:initials="GO">
    <w:p w14:paraId="289BFD8E" w14:textId="77777777" w:rsidR="00802503" w:rsidRDefault="00802503" w:rsidP="00802503">
      <w:pPr>
        <w:pStyle w:val="aff0"/>
        <w:ind w:firstLine="0"/>
      </w:pPr>
      <w:r>
        <w:rPr>
          <w:rStyle w:val="aff"/>
        </w:rPr>
        <w:annotationRef/>
      </w:r>
      <w:r>
        <w:t>Сделать списком</w:t>
      </w:r>
    </w:p>
    <w:p w14:paraId="270B50DE" w14:textId="0E10766D" w:rsidR="00802503" w:rsidRPr="00802503" w:rsidRDefault="00802503" w:rsidP="00802503">
      <w:pPr>
        <w:pStyle w:val="aff0"/>
        <w:ind w:firstLine="0"/>
      </w:pPr>
    </w:p>
  </w:comment>
  <w:comment w:id="16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8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29" w:author="Grigor Ogannisyan" w:date="2025-11-13T17:44:00Z" w:initials="GO">
    <w:p w14:paraId="6581229A" w14:textId="77777777" w:rsidR="00A0774B" w:rsidRDefault="00A0774B">
      <w:pPr>
        <w:pStyle w:val="aff0"/>
      </w:pPr>
      <w:r>
        <w:rPr>
          <w:rStyle w:val="aff"/>
        </w:rPr>
        <w:annotationRef/>
      </w:r>
      <w:r>
        <w:t>Переделать правильно</w:t>
      </w:r>
    </w:p>
    <w:p w14:paraId="39ECB7B0" w14:textId="4929D946" w:rsidR="00A0774B" w:rsidRDefault="00A0774B">
      <w:pPr>
        <w:pStyle w:val="aff0"/>
      </w:pPr>
    </w:p>
  </w:comment>
  <w:comment w:id="31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3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35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37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39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1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3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45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270B50DE" w15:done="0"/>
  <w15:commentEx w15:paraId="727E02D9" w15:done="0"/>
  <w15:commentEx w15:paraId="27390798" w15:done="0"/>
  <w15:commentEx w15:paraId="39ECB7B0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CA518" w16cex:dateUtc="2025-10-29T11:37:00Z"/>
  <w16cex:commentExtensible w16cex:durableId="2CA89681" w16cex:dateUtc="2025-10-26T09:45:00Z"/>
  <w16cex:commentExtensible w16cex:durableId="2E967F56" w16cex:dateUtc="2024-12-07T11:08:00Z"/>
  <w16cex:commentExtensible w16cex:durableId="2CC09760" w16cex:dateUtc="2025-11-13T14:44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270B50DE" w16cid:durableId="2CACA518"/>
  <w16cid:commentId w16cid:paraId="727E02D9" w16cid:durableId="2CA89681"/>
  <w16cid:commentId w16cid:paraId="27390798" w16cid:durableId="2E967F56"/>
  <w16cid:commentId w16cid:paraId="39ECB7B0" w16cid:durableId="2CC09760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69BDC" w14:textId="77777777" w:rsidR="00A74DCB" w:rsidRDefault="00A74DCB" w:rsidP="00802503">
      <w:pPr>
        <w:spacing w:line="240" w:lineRule="auto"/>
      </w:pPr>
      <w:r>
        <w:separator/>
      </w:r>
    </w:p>
  </w:endnote>
  <w:endnote w:type="continuationSeparator" w:id="0">
    <w:p w14:paraId="654D1D85" w14:textId="77777777" w:rsidR="00A74DCB" w:rsidRDefault="00A74DCB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8FCE0" w14:textId="77777777" w:rsidR="00A74DCB" w:rsidRDefault="00A74DCB" w:rsidP="00802503">
      <w:pPr>
        <w:spacing w:line="240" w:lineRule="auto"/>
      </w:pPr>
      <w:r>
        <w:separator/>
      </w:r>
    </w:p>
  </w:footnote>
  <w:footnote w:type="continuationSeparator" w:id="0">
    <w:p w14:paraId="30ADD0CE" w14:textId="77777777" w:rsidR="00A74DCB" w:rsidRDefault="00A74DCB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90ACA858"/>
    <w:lvl w:ilvl="0" w:tplc="B6B48A02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 w:numId="57">
    <w:abstractNumId w:val="23"/>
    <w:lvlOverride w:ilvl="0">
      <w:startOverride w:val="1"/>
    </w:lvlOverride>
  </w:num>
  <w:num w:numId="58">
    <w:abstractNumId w:val="23"/>
    <w:lvlOverride w:ilvl="0">
      <w:startOverride w:val="1"/>
    </w:lvlOverride>
  </w:num>
  <w:num w:numId="59">
    <w:abstractNumId w:val="23"/>
    <w:lvlOverride w:ilvl="0">
      <w:startOverride w:val="1"/>
    </w:lvlOverride>
  </w:num>
  <w:numIdMacAtCleanup w:val="5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404C"/>
    <w:rsid w:val="0010622D"/>
    <w:rsid w:val="00112200"/>
    <w:rsid w:val="001132E1"/>
    <w:rsid w:val="00114C28"/>
    <w:rsid w:val="001315E6"/>
    <w:rsid w:val="00137785"/>
    <w:rsid w:val="0016024F"/>
    <w:rsid w:val="00165447"/>
    <w:rsid w:val="00183EF8"/>
    <w:rsid w:val="001A0D31"/>
    <w:rsid w:val="001A13FA"/>
    <w:rsid w:val="001B0649"/>
    <w:rsid w:val="001C0669"/>
    <w:rsid w:val="001F2DE4"/>
    <w:rsid w:val="001F2E95"/>
    <w:rsid w:val="00200992"/>
    <w:rsid w:val="002143AD"/>
    <w:rsid w:val="00216CCD"/>
    <w:rsid w:val="00220741"/>
    <w:rsid w:val="00222D2D"/>
    <w:rsid w:val="002406A5"/>
    <w:rsid w:val="00245FA7"/>
    <w:rsid w:val="00263E83"/>
    <w:rsid w:val="00265B55"/>
    <w:rsid w:val="00271235"/>
    <w:rsid w:val="002867B9"/>
    <w:rsid w:val="00292C3D"/>
    <w:rsid w:val="002970DE"/>
    <w:rsid w:val="00297D8D"/>
    <w:rsid w:val="002A22D5"/>
    <w:rsid w:val="002A461B"/>
    <w:rsid w:val="002C2F1A"/>
    <w:rsid w:val="002E40AF"/>
    <w:rsid w:val="00306E5A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13462"/>
    <w:rsid w:val="00426361"/>
    <w:rsid w:val="00445691"/>
    <w:rsid w:val="004507FE"/>
    <w:rsid w:val="00452969"/>
    <w:rsid w:val="00457C3B"/>
    <w:rsid w:val="004714CE"/>
    <w:rsid w:val="004770A7"/>
    <w:rsid w:val="004841AB"/>
    <w:rsid w:val="004962DD"/>
    <w:rsid w:val="004976A4"/>
    <w:rsid w:val="004C25F5"/>
    <w:rsid w:val="004C33BE"/>
    <w:rsid w:val="004F002D"/>
    <w:rsid w:val="004F2CD3"/>
    <w:rsid w:val="004F4A7D"/>
    <w:rsid w:val="0050712E"/>
    <w:rsid w:val="0051242D"/>
    <w:rsid w:val="005134A9"/>
    <w:rsid w:val="00525FBB"/>
    <w:rsid w:val="00545515"/>
    <w:rsid w:val="005473E2"/>
    <w:rsid w:val="00553EA8"/>
    <w:rsid w:val="005550BD"/>
    <w:rsid w:val="005564E9"/>
    <w:rsid w:val="00566B71"/>
    <w:rsid w:val="00571A38"/>
    <w:rsid w:val="005750ED"/>
    <w:rsid w:val="00575991"/>
    <w:rsid w:val="00575EB0"/>
    <w:rsid w:val="005817EA"/>
    <w:rsid w:val="00581C4A"/>
    <w:rsid w:val="005826F9"/>
    <w:rsid w:val="005B08EF"/>
    <w:rsid w:val="005C2233"/>
    <w:rsid w:val="005C34A6"/>
    <w:rsid w:val="005C4711"/>
    <w:rsid w:val="005C5D37"/>
    <w:rsid w:val="005C608E"/>
    <w:rsid w:val="005C78C6"/>
    <w:rsid w:val="005D6222"/>
    <w:rsid w:val="005F49C0"/>
    <w:rsid w:val="005F5D96"/>
    <w:rsid w:val="00601F4C"/>
    <w:rsid w:val="0060233A"/>
    <w:rsid w:val="006107D6"/>
    <w:rsid w:val="006228B0"/>
    <w:rsid w:val="006238B1"/>
    <w:rsid w:val="00627953"/>
    <w:rsid w:val="00640875"/>
    <w:rsid w:val="0064341F"/>
    <w:rsid w:val="006450EF"/>
    <w:rsid w:val="0065333C"/>
    <w:rsid w:val="00665AD7"/>
    <w:rsid w:val="0068565D"/>
    <w:rsid w:val="00695994"/>
    <w:rsid w:val="006A44D2"/>
    <w:rsid w:val="006B4B1E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72186"/>
    <w:rsid w:val="00777450"/>
    <w:rsid w:val="007B3C1E"/>
    <w:rsid w:val="007D5405"/>
    <w:rsid w:val="007F2ABF"/>
    <w:rsid w:val="007F71F3"/>
    <w:rsid w:val="00802503"/>
    <w:rsid w:val="00823ABD"/>
    <w:rsid w:val="008265AA"/>
    <w:rsid w:val="008305CE"/>
    <w:rsid w:val="00836B59"/>
    <w:rsid w:val="00842005"/>
    <w:rsid w:val="00845538"/>
    <w:rsid w:val="00851D36"/>
    <w:rsid w:val="008575E0"/>
    <w:rsid w:val="00866309"/>
    <w:rsid w:val="008803B1"/>
    <w:rsid w:val="00884D41"/>
    <w:rsid w:val="00895A56"/>
    <w:rsid w:val="008A3897"/>
    <w:rsid w:val="008D6DAD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D0CA1"/>
    <w:rsid w:val="009D1A93"/>
    <w:rsid w:val="009D6BB0"/>
    <w:rsid w:val="009E2114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4F3D"/>
    <w:rsid w:val="00A555E4"/>
    <w:rsid w:val="00A57772"/>
    <w:rsid w:val="00A71F38"/>
    <w:rsid w:val="00A74C65"/>
    <w:rsid w:val="00A74DCB"/>
    <w:rsid w:val="00A77FE2"/>
    <w:rsid w:val="00A8308B"/>
    <w:rsid w:val="00A85AF7"/>
    <w:rsid w:val="00AA24F0"/>
    <w:rsid w:val="00AA4FA0"/>
    <w:rsid w:val="00AC0F33"/>
    <w:rsid w:val="00AC7469"/>
    <w:rsid w:val="00AD4FE6"/>
    <w:rsid w:val="00AD6EF6"/>
    <w:rsid w:val="00AD7574"/>
    <w:rsid w:val="00AE22B5"/>
    <w:rsid w:val="00AE48CF"/>
    <w:rsid w:val="00B1520B"/>
    <w:rsid w:val="00B24D11"/>
    <w:rsid w:val="00B504A6"/>
    <w:rsid w:val="00B50792"/>
    <w:rsid w:val="00B7682A"/>
    <w:rsid w:val="00B810F0"/>
    <w:rsid w:val="00B85481"/>
    <w:rsid w:val="00BA232D"/>
    <w:rsid w:val="00BB5DA6"/>
    <w:rsid w:val="00BB63A7"/>
    <w:rsid w:val="00BE0B31"/>
    <w:rsid w:val="00BF1954"/>
    <w:rsid w:val="00C007BB"/>
    <w:rsid w:val="00C1202F"/>
    <w:rsid w:val="00C232F0"/>
    <w:rsid w:val="00C24ED8"/>
    <w:rsid w:val="00C33669"/>
    <w:rsid w:val="00C4475F"/>
    <w:rsid w:val="00C4477F"/>
    <w:rsid w:val="00C45D09"/>
    <w:rsid w:val="00C55E47"/>
    <w:rsid w:val="00C61C48"/>
    <w:rsid w:val="00C658C6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CE1350"/>
    <w:rsid w:val="00CE2F88"/>
    <w:rsid w:val="00D06564"/>
    <w:rsid w:val="00D141DF"/>
    <w:rsid w:val="00D1432F"/>
    <w:rsid w:val="00D2424E"/>
    <w:rsid w:val="00D2450E"/>
    <w:rsid w:val="00D25128"/>
    <w:rsid w:val="00D40023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E061B4"/>
    <w:rsid w:val="00E15160"/>
    <w:rsid w:val="00E26663"/>
    <w:rsid w:val="00E33FBC"/>
    <w:rsid w:val="00E34234"/>
    <w:rsid w:val="00E628C8"/>
    <w:rsid w:val="00E74E94"/>
    <w:rsid w:val="00E86ADA"/>
    <w:rsid w:val="00E9158D"/>
    <w:rsid w:val="00E92A20"/>
    <w:rsid w:val="00E937C1"/>
    <w:rsid w:val="00EA518C"/>
    <w:rsid w:val="00EB0BA6"/>
    <w:rsid w:val="00EB508C"/>
    <w:rsid w:val="00EC1AD7"/>
    <w:rsid w:val="00EC5940"/>
    <w:rsid w:val="00EC6282"/>
    <w:rsid w:val="00EF5737"/>
    <w:rsid w:val="00F06859"/>
    <w:rsid w:val="00F07638"/>
    <w:rsid w:val="00F138CB"/>
    <w:rsid w:val="00F172BC"/>
    <w:rsid w:val="00F23D28"/>
    <w:rsid w:val="00F62592"/>
    <w:rsid w:val="00F66928"/>
    <w:rsid w:val="00F721BF"/>
    <w:rsid w:val="00F72266"/>
    <w:rsid w:val="00F8788F"/>
    <w:rsid w:val="00F94FCE"/>
    <w:rsid w:val="00F9765B"/>
    <w:rsid w:val="00FA7207"/>
    <w:rsid w:val="00FA7353"/>
    <w:rsid w:val="00FA775B"/>
    <w:rsid w:val="00FB184A"/>
    <w:rsid w:val="00FE47EF"/>
    <w:rsid w:val="00FE6A4D"/>
    <w:rsid w:val="00FF0602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br.ru/statistics/bank_sector/mortgag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cntd.ru/document/1200082859/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hyperlink" Target="https://realty.yandex.ru/moskva/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927</TotalTime>
  <Pages>34</Pages>
  <Words>5147</Words>
  <Characters>29339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47</cp:revision>
  <dcterms:created xsi:type="dcterms:W3CDTF">2025-10-26T10:02:00Z</dcterms:created>
  <dcterms:modified xsi:type="dcterms:W3CDTF">2025-11-16T09:20:00Z</dcterms:modified>
</cp:coreProperties>
</file>