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32"/>
          <w:szCs w:val="32"/>
        </w:rPr>
      </w:pPr>
      <w:r>
        <w:rPr>
          <w:rFonts w:hint="eastAsia" w:ascii="宋体" w:hAnsi="宋体"/>
          <w:sz w:val="32"/>
          <w:szCs w:val="32"/>
        </w:rPr>
        <w:t xml:space="preserve">  </w:t>
      </w:r>
      <w:r>
        <w:rPr>
          <w:rFonts w:hint="eastAsia" w:ascii="宋体" w:hAnsi="宋体"/>
          <w:sz w:val="32"/>
          <w:szCs w:val="32"/>
        </w:rPr>
        <w:drawing>
          <wp:inline distT="0" distB="0" distL="114300" distR="114300">
            <wp:extent cx="913765" cy="1085850"/>
            <wp:effectExtent l="0" t="0" r="635" b="0"/>
            <wp:docPr id="52" name="图片 1" descr="200708311105553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2007083111055539956"/>
                    <pic:cNvPicPr>
                      <a:picLocks noChangeAspect="1"/>
                    </pic:cNvPicPr>
                  </pic:nvPicPr>
                  <pic:blipFill>
                    <a:blip r:embed="rId4"/>
                    <a:stretch>
                      <a:fillRect/>
                    </a:stretch>
                  </pic:blipFill>
                  <pic:spPr>
                    <a:xfrm>
                      <a:off x="0" y="0"/>
                      <a:ext cx="913765" cy="1085850"/>
                    </a:xfrm>
                    <a:prstGeom prst="rect">
                      <a:avLst/>
                    </a:prstGeom>
                    <a:noFill/>
                    <a:ln>
                      <a:noFill/>
                    </a:ln>
                  </pic:spPr>
                </pic:pic>
              </a:graphicData>
            </a:graphic>
          </wp:inline>
        </w:drawing>
      </w:r>
      <w:r>
        <w:rPr>
          <w:rFonts w:hint="eastAsia" w:ascii="宋体" w:hAnsi="宋体"/>
          <w:sz w:val="32"/>
          <w:szCs w:val="32"/>
        </w:rPr>
        <w:t xml:space="preserve">                            </w:t>
      </w:r>
    </w:p>
    <w:p>
      <w:pPr>
        <w:jc w:val="center"/>
        <w:rPr>
          <w:rFonts w:hint="eastAsia" w:ascii="楷体_GB2312" w:hAnsi="宋体" w:eastAsia="楷体_GB2312"/>
          <w:b/>
          <w:bCs/>
          <w:spacing w:val="20"/>
          <w:sz w:val="48"/>
          <w:szCs w:val="48"/>
          <w:u w:val="single"/>
        </w:rPr>
      </w:pPr>
    </w:p>
    <w:p>
      <w:pPr>
        <w:jc w:val="center"/>
        <w:rPr>
          <w:rFonts w:hint="eastAsia" w:ascii="楷体_GB2312" w:hAnsi="宋体" w:eastAsia="楷体_GB2312"/>
          <w:b/>
          <w:bCs/>
          <w:spacing w:val="20"/>
          <w:sz w:val="48"/>
          <w:szCs w:val="48"/>
        </w:rPr>
      </w:pPr>
      <w:r>
        <w:rPr>
          <w:rFonts w:hint="eastAsia" w:ascii="楷体_GB2312" w:hAnsi="宋体" w:eastAsia="楷体_GB2312"/>
          <w:b/>
          <w:bCs/>
          <w:spacing w:val="20"/>
          <w:sz w:val="48"/>
          <w:szCs w:val="48"/>
          <w:u w:val="single"/>
          <w:lang w:val="en-US" w:eastAsia="zh-CN"/>
        </w:rPr>
        <w:t>定1827-1</w:t>
      </w:r>
      <w:r>
        <w:rPr>
          <w:rFonts w:hint="eastAsia" w:ascii="楷体_GB2312" w:hAnsi="宋体" w:eastAsia="楷体_GB2312"/>
          <w:b/>
          <w:bCs/>
          <w:spacing w:val="20"/>
          <w:sz w:val="48"/>
          <w:szCs w:val="48"/>
        </w:rPr>
        <w:t>井</w:t>
      </w:r>
      <w:r>
        <w:rPr>
          <w:rFonts w:hint="eastAsia" w:ascii="楷体_GB2312" w:hAnsi="宋体" w:eastAsia="楷体_GB2312"/>
          <w:b/>
          <w:spacing w:val="20"/>
          <w:sz w:val="48"/>
          <w:szCs w:val="48"/>
          <w:lang w:val="en-US" w:eastAsia="zh-CN"/>
        </w:rPr>
        <w:t>套提100米</w:t>
      </w:r>
      <w:r>
        <w:rPr>
          <w:rFonts w:hint="eastAsia" w:ascii="楷体_GB2312" w:hAnsi="宋体" w:eastAsia="楷体_GB2312"/>
          <w:b/>
          <w:bCs/>
          <w:spacing w:val="20"/>
          <w:sz w:val="48"/>
          <w:szCs w:val="48"/>
        </w:rPr>
        <w:t>设计</w:t>
      </w:r>
    </w:p>
    <w:p>
      <w:pPr>
        <w:jc w:val="center"/>
        <w:rPr>
          <w:rFonts w:hint="eastAsia" w:ascii="楷体_GB2312" w:hAnsi="宋体" w:eastAsia="楷体_GB2312"/>
          <w:b/>
          <w:bCs/>
          <w:sz w:val="32"/>
          <w:szCs w:val="32"/>
        </w:rPr>
      </w:pPr>
    </w:p>
    <w:p>
      <w:pPr>
        <w:rPr>
          <w:rFonts w:hint="eastAsia" w:ascii="楷体_GB2312" w:hAnsi="宋体" w:eastAsia="楷体_GB2312"/>
          <w:sz w:val="28"/>
        </w:rPr>
      </w:pPr>
    </w:p>
    <w:p>
      <w:pPr>
        <w:rPr>
          <w:rFonts w:hint="eastAsia" w:ascii="楷体_GB2312" w:hAnsi="宋体" w:eastAsia="楷体_GB2312"/>
          <w:sz w:val="28"/>
        </w:rPr>
      </w:pPr>
      <w:r>
        <w:rPr>
          <w:rFonts w:hint="eastAsia" w:ascii="楷体_GB2312" w:hAnsi="宋体" w:eastAsia="楷体_GB2312"/>
          <w:sz w:val="32"/>
        </w:rPr>
        <w:t xml:space="preserve">                   </w:t>
      </w:r>
    </w:p>
    <w:p>
      <w:pPr>
        <w:rPr>
          <w:rFonts w:hint="eastAsia" w:ascii="楷体_GB2312" w:hAnsi="宋体" w:eastAsia="楷体_GB2312"/>
          <w:sz w:val="28"/>
        </w:rPr>
      </w:pPr>
    </w:p>
    <w:p>
      <w:pPr>
        <w:rPr>
          <w:rFonts w:hint="eastAsia" w:ascii="楷体_GB2312" w:hAnsi="宋体" w:eastAsia="楷体_GB2312"/>
          <w:sz w:val="28"/>
        </w:rPr>
      </w:pPr>
    </w:p>
    <w:p>
      <w:pPr>
        <w:rPr>
          <w:rFonts w:hint="eastAsia" w:ascii="楷体_GB2312" w:hAnsi="宋体" w:eastAsia="楷体_GB2312"/>
          <w:sz w:val="28"/>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tabs>
          <w:tab w:val="left" w:pos="4719"/>
        </w:tabs>
        <w:jc w:val="left"/>
        <w:rPr>
          <w:rFonts w:hint="eastAsia" w:ascii="楷体_GB2312" w:hAnsi="宋体" w:eastAsia="楷体_GB2312"/>
          <w:b/>
          <w:sz w:val="32"/>
        </w:rPr>
      </w:pPr>
      <w:r>
        <w:rPr>
          <w:rFonts w:hint="eastAsia" w:ascii="楷体_GB2312" w:hAnsi="宋体" w:eastAsia="楷体_GB2312"/>
          <w:b/>
          <w:sz w:val="32"/>
        </w:rPr>
        <w:tab/>
      </w:r>
    </w:p>
    <w:p>
      <w:pPr>
        <w:tabs>
          <w:tab w:val="left" w:pos="4719"/>
        </w:tabs>
        <w:jc w:val="left"/>
        <w:rPr>
          <w:rFonts w:hint="eastAsia" w:ascii="楷体_GB2312" w:hAnsi="宋体" w:eastAsia="楷体_GB2312"/>
          <w:b/>
          <w:sz w:val="32"/>
        </w:rPr>
      </w:pPr>
    </w:p>
    <w:p>
      <w:pPr>
        <w:tabs>
          <w:tab w:val="left" w:pos="4719"/>
        </w:tabs>
        <w:jc w:val="left"/>
        <w:rPr>
          <w:rFonts w:hint="eastAsia" w:ascii="楷体_GB2312" w:hAnsi="宋体" w:eastAsia="楷体_GB2312"/>
          <w:b/>
          <w:sz w:val="32"/>
        </w:rPr>
      </w:pPr>
    </w:p>
    <w:p>
      <w:pPr>
        <w:rPr>
          <w:rFonts w:hint="eastAsia" w:ascii="楷体_GB2312" w:hAnsi="宋体" w:eastAsia="楷体_GB2312"/>
          <w:b/>
          <w:sz w:val="32"/>
        </w:rPr>
      </w:pPr>
      <w:r>
        <w:rPr>
          <w:rFonts w:hint="eastAsia" w:ascii="楷体_GB2312" w:hAnsi="宋体" w:eastAsia="楷体_GB2312"/>
          <w:b/>
          <w:sz w:val="32"/>
        </w:rPr>
        <w:t xml:space="preserve">           延长油田股份有限公司定边采油厂</w:t>
      </w:r>
    </w:p>
    <w:p>
      <w:pPr>
        <w:jc w:val="center"/>
        <w:rPr>
          <w:rFonts w:hint="eastAsia" w:ascii="楷体_GB2312" w:hAnsi="宋体" w:eastAsia="楷体_GB2312"/>
          <w:b/>
          <w:sz w:val="32"/>
        </w:rPr>
      </w:pPr>
      <w:r>
        <w:rPr>
          <w:rFonts w:hint="eastAsia" w:ascii="楷体_GB2312" w:hAnsi="宋体" w:eastAsia="楷体_GB2312"/>
          <w:b/>
          <w:sz w:val="32"/>
          <w:lang w:val="en-US" w:eastAsia="zh-CN"/>
        </w:rPr>
        <w:t>东仁沟</w:t>
      </w:r>
      <w:r>
        <w:rPr>
          <w:rFonts w:hint="eastAsia" w:ascii="楷体_GB2312" w:hAnsi="宋体" w:eastAsia="楷体_GB2312"/>
          <w:b/>
          <w:sz w:val="32"/>
        </w:rPr>
        <w:t>采油队技术</w:t>
      </w:r>
      <w:r>
        <w:rPr>
          <w:rFonts w:hint="eastAsia" w:ascii="楷体_GB2312" w:hAnsi="宋体" w:eastAsia="楷体_GB2312"/>
          <w:b/>
          <w:sz w:val="32"/>
          <w:lang w:val="en-US" w:eastAsia="zh-CN"/>
        </w:rPr>
        <w:t>组</w:t>
      </w:r>
    </w:p>
    <w:p>
      <w:pPr>
        <w:jc w:val="center"/>
        <w:rPr>
          <w:rFonts w:hint="eastAsia" w:ascii="楷体_GB2312" w:hAnsi="宋体" w:eastAsia="楷体_GB2312"/>
          <w:b/>
          <w:sz w:val="32"/>
        </w:rPr>
      </w:pPr>
      <w:r>
        <w:rPr>
          <w:rFonts w:hint="eastAsia" w:ascii="楷体_GB2312" w:hAnsi="宋体" w:eastAsia="楷体_GB2312"/>
          <w:b/>
          <w:sz w:val="32"/>
        </w:rPr>
        <w:t>二零</w:t>
      </w:r>
      <w:r>
        <w:rPr>
          <w:rFonts w:hint="eastAsia" w:ascii="楷体_GB2312" w:hAnsi="宋体" w:eastAsia="楷体_GB2312"/>
          <w:b/>
          <w:sz w:val="32"/>
          <w:lang w:eastAsia="zh-CN"/>
        </w:rPr>
        <w:t>二零</w:t>
      </w:r>
      <w:r>
        <w:rPr>
          <w:rFonts w:hint="eastAsia" w:ascii="楷体_GB2312" w:hAnsi="宋体" w:eastAsia="楷体_GB2312"/>
          <w:b/>
          <w:sz w:val="32"/>
        </w:rPr>
        <w:t>年</w:t>
      </w:r>
      <w:r>
        <w:rPr>
          <w:rFonts w:hint="eastAsia" w:ascii="楷体_GB2312" w:hAnsi="宋体" w:eastAsia="楷体_GB2312"/>
          <w:b/>
          <w:sz w:val="32"/>
          <w:lang w:val="en-US" w:eastAsia="zh-CN"/>
        </w:rPr>
        <w:t>六</w:t>
      </w:r>
      <w:r>
        <w:rPr>
          <w:rFonts w:hint="eastAsia" w:ascii="楷体_GB2312" w:hAnsi="宋体" w:eastAsia="楷体_GB2312"/>
          <w:b/>
          <w:sz w:val="32"/>
        </w:rPr>
        <w:t>月</w:t>
      </w:r>
      <w:r>
        <w:rPr>
          <w:rFonts w:hint="eastAsia" w:ascii="楷体_GB2312" w:hAnsi="宋体" w:eastAsia="楷体_GB2312"/>
          <w:b/>
          <w:sz w:val="32"/>
          <w:lang w:val="en-US" w:eastAsia="zh-CN"/>
        </w:rPr>
        <w:t>二</w:t>
      </w:r>
      <w:r>
        <w:rPr>
          <w:rFonts w:hint="eastAsia" w:ascii="楷体_GB2312" w:hAnsi="宋体" w:eastAsia="楷体_GB2312"/>
          <w:b/>
          <w:sz w:val="32"/>
          <w:lang w:eastAsia="zh-CN"/>
        </w:rPr>
        <w:t>十</w:t>
      </w:r>
      <w:r>
        <w:rPr>
          <w:rFonts w:hint="eastAsia" w:ascii="楷体_GB2312" w:hAnsi="宋体" w:eastAsia="楷体_GB2312"/>
          <w:b/>
          <w:sz w:val="32"/>
          <w:lang w:val="en-US" w:eastAsia="zh-CN"/>
        </w:rPr>
        <w:t>五</w:t>
      </w:r>
      <w:r>
        <w:rPr>
          <w:rFonts w:hint="eastAsia" w:ascii="楷体_GB2312" w:hAnsi="宋体" w:eastAsia="楷体_GB2312"/>
          <w:b/>
          <w:sz w:val="32"/>
        </w:rPr>
        <w:t>日</w:t>
      </w:r>
    </w:p>
    <w:p>
      <w:pPr>
        <w:jc w:val="center"/>
        <w:rPr>
          <w:rFonts w:hint="eastAsia" w:ascii="楷体_GB2312" w:hAnsi="宋体" w:eastAsia="楷体_GB2312"/>
          <w:b/>
          <w:sz w:val="32"/>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jc w:val="center"/>
        <w:rPr>
          <w:rFonts w:hint="eastAsia"/>
          <w:sz w:val="40"/>
          <w:szCs w:val="48"/>
          <w:lang w:val="en-US" w:eastAsia="zh-CN"/>
        </w:rPr>
      </w:pPr>
    </w:p>
    <w:p>
      <w:pPr>
        <w:jc w:val="center"/>
        <w:rPr>
          <w:rFonts w:hint="default"/>
          <w:sz w:val="40"/>
          <w:szCs w:val="48"/>
          <w:lang w:val="en-US" w:eastAsia="zh-CN"/>
        </w:rPr>
      </w:pPr>
      <w:r>
        <w:rPr>
          <w:rFonts w:hint="eastAsia"/>
          <w:sz w:val="40"/>
          <w:szCs w:val="48"/>
          <w:lang w:val="en-US" w:eastAsia="zh-CN"/>
        </w:rPr>
        <w:t>定1827-1井套提100米设计</w:t>
      </w:r>
    </w:p>
    <w:p>
      <w:pPr>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经项目区指挥部动态室下发通知：</w:t>
      </w:r>
    </w:p>
    <w:p>
      <w:pPr>
        <w:ind w:firstLine="560" w:firstLineChars="200"/>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根据东仁沟采油队定1827-1井情况，经研究决定对该井的泵挂进行调整，数据如下表：</w:t>
      </w:r>
    </w:p>
    <w:tbl>
      <w:tblPr>
        <w:tblStyle w:val="3"/>
        <w:tblW w:w="9000" w:type="dxa"/>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915"/>
        <w:gridCol w:w="795"/>
        <w:gridCol w:w="1110"/>
        <w:gridCol w:w="1185"/>
        <w:gridCol w:w="645"/>
        <w:gridCol w:w="915"/>
        <w:gridCol w:w="990"/>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15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井号</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产液量</w:t>
            </w:r>
          </w:p>
        </w:tc>
        <w:tc>
          <w:tcPr>
            <w:tcW w:w="79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含水率</w:t>
            </w:r>
          </w:p>
        </w:tc>
        <w:tc>
          <w:tcPr>
            <w:tcW w:w="111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本日产油</w:t>
            </w:r>
          </w:p>
        </w:tc>
        <w:tc>
          <w:tcPr>
            <w:tcW w:w="118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投产日期</w:t>
            </w:r>
          </w:p>
        </w:tc>
        <w:tc>
          <w:tcPr>
            <w:tcW w:w="64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层位</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动液面</w:t>
            </w:r>
          </w:p>
        </w:tc>
        <w:tc>
          <w:tcPr>
            <w:tcW w:w="9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原泵挂</w:t>
            </w:r>
          </w:p>
        </w:tc>
        <w:tc>
          <w:tcPr>
            <w:tcW w:w="12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调整后泵挂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定1827-1</w:t>
            </w:r>
          </w:p>
        </w:tc>
        <w:tc>
          <w:tcPr>
            <w:tcW w:w="91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21.534</w:t>
            </w:r>
          </w:p>
        </w:tc>
        <w:tc>
          <w:tcPr>
            <w:tcW w:w="79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90</w:t>
            </w:r>
          </w:p>
        </w:tc>
        <w:tc>
          <w:tcPr>
            <w:tcW w:w="1110"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1.819</w:t>
            </w:r>
          </w:p>
        </w:tc>
        <w:tc>
          <w:tcPr>
            <w:tcW w:w="118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2012-5-8</w:t>
            </w:r>
          </w:p>
        </w:tc>
        <w:tc>
          <w:tcPr>
            <w:tcW w:w="64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长1</w:t>
            </w:r>
          </w:p>
        </w:tc>
        <w:tc>
          <w:tcPr>
            <w:tcW w:w="91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91</w:t>
            </w:r>
          </w:p>
        </w:tc>
        <w:tc>
          <w:tcPr>
            <w:tcW w:w="9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1297.82</w:t>
            </w:r>
          </w:p>
        </w:tc>
        <w:tc>
          <w:tcPr>
            <w:tcW w:w="1290"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1197.82</w:t>
            </w:r>
          </w:p>
        </w:tc>
      </w:tr>
    </w:tbl>
    <w:p>
      <w:pPr>
        <w:keepNext w:val="0"/>
        <w:keepLines w:val="0"/>
        <w:widowControl/>
        <w:suppressLineNumbers w:val="0"/>
        <w:jc w:val="center"/>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3627120" cy="19716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627120" cy="197167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0500" cy="2157730"/>
            <wp:effectExtent l="0" t="0" r="2540" b="6350"/>
            <wp:docPr id="4" name="图片 4" descr="%(4M`5SW6J$([P8H0)IV{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M`5SW6J$([P8H0)IV{9S"/>
                    <pic:cNvPicPr>
                      <a:picLocks noChangeAspect="1"/>
                    </pic:cNvPicPr>
                  </pic:nvPicPr>
                  <pic:blipFill>
                    <a:blip r:embed="rId6"/>
                    <a:stretch>
                      <a:fillRect/>
                    </a:stretch>
                  </pic:blipFill>
                  <pic:spPr>
                    <a:xfrm>
                      <a:off x="0" y="0"/>
                      <a:ext cx="5270500" cy="2157730"/>
                    </a:xfrm>
                    <a:prstGeom prst="rect">
                      <a:avLst/>
                    </a:prstGeom>
                  </pic:spPr>
                </pic:pic>
              </a:graphicData>
            </a:graphic>
          </wp:inline>
        </w:drawing>
      </w:r>
    </w:p>
    <w:p>
      <w:pPr>
        <w:rPr>
          <w:rFonts w:hint="eastAsia" w:ascii="宋体" w:hAnsi="宋体" w:eastAsia="宋体" w:cs="宋体"/>
          <w:vertAlign w:val="baseline"/>
          <w:lang w:val="en-US" w:eastAsia="zh-CN"/>
        </w:rPr>
      </w:pPr>
      <w:r>
        <w:rPr>
          <w:rFonts w:hint="eastAsia" w:ascii="宋体" w:hAnsi="宋体" w:eastAsia="宋体" w:cs="宋体"/>
          <w:lang w:val="en-US" w:eastAsia="zh-CN"/>
        </w:rPr>
        <w:t>1、定1387-2井泵挂套下50米。</w:t>
      </w:r>
    </w:p>
    <w:tbl>
      <w:tblPr>
        <w:tblStyle w:val="3"/>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调整前</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φ19</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Φ22</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Φ25</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φ73泵上</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φ73泵下</w:t>
            </w:r>
          </w:p>
        </w:tc>
        <w:tc>
          <w:tcPr>
            <w:tcW w:w="1951"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根数</w:t>
            </w:r>
          </w:p>
        </w:tc>
        <w:tc>
          <w:tcPr>
            <w:tcW w:w="1065" w:type="dxa"/>
            <w:vAlign w:val="top"/>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67</w:t>
            </w:r>
          </w:p>
        </w:tc>
        <w:tc>
          <w:tcPr>
            <w:tcW w:w="1065" w:type="dxa"/>
            <w:vAlign w:val="top"/>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92</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w:t>
            </w:r>
          </w:p>
        </w:tc>
        <w:tc>
          <w:tcPr>
            <w:tcW w:w="1065" w:type="dxa"/>
            <w:vAlign w:val="top"/>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136</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w:t>
            </w:r>
          </w:p>
        </w:tc>
        <w:tc>
          <w:tcPr>
            <w:tcW w:w="1951" w:type="dxa"/>
          </w:tcPr>
          <w:p>
            <w:pPr>
              <w:jc w:val="center"/>
              <w:rPr>
                <w:rFonts w:hint="eastAsia" w:ascii="宋体" w:hAnsi="宋体" w:eastAsia="宋体" w:cs="宋体"/>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调整后</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φ19</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Φ22</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Φ25</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φ73泵上</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φ73泵下</w:t>
            </w:r>
          </w:p>
        </w:tc>
        <w:tc>
          <w:tcPr>
            <w:tcW w:w="1951" w:type="dxa"/>
          </w:tcPr>
          <w:p>
            <w:pPr>
              <w:jc w:val="center"/>
              <w:rPr>
                <w:rFonts w:hint="eastAsia" w:ascii="宋体" w:hAnsi="宋体" w:eastAsia="宋体" w:cs="宋体"/>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根数</w:t>
            </w:r>
          </w:p>
        </w:tc>
        <w:tc>
          <w:tcPr>
            <w:tcW w:w="1065" w:type="dxa"/>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67</w:t>
            </w:r>
          </w:p>
        </w:tc>
        <w:tc>
          <w:tcPr>
            <w:tcW w:w="1065" w:type="dxa"/>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80</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w:t>
            </w:r>
          </w:p>
        </w:tc>
        <w:tc>
          <w:tcPr>
            <w:tcW w:w="1065" w:type="dxa"/>
          </w:tcPr>
          <w:p>
            <w:pPr>
              <w:jc w:val="center"/>
              <w:rPr>
                <w:rFonts w:hint="default"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126</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w:t>
            </w:r>
          </w:p>
        </w:tc>
        <w:tc>
          <w:tcPr>
            <w:tcW w:w="1951" w:type="dxa"/>
          </w:tcPr>
          <w:p>
            <w:pPr>
              <w:jc w:val="center"/>
              <w:rPr>
                <w:rFonts w:hint="eastAsia" w:ascii="宋体" w:hAnsi="宋体" w:eastAsia="宋体" w:cs="宋体"/>
                <w:sz w:val="22"/>
                <w:szCs w:val="28"/>
                <w:vertAlign w:val="baseline"/>
                <w:lang w:val="en-US" w:eastAsia="zh-CN"/>
              </w:rPr>
            </w:pPr>
            <w:bookmarkStart w:id="0" w:name="_GoBack"/>
            <w:bookmarkEnd w:id="0"/>
          </w:p>
        </w:tc>
      </w:tr>
    </w:tbl>
    <w:p>
      <w:pPr>
        <w:rPr>
          <w:rFonts w:hint="eastAsia" w:ascii="宋体" w:hAnsi="宋体" w:eastAsia="宋体" w:cs="宋体"/>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（一）安全要求：</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1、派工通知及施工设计齐全，准入资质齐全及作业人员各类操作证件齐全并随车携带（操作证件包括：司钻证、井控证、操作证、登高证、硫化氢防护培训合格证)。</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2、作业前必须由甲方进行入场安全培训、安全风险告知、安全交底、辨识井场作业期间存在的风险源、风险点并按照相关预防治理措施防范治理。</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 xml:space="preserve"> 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5、修井车轮胎前后要垫实三角木。修井车液压柱底要垫枕木，枕木直径要大于液压底盘直径3-5倍。</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6、作业人员必须正确穿戴劳保防护用品（必须穿防砸鞋）、经培训合格后，持证上岗，严禁“三违”（违章指挥、违章操作、违反劳动纪律）作业。</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7、作业队伍需配备急救箱1套，正压式空气呼吸器2套、四合一气体检测仪2台、35Kg灭火器2具，8Kg灭火器4具。</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8、作业现场必须设置警戒线、摆放警示牌、风向标、消防砂、消防锹、消防斧、消防毡并预留安全通道。严禁在作业场所修理车辆，敲打铁石。</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 xml:space="preserve"> 9、管桥架油管油杆要分开，必须使用滑车。抽油机驴头必须固定好后才可进行作业。必须配备防喷井口。使用灯具必须是防爆灯具。</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10、修井机链条装置、滚筒、绞箱等防护罩必须齐全完好；各仪表盘必须正常工作。配套设施的车辆每个排气嘴都必须配带防火罩并始终关闭，以免发生人员绞伤及火灾事故。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11、禁止在井场内私自接电，私自操作井场内设备设施；关键区域要有明确的标志牌，禁止作业人员上下储油罐台，禁止靠近排污池，施工过程防止坠落、淹溺等事故的发生。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12、作业过程中禁止在井场内交叉作业（如：同时进行原油污水拉运、锅炉车加温、外协施工焊接、维修设备等）,以免发生安全环保事故及人员伤亡事件。</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13、严格执行安全标准，作业过程中禁止锅炉加温，禁止在井场吸烟动用明火，做好消防及救护工作，防止意外事故发生，保证人身及设备安全。</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14、作业过程中禁止使用喷灯，若使用喷灯必须升级管理并纳入四级动火管理范畴，办理相关手续；作业时有专人旁站监督，杜绝明火事故发生。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15、凡是井架2m以上作业者，均属高空作业，必须系安全带；所使用的工具，在上下时必须用尾绳在身上栓牢，工作时栓在井架上；上井架时系好安全带，防止坠物砸伤及人员坠落等安全事故发生。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16、如遇到大风、暴雨或视线不清的天气禁止立放井架或高空作业。</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17、作业过程中必须履行“三级监督体系”（总监不定期抽查检查，采油站长现场旁站监督检查，驻井人员全程监督施工），确保质量，杜绝违章操作造成安全事故的发生。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18、在作业过程中，禁止闲杂人员进入作业井场，禁止作业人员井场留宿。</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（二）环保要求：</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2、修井作业完井后所产生的塑料布、污油泥等工业废料需交到采油队临时存放点存放；作业队伍在作业过程中产生的生活垃圾装入自带的编织袋分类存放于指定位置，作业完毕后打包带走处理。</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lang w:val="en-US" w:eastAsia="zh-CN"/>
        </w:rPr>
      </w:pPr>
      <w:r>
        <w:rPr>
          <w:rFonts w:hint="eastAsia" w:ascii="宋体" w:hAnsi="宋体" w:eastAsia="宋体" w:cs="宋体"/>
          <w:sz w:val="24"/>
          <w:szCs w:val="32"/>
          <w:lang w:val="en-US" w:eastAsia="zh-CN"/>
        </w:rPr>
        <w:t xml:space="preserve">    3、作业队伍在作业过程中必须配置封井器、油杆防喷器、油管旋塞，修井液体回流筒；做好溢流、井涌、井喷事故的防范措施，防止井喷事故的发生。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4、井口溢流油污、污水不得排方在井场，必须入池，由罐车运回处理，施工过程中残渣、残液不能任意排放，应全部回收，避免造成污染。</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5、车辆进出、施工操作时等工序不得污染农作物或损坏庄稼。</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6、施工现场标准必须符合国家安全环保法律法规以及陕西省、榆林市、定边县相关安全环保法规、制度，如果现场达不到要求，坚决不允许施工。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keepNext w:val="0"/>
        <w:keepLines w:val="0"/>
        <w:widowControl/>
        <w:suppressLineNumbers w:val="0"/>
        <w:jc w:val="left"/>
      </w:pPr>
    </w:p>
    <w:p>
      <w:pPr>
        <w:jc w:val="righ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2568"/>
    <w:rsid w:val="016C62E3"/>
    <w:rsid w:val="01C17810"/>
    <w:rsid w:val="01F86244"/>
    <w:rsid w:val="02885D59"/>
    <w:rsid w:val="02B1300B"/>
    <w:rsid w:val="02E415B3"/>
    <w:rsid w:val="03945D41"/>
    <w:rsid w:val="041B3895"/>
    <w:rsid w:val="043B4731"/>
    <w:rsid w:val="05E20FB9"/>
    <w:rsid w:val="068E061A"/>
    <w:rsid w:val="06B952C8"/>
    <w:rsid w:val="0747185D"/>
    <w:rsid w:val="08A9388F"/>
    <w:rsid w:val="094B7EC0"/>
    <w:rsid w:val="0AA06802"/>
    <w:rsid w:val="0C04126C"/>
    <w:rsid w:val="0D286F0C"/>
    <w:rsid w:val="0E555E33"/>
    <w:rsid w:val="1059792C"/>
    <w:rsid w:val="1093772E"/>
    <w:rsid w:val="10F01405"/>
    <w:rsid w:val="11474403"/>
    <w:rsid w:val="11720CB7"/>
    <w:rsid w:val="14230181"/>
    <w:rsid w:val="17BF49B0"/>
    <w:rsid w:val="191A57BE"/>
    <w:rsid w:val="194F2577"/>
    <w:rsid w:val="1DED1F7E"/>
    <w:rsid w:val="1ED6389F"/>
    <w:rsid w:val="1EE528D6"/>
    <w:rsid w:val="1F1D4874"/>
    <w:rsid w:val="1FA537EA"/>
    <w:rsid w:val="1FC145A5"/>
    <w:rsid w:val="20552DBF"/>
    <w:rsid w:val="216C24A0"/>
    <w:rsid w:val="21FA299A"/>
    <w:rsid w:val="2281554D"/>
    <w:rsid w:val="267F5433"/>
    <w:rsid w:val="29D25685"/>
    <w:rsid w:val="2A5C51D5"/>
    <w:rsid w:val="2FD52141"/>
    <w:rsid w:val="2FEF4A83"/>
    <w:rsid w:val="31592CBC"/>
    <w:rsid w:val="31911EC3"/>
    <w:rsid w:val="32ED6EA9"/>
    <w:rsid w:val="3538072D"/>
    <w:rsid w:val="35F9405D"/>
    <w:rsid w:val="37D00099"/>
    <w:rsid w:val="3965331D"/>
    <w:rsid w:val="39D3733E"/>
    <w:rsid w:val="39FA1480"/>
    <w:rsid w:val="3ADE3252"/>
    <w:rsid w:val="3C6E47CE"/>
    <w:rsid w:val="4035785F"/>
    <w:rsid w:val="410320D8"/>
    <w:rsid w:val="448F0F4B"/>
    <w:rsid w:val="45A0424F"/>
    <w:rsid w:val="45A35F60"/>
    <w:rsid w:val="464C6AD8"/>
    <w:rsid w:val="48132BC0"/>
    <w:rsid w:val="4B100F27"/>
    <w:rsid w:val="4BA87CB5"/>
    <w:rsid w:val="4E394A13"/>
    <w:rsid w:val="4F952BDA"/>
    <w:rsid w:val="520E538F"/>
    <w:rsid w:val="52CE2C20"/>
    <w:rsid w:val="55944DB1"/>
    <w:rsid w:val="58C63EEB"/>
    <w:rsid w:val="59A86A0E"/>
    <w:rsid w:val="5A794160"/>
    <w:rsid w:val="5BD0541E"/>
    <w:rsid w:val="5C716AA8"/>
    <w:rsid w:val="5D406DDA"/>
    <w:rsid w:val="60A32E81"/>
    <w:rsid w:val="61D60538"/>
    <w:rsid w:val="64B66C96"/>
    <w:rsid w:val="658F7DF7"/>
    <w:rsid w:val="65CF3596"/>
    <w:rsid w:val="661304D2"/>
    <w:rsid w:val="66645148"/>
    <w:rsid w:val="67DC2EAD"/>
    <w:rsid w:val="6F675DCD"/>
    <w:rsid w:val="71487973"/>
    <w:rsid w:val="72C809F3"/>
    <w:rsid w:val="736947FB"/>
    <w:rsid w:val="740A008B"/>
    <w:rsid w:val="77CB39F9"/>
    <w:rsid w:val="79393843"/>
    <w:rsid w:val="7C6E79B4"/>
    <w:rsid w:val="7E7D7CA3"/>
    <w:rsid w:val="7F5A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技术组作业监督</cp:lastModifiedBy>
  <cp:lastPrinted>2020-05-24T00:57:00Z</cp:lastPrinted>
  <dcterms:modified xsi:type="dcterms:W3CDTF">2020-07-10T10:27:30Z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