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A26" w:rsidRPr="00E772F6" w:rsidRDefault="00D61A26" w:rsidP="00D61A26">
      <w:pPr>
        <w:widowControl w:val="0"/>
        <w:spacing w:line="240" w:lineRule="auto"/>
        <w:ind w:firstLine="0"/>
        <w:jc w:val="center"/>
        <w:rPr>
          <w:rFonts w:eastAsia="Garamond" w:cs="Times New Roman"/>
          <w:sz w:val="48"/>
          <w:szCs w:val="24"/>
        </w:rPr>
      </w:pPr>
      <w:r w:rsidRPr="00E772F6">
        <w:rPr>
          <w:rFonts w:eastAsia="Garamond" w:cs="Times New Roman"/>
          <w:sz w:val="48"/>
          <w:szCs w:val="24"/>
        </w:rPr>
        <w:t xml:space="preserve">The Impact of a Carbon Tax on Inequality </w:t>
      </w:r>
    </w:p>
    <w:p w:rsidR="002F2A3D" w:rsidRPr="00E772F6" w:rsidRDefault="002F2A3D" w:rsidP="002F2A3D">
      <w:pPr>
        <w:ind w:firstLine="0"/>
        <w:jc w:val="center"/>
        <w:rPr>
          <w:sz w:val="48"/>
        </w:rPr>
      </w:pPr>
      <w:r w:rsidRPr="00E772F6">
        <w:rPr>
          <w:sz w:val="48"/>
        </w:rPr>
        <w:t>Supplemental Materials</w:t>
      </w:r>
    </w:p>
    <w:p w:rsidR="009D5B55" w:rsidRDefault="002F2A3D" w:rsidP="00265AB4">
      <w:pPr>
        <w:ind w:firstLine="0"/>
        <w:jc w:val="center"/>
      </w:pPr>
      <w:r>
        <w:t xml:space="preserve">Anders </w:t>
      </w:r>
      <w:proofErr w:type="spellStart"/>
      <w:r>
        <w:t>Fremstad</w:t>
      </w:r>
      <w:proofErr w:type="spellEnd"/>
      <w:r>
        <w:t xml:space="preserve"> &amp; Mark Paul</w:t>
      </w:r>
    </w:p>
    <w:p w:rsidR="009D5B55" w:rsidRDefault="009D5B55" w:rsidP="00265AB4">
      <w:pPr>
        <w:ind w:firstLine="0"/>
        <w:jc w:val="center"/>
      </w:pPr>
      <w:r>
        <w:t>April 24, 2019</w:t>
      </w:r>
    </w:p>
    <w:p w:rsidR="00D61A26" w:rsidRDefault="002F2A3D" w:rsidP="00E772F6">
      <w:pPr>
        <w:spacing w:line="240" w:lineRule="auto"/>
        <w:ind w:firstLine="0"/>
        <w:jc w:val="left"/>
      </w:pPr>
      <w:r>
        <w:t xml:space="preserve">This document provides supplemental materials for our paper “The Impact of </w:t>
      </w:r>
      <w:r w:rsidR="00E772F6">
        <w:t>a Carbon Tax on Inequality”. The first section describes our method for calculating the carbon footprints of U.S. households. The second section presents supplementary tables.</w:t>
      </w:r>
      <w:r w:rsidR="000F666C">
        <w:t xml:space="preserve"> Our data and </w:t>
      </w:r>
      <w:r w:rsidR="009D5B55">
        <w:t>code is available on our</w:t>
      </w:r>
      <w:r w:rsidR="000F666C">
        <w:t xml:space="preserve"> </w:t>
      </w:r>
      <w:r w:rsidR="006E0597">
        <w:t xml:space="preserve">personal </w:t>
      </w:r>
      <w:r w:rsidR="000F666C">
        <w:t>website</w:t>
      </w:r>
      <w:r w:rsidR="006E0597">
        <w:t>.</w:t>
      </w:r>
    </w:p>
    <w:p w:rsidR="009D5B55" w:rsidRDefault="009D5B55" w:rsidP="009D5B55">
      <w:pPr>
        <w:pStyle w:val="Listeafsnit"/>
        <w:spacing w:line="240" w:lineRule="auto"/>
        <w:ind w:left="540" w:firstLine="0"/>
        <w:jc w:val="left"/>
        <w:rPr>
          <w:b/>
        </w:rPr>
      </w:pPr>
    </w:p>
    <w:p w:rsidR="00D61A26" w:rsidRDefault="00D61A26" w:rsidP="009D5B55">
      <w:pPr>
        <w:pStyle w:val="Listeafsnit"/>
        <w:numPr>
          <w:ilvl w:val="0"/>
          <w:numId w:val="3"/>
        </w:numPr>
        <w:spacing w:line="240" w:lineRule="auto"/>
        <w:ind w:left="540" w:hanging="540"/>
        <w:jc w:val="left"/>
        <w:rPr>
          <w:b/>
        </w:rPr>
      </w:pPr>
      <w:r w:rsidRPr="00265AB4">
        <w:rPr>
          <w:b/>
        </w:rPr>
        <w:t>Detailed Methods</w:t>
      </w:r>
    </w:p>
    <w:p w:rsidR="00D61A26" w:rsidRPr="00553052" w:rsidRDefault="00D61A26" w:rsidP="00265AB4">
      <w:pPr>
        <w:pStyle w:val="Overskrift2"/>
        <w:numPr>
          <w:ilvl w:val="1"/>
          <w:numId w:val="2"/>
        </w:numPr>
        <w:spacing w:line="240" w:lineRule="auto"/>
      </w:pPr>
      <w:r w:rsidRPr="00553052">
        <w:t>CO</w:t>
      </w:r>
      <w:r w:rsidRPr="00C84966">
        <w:rPr>
          <w:vertAlign w:val="subscript"/>
        </w:rPr>
        <w:t>2</w:t>
      </w:r>
      <w:r w:rsidRPr="00553052">
        <w:t xml:space="preserve"> intensities </w:t>
      </w:r>
      <w:r>
        <w:t>of</w:t>
      </w:r>
      <w:r w:rsidRPr="00553052">
        <w:t xml:space="preserve"> BEA industries</w:t>
      </w:r>
    </w:p>
    <w:p w:rsidR="00D61A26" w:rsidRPr="00FA56C3" w:rsidRDefault="00D61A26" w:rsidP="00265AB4">
      <w:pPr>
        <w:spacing w:line="240" w:lineRule="auto"/>
        <w:ind w:firstLine="0"/>
        <w:rPr>
          <w:rFonts w:cs="Times New Roman"/>
          <w:szCs w:val="24"/>
        </w:rPr>
      </w:pPr>
      <w:r w:rsidRPr="00FA56C3">
        <w:rPr>
          <w:rFonts w:cs="Times New Roman"/>
          <w:szCs w:val="24"/>
        </w:rPr>
        <w:t>Input-Output tables from the U.S. Bureau of Economic Analysis (BEA) trace the production and use of commodities by industry. The Make matrix (</w:t>
      </w:r>
      <w:proofErr w:type="spellStart"/>
      <w:r w:rsidRPr="00FA56C3">
        <w:rPr>
          <w:rFonts w:cs="Times New Roman"/>
          <w:szCs w:val="24"/>
        </w:rPr>
        <w:t>M</w:t>
      </w:r>
      <w:r w:rsidRPr="00FA56C3">
        <w:rPr>
          <w:rFonts w:cs="Times New Roman"/>
          <w:szCs w:val="24"/>
          <w:vertAlign w:val="subscript"/>
        </w:rPr>
        <w:t>IxC</w:t>
      </w:r>
      <w:proofErr w:type="spellEnd"/>
      <w:r w:rsidRPr="00FA56C3">
        <w:rPr>
          <w:rFonts w:cs="Times New Roman"/>
          <w:szCs w:val="24"/>
        </w:rPr>
        <w:t>) lists the value of the commodities produced by each industry, and the Use matrix (</w:t>
      </w:r>
      <w:proofErr w:type="spellStart"/>
      <w:r w:rsidRPr="00FA56C3">
        <w:rPr>
          <w:rFonts w:cs="Times New Roman"/>
          <w:szCs w:val="24"/>
        </w:rPr>
        <w:t>U</w:t>
      </w:r>
      <w:r w:rsidRPr="00FA56C3">
        <w:rPr>
          <w:rFonts w:cs="Times New Roman"/>
          <w:szCs w:val="24"/>
          <w:vertAlign w:val="subscript"/>
        </w:rPr>
        <w:t>CxI</w:t>
      </w:r>
      <w:proofErr w:type="spellEnd"/>
      <w:r w:rsidRPr="00FA56C3">
        <w:rPr>
          <w:rFonts w:cs="Times New Roman"/>
          <w:szCs w:val="24"/>
        </w:rPr>
        <w:t xml:space="preserve">) lists the value of each commodity used by each industry. The BEA’s annual Summary I-O tables describe the </w:t>
      </w:r>
      <w:r>
        <w:rPr>
          <w:rFonts w:cs="Times New Roman"/>
          <w:szCs w:val="24"/>
        </w:rPr>
        <w:t>purchases</w:t>
      </w:r>
      <w:r w:rsidRPr="00FA56C3">
        <w:rPr>
          <w:rFonts w:cs="Times New Roman"/>
          <w:szCs w:val="24"/>
        </w:rPr>
        <w:t xml:space="preserve"> between 71 industries, while the most recent decennial Detailed I-O tables describe the </w:t>
      </w:r>
      <w:r>
        <w:rPr>
          <w:rFonts w:cs="Times New Roman"/>
          <w:szCs w:val="24"/>
        </w:rPr>
        <w:t>purchases</w:t>
      </w:r>
      <w:r w:rsidRPr="00FA56C3">
        <w:rPr>
          <w:rFonts w:cs="Times New Roman"/>
          <w:szCs w:val="24"/>
        </w:rPr>
        <w:t xml:space="preserve"> between 389 industries. We begin our analysis using the Detailed Tables from 2007, which we use to inform our analysis of the more recent Summary Tables. We collapse the 389 industries and commodities in the Detailed Tables to 64 industries and commodities. Our model uses the same categories from the annual Summary Tables, with two exceptions. First, we keep electric utilities, natural gas utilities, and water and sewage utilities separate rather than collapse them into a single utilities industry; we similarly separate coal mining from all other mining industries. Second, following Mathur and Morris (2014), we collapse the seven distinct transportation industries into a single transportation industry and the five federal, state, and local government industries into a single government industry. Doing so simplifies our analysis when we convert </w:t>
      </w:r>
      <w:r>
        <w:rPr>
          <w:rFonts w:cs="Times New Roman"/>
          <w:szCs w:val="24"/>
        </w:rPr>
        <w:t xml:space="preserve">our </w:t>
      </w:r>
      <w:r w:rsidRPr="00FA56C3">
        <w:rPr>
          <w:rFonts w:cs="Times New Roman"/>
          <w:szCs w:val="24"/>
        </w:rPr>
        <w:t xml:space="preserve">carbon intensities </w:t>
      </w:r>
      <w:r>
        <w:rPr>
          <w:rFonts w:cs="Times New Roman"/>
          <w:szCs w:val="24"/>
        </w:rPr>
        <w:t>by</w:t>
      </w:r>
      <w:r w:rsidRPr="00FA56C3">
        <w:rPr>
          <w:rFonts w:cs="Times New Roman"/>
          <w:szCs w:val="24"/>
        </w:rPr>
        <w:t xml:space="preserve"> BEA categor</w:t>
      </w:r>
      <w:r>
        <w:rPr>
          <w:rFonts w:cs="Times New Roman"/>
          <w:szCs w:val="24"/>
        </w:rPr>
        <w:t>y</w:t>
      </w:r>
      <w:r w:rsidRPr="00FA56C3">
        <w:rPr>
          <w:rFonts w:cs="Times New Roman"/>
          <w:szCs w:val="24"/>
        </w:rPr>
        <w:t xml:space="preserve">, which are in producer prices, into carbon intensities </w:t>
      </w:r>
      <w:r>
        <w:rPr>
          <w:rFonts w:cs="Times New Roman"/>
          <w:szCs w:val="24"/>
        </w:rPr>
        <w:t>by</w:t>
      </w:r>
      <w:r w:rsidRPr="00FA56C3">
        <w:rPr>
          <w:rFonts w:cs="Times New Roman"/>
          <w:szCs w:val="24"/>
        </w:rPr>
        <w:t xml:space="preserve"> Consumer Expenditure Survey categor</w:t>
      </w:r>
      <w:r>
        <w:rPr>
          <w:rFonts w:cs="Times New Roman"/>
          <w:szCs w:val="24"/>
        </w:rPr>
        <w:t>y</w:t>
      </w:r>
      <w:r w:rsidRPr="00FA56C3">
        <w:rPr>
          <w:rFonts w:cs="Times New Roman"/>
          <w:szCs w:val="24"/>
        </w:rPr>
        <w:t xml:space="preserve">, which are in consumer prices and account for aggregate transportation costs. </w:t>
      </w:r>
    </w:p>
    <w:p w:rsidR="00D61A26" w:rsidRPr="00FA56C3" w:rsidRDefault="00D61A26" w:rsidP="00265AB4">
      <w:pPr>
        <w:spacing w:line="240" w:lineRule="auto"/>
        <w:rPr>
          <w:rFonts w:cs="Times New Roman"/>
          <w:szCs w:val="24"/>
        </w:rPr>
      </w:pPr>
      <w:r w:rsidRPr="00FA56C3">
        <w:rPr>
          <w:rFonts w:cs="Times New Roman"/>
          <w:szCs w:val="24"/>
        </w:rPr>
        <w:t>Next, we divide each column of the Make matrix by total commodity output. This Adjusted Make matrix states the share of each commodity produced by each industry. Multiplying the adjusted Make matrix by the Use matrix generates the Transactions matrix (T)</w:t>
      </w:r>
      <w:r>
        <w:rPr>
          <w:rFonts w:cs="Times New Roman"/>
          <w:szCs w:val="24"/>
        </w:rPr>
        <w:t>, which</w:t>
      </w:r>
      <w:r w:rsidRPr="00FA56C3">
        <w:rPr>
          <w:rFonts w:cs="Times New Roman"/>
          <w:szCs w:val="24"/>
        </w:rPr>
        <w:t xml:space="preserve"> traces transactions between all 64 industries, with </w:t>
      </w:r>
      <w:proofErr w:type="spellStart"/>
      <w:r w:rsidRPr="00FA56C3">
        <w:rPr>
          <w:rFonts w:cs="Times New Roman"/>
          <w:szCs w:val="24"/>
        </w:rPr>
        <w:t>T</w:t>
      </w:r>
      <w:r w:rsidRPr="00FA56C3">
        <w:rPr>
          <w:rFonts w:cs="Times New Roman"/>
          <w:szCs w:val="24"/>
          <w:vertAlign w:val="subscript"/>
        </w:rPr>
        <w:t>ij</w:t>
      </w:r>
      <w:proofErr w:type="spellEnd"/>
      <w:r w:rsidRPr="00FA56C3">
        <w:rPr>
          <w:rFonts w:cs="Times New Roman"/>
          <w:szCs w:val="24"/>
        </w:rPr>
        <w:t xml:space="preserve"> stating the value of output from industry </w:t>
      </w:r>
      <w:proofErr w:type="spellStart"/>
      <w:r w:rsidRPr="00FA56C3">
        <w:rPr>
          <w:rFonts w:cs="Times New Roman"/>
          <w:i/>
          <w:szCs w:val="24"/>
        </w:rPr>
        <w:t>i</w:t>
      </w:r>
      <w:proofErr w:type="spellEnd"/>
      <w:r w:rsidRPr="00FA56C3">
        <w:rPr>
          <w:rFonts w:cs="Times New Roman"/>
          <w:i/>
          <w:szCs w:val="24"/>
        </w:rPr>
        <w:t xml:space="preserve"> </w:t>
      </w:r>
      <w:r w:rsidRPr="00FA56C3">
        <w:rPr>
          <w:rFonts w:cs="Times New Roman"/>
          <w:szCs w:val="24"/>
        </w:rPr>
        <w:t xml:space="preserve">that serves as an input to industry </w:t>
      </w:r>
      <w:r w:rsidRPr="00FA56C3">
        <w:rPr>
          <w:rFonts w:cs="Times New Roman"/>
          <w:i/>
          <w:szCs w:val="24"/>
        </w:rPr>
        <w:t>j.</w:t>
      </w:r>
      <w:r w:rsidRPr="00FA56C3">
        <w:rPr>
          <w:rFonts w:cs="Times New Roman"/>
          <w:szCs w:val="24"/>
        </w:rPr>
        <w:t xml:space="preserve"> We use the Detailed Transaction matrix for 2007 to break up utilities and mining industries in the Annual Summary Transactions matrices for 20</w:t>
      </w:r>
      <w:r>
        <w:rPr>
          <w:rFonts w:cs="Times New Roman"/>
          <w:szCs w:val="24"/>
        </w:rPr>
        <w:t>12</w:t>
      </w:r>
      <w:r w:rsidRPr="00FA56C3">
        <w:rPr>
          <w:rFonts w:cs="Times New Roman"/>
          <w:szCs w:val="24"/>
        </w:rPr>
        <w:t xml:space="preserve"> to 2014.</w:t>
      </w:r>
      <w:r>
        <w:rPr>
          <w:rFonts w:cs="Times New Roman"/>
          <w:szCs w:val="24"/>
        </w:rPr>
        <w:t xml:space="preserve"> </w:t>
      </w:r>
      <w:r w:rsidRPr="00FA56C3">
        <w:rPr>
          <w:rFonts w:cs="Times New Roman"/>
          <w:szCs w:val="24"/>
        </w:rPr>
        <w:t xml:space="preserve">Using each Transactions matrix, we derive a Direct Requirements (DR) matrix for 64 industries by dividing the input of each industry by its Total Industry Output. </w:t>
      </w:r>
      <w:proofErr w:type="spellStart"/>
      <w:r w:rsidRPr="00FA56C3">
        <w:rPr>
          <w:rFonts w:cs="Times New Roman"/>
          <w:szCs w:val="24"/>
        </w:rPr>
        <w:t>DR</w:t>
      </w:r>
      <w:r w:rsidRPr="00FA56C3">
        <w:rPr>
          <w:rFonts w:cs="Times New Roman"/>
          <w:szCs w:val="24"/>
          <w:vertAlign w:val="subscript"/>
        </w:rPr>
        <w:t>ij</w:t>
      </w:r>
      <w:proofErr w:type="spellEnd"/>
      <w:r w:rsidRPr="00FA56C3">
        <w:rPr>
          <w:rFonts w:cs="Times New Roman"/>
          <w:szCs w:val="24"/>
        </w:rPr>
        <w:t xml:space="preserve"> shows the input directly purchased from industry </w:t>
      </w:r>
      <w:proofErr w:type="spellStart"/>
      <w:r w:rsidRPr="00FA56C3">
        <w:rPr>
          <w:rFonts w:cs="Times New Roman"/>
          <w:i/>
          <w:szCs w:val="24"/>
        </w:rPr>
        <w:t>i</w:t>
      </w:r>
      <w:proofErr w:type="spellEnd"/>
      <w:r w:rsidRPr="00FA56C3">
        <w:rPr>
          <w:rFonts w:cs="Times New Roman"/>
          <w:szCs w:val="24"/>
        </w:rPr>
        <w:t xml:space="preserve"> to produce one dollar of industry </w:t>
      </w:r>
      <w:r w:rsidRPr="00FA56C3">
        <w:rPr>
          <w:rFonts w:cs="Times New Roman"/>
          <w:i/>
          <w:szCs w:val="24"/>
        </w:rPr>
        <w:t>j</w:t>
      </w:r>
      <w:r w:rsidRPr="00FA56C3">
        <w:rPr>
          <w:rFonts w:cs="Times New Roman"/>
          <w:szCs w:val="24"/>
        </w:rPr>
        <w:t>'s output. As demonstrated by Wassily Leontief (1986), the Total Requirements matrix (TR) is the inverse of the difference between an identity matrix and the Direct Requirements matrix, or TR = (I-DR)</w:t>
      </w:r>
      <w:r w:rsidRPr="00FA56C3">
        <w:rPr>
          <w:rFonts w:cs="Times New Roman"/>
          <w:szCs w:val="24"/>
          <w:vertAlign w:val="superscript"/>
        </w:rPr>
        <w:t>-1</w:t>
      </w:r>
      <w:r w:rsidRPr="00FA56C3">
        <w:rPr>
          <w:rFonts w:cs="Times New Roman"/>
          <w:szCs w:val="24"/>
        </w:rPr>
        <w:t xml:space="preserve">. </w:t>
      </w:r>
      <w:proofErr w:type="spellStart"/>
      <w:r w:rsidRPr="00FA56C3">
        <w:rPr>
          <w:rFonts w:cs="Times New Roman"/>
          <w:szCs w:val="24"/>
        </w:rPr>
        <w:t>TR</w:t>
      </w:r>
      <w:r w:rsidRPr="00FA56C3">
        <w:rPr>
          <w:rFonts w:cs="Times New Roman"/>
          <w:szCs w:val="24"/>
          <w:vertAlign w:val="subscript"/>
        </w:rPr>
        <w:t>ij</w:t>
      </w:r>
      <w:proofErr w:type="spellEnd"/>
      <w:r w:rsidRPr="00FA56C3">
        <w:rPr>
          <w:rFonts w:cs="Times New Roman"/>
          <w:szCs w:val="24"/>
        </w:rPr>
        <w:t xml:space="preserve"> states the input directly and indirectly required from industry </w:t>
      </w:r>
      <w:proofErr w:type="spellStart"/>
      <w:r w:rsidRPr="00FA56C3">
        <w:rPr>
          <w:rFonts w:cs="Times New Roman"/>
          <w:i/>
          <w:szCs w:val="24"/>
        </w:rPr>
        <w:t>i</w:t>
      </w:r>
      <w:proofErr w:type="spellEnd"/>
      <w:r w:rsidRPr="00FA56C3">
        <w:rPr>
          <w:rFonts w:cs="Times New Roman"/>
          <w:szCs w:val="24"/>
        </w:rPr>
        <w:t xml:space="preserve"> to produce one dollar of industry </w:t>
      </w:r>
      <w:r w:rsidRPr="00FA56C3">
        <w:rPr>
          <w:rFonts w:cs="Times New Roman"/>
          <w:i/>
          <w:szCs w:val="24"/>
        </w:rPr>
        <w:t>j</w:t>
      </w:r>
      <w:r w:rsidRPr="00FA56C3">
        <w:rPr>
          <w:rFonts w:cs="Times New Roman"/>
          <w:szCs w:val="24"/>
        </w:rPr>
        <w:t>.</w:t>
      </w:r>
    </w:p>
    <w:p w:rsidR="00D61A26" w:rsidRPr="00FA56C3" w:rsidRDefault="00D61A26" w:rsidP="00265AB4">
      <w:pPr>
        <w:spacing w:line="240" w:lineRule="auto"/>
        <w:rPr>
          <w:rFonts w:cs="Times New Roman"/>
          <w:szCs w:val="24"/>
        </w:rPr>
      </w:pPr>
      <w:r w:rsidRPr="00FA56C3">
        <w:rPr>
          <w:rFonts w:cs="Times New Roman"/>
          <w:szCs w:val="24"/>
        </w:rPr>
        <w:lastRenderedPageBreak/>
        <w:t>We calculate carbon intensities for each of the 64 industries in our model using data on CO</w:t>
      </w:r>
      <w:r w:rsidRPr="00FA56C3">
        <w:rPr>
          <w:rFonts w:cs="Times New Roman"/>
          <w:szCs w:val="24"/>
          <w:vertAlign w:val="subscript"/>
        </w:rPr>
        <w:t>2</w:t>
      </w:r>
      <w:r w:rsidRPr="00FA56C3">
        <w:rPr>
          <w:rFonts w:cs="Times New Roman"/>
          <w:szCs w:val="24"/>
        </w:rPr>
        <w:t xml:space="preserve"> emissions by fossil fuel type (EIA 2015; EIA 2016). The EIA provides data on the amount of CO</w:t>
      </w:r>
      <w:r w:rsidRPr="00FA56C3">
        <w:rPr>
          <w:rFonts w:cs="Times New Roman"/>
          <w:szCs w:val="24"/>
          <w:vertAlign w:val="subscript"/>
        </w:rPr>
        <w:t>2</w:t>
      </w:r>
      <w:r w:rsidRPr="00FA56C3">
        <w:rPr>
          <w:rFonts w:cs="Times New Roman"/>
          <w:szCs w:val="24"/>
        </w:rPr>
        <w:t xml:space="preserve"> generated by burning coal, oil, and natural gas. We attribute the emissions from oil and gas to the </w:t>
      </w:r>
      <w:r>
        <w:rPr>
          <w:rFonts w:cs="Times New Roman"/>
          <w:szCs w:val="24"/>
        </w:rPr>
        <w:t>o</w:t>
      </w:r>
      <w:r w:rsidRPr="00FA56C3">
        <w:rPr>
          <w:rFonts w:cs="Times New Roman"/>
          <w:szCs w:val="24"/>
        </w:rPr>
        <w:t xml:space="preserve">il and </w:t>
      </w:r>
      <w:r>
        <w:rPr>
          <w:rFonts w:cs="Times New Roman"/>
          <w:szCs w:val="24"/>
        </w:rPr>
        <w:t>g</w:t>
      </w:r>
      <w:r w:rsidRPr="00FA56C3">
        <w:rPr>
          <w:rFonts w:cs="Times New Roman"/>
          <w:szCs w:val="24"/>
        </w:rPr>
        <w:t xml:space="preserve">as </w:t>
      </w:r>
      <w:r>
        <w:rPr>
          <w:rFonts w:cs="Times New Roman"/>
          <w:szCs w:val="24"/>
        </w:rPr>
        <w:t>e</w:t>
      </w:r>
      <w:r w:rsidRPr="00FA56C3">
        <w:rPr>
          <w:rFonts w:cs="Times New Roman"/>
          <w:szCs w:val="24"/>
        </w:rPr>
        <w:t>xtraction industry</w:t>
      </w:r>
      <w:r>
        <w:rPr>
          <w:rFonts w:cs="Times New Roman"/>
          <w:szCs w:val="24"/>
        </w:rPr>
        <w:t xml:space="preserve">, </w:t>
      </w:r>
      <w:r w:rsidRPr="00FA56C3">
        <w:rPr>
          <w:rFonts w:cs="Times New Roman"/>
          <w:szCs w:val="24"/>
        </w:rPr>
        <w:t xml:space="preserve">and </w:t>
      </w:r>
      <w:r>
        <w:rPr>
          <w:rFonts w:cs="Times New Roman"/>
          <w:szCs w:val="24"/>
        </w:rPr>
        <w:t xml:space="preserve">we attribute </w:t>
      </w:r>
      <w:r w:rsidRPr="00FA56C3">
        <w:rPr>
          <w:rFonts w:cs="Times New Roman"/>
          <w:szCs w:val="24"/>
        </w:rPr>
        <w:t xml:space="preserve">the emissions from coal to the </w:t>
      </w:r>
      <w:r>
        <w:rPr>
          <w:rFonts w:cs="Times New Roman"/>
          <w:szCs w:val="24"/>
        </w:rPr>
        <w:t>c</w:t>
      </w:r>
      <w:r w:rsidRPr="00FA56C3">
        <w:rPr>
          <w:rFonts w:cs="Times New Roman"/>
          <w:szCs w:val="24"/>
        </w:rPr>
        <w:t xml:space="preserve">oal </w:t>
      </w:r>
      <w:r>
        <w:rPr>
          <w:rFonts w:cs="Times New Roman"/>
          <w:szCs w:val="24"/>
        </w:rPr>
        <w:t>m</w:t>
      </w:r>
      <w:r w:rsidRPr="00FA56C3">
        <w:rPr>
          <w:rFonts w:cs="Times New Roman"/>
          <w:szCs w:val="24"/>
        </w:rPr>
        <w:t>ining industry. To do so, we first divide the total CO</w:t>
      </w:r>
      <w:r w:rsidRPr="00FA56C3">
        <w:rPr>
          <w:rFonts w:cs="Times New Roman"/>
          <w:szCs w:val="24"/>
          <w:vertAlign w:val="subscript"/>
        </w:rPr>
        <w:t>2</w:t>
      </w:r>
      <w:r w:rsidRPr="00FA56C3">
        <w:rPr>
          <w:rFonts w:cs="Times New Roman"/>
          <w:szCs w:val="24"/>
        </w:rPr>
        <w:t xml:space="preserve"> attributed to each industry by its Total Intermediate Output to account for significant net imports by the </w:t>
      </w:r>
      <w:r>
        <w:rPr>
          <w:rFonts w:cs="Times New Roman"/>
          <w:szCs w:val="24"/>
        </w:rPr>
        <w:t>o</w:t>
      </w:r>
      <w:r w:rsidRPr="00FA56C3">
        <w:rPr>
          <w:rFonts w:cs="Times New Roman"/>
          <w:szCs w:val="24"/>
        </w:rPr>
        <w:t xml:space="preserve">il and </w:t>
      </w:r>
      <w:r>
        <w:rPr>
          <w:rFonts w:cs="Times New Roman"/>
          <w:szCs w:val="24"/>
        </w:rPr>
        <w:t>g</w:t>
      </w:r>
      <w:r w:rsidRPr="00FA56C3">
        <w:rPr>
          <w:rFonts w:cs="Times New Roman"/>
          <w:szCs w:val="24"/>
        </w:rPr>
        <w:t xml:space="preserve">as </w:t>
      </w:r>
      <w:r>
        <w:rPr>
          <w:rFonts w:cs="Times New Roman"/>
          <w:szCs w:val="24"/>
        </w:rPr>
        <w:t>e</w:t>
      </w:r>
      <w:r w:rsidRPr="00FA56C3">
        <w:rPr>
          <w:rFonts w:cs="Times New Roman"/>
          <w:szCs w:val="24"/>
        </w:rPr>
        <w:t>xtraction industry. These direct intensities, measured in kgCO</w:t>
      </w:r>
      <w:r w:rsidRPr="00FA56C3">
        <w:rPr>
          <w:rFonts w:cs="Times New Roman"/>
          <w:szCs w:val="24"/>
          <w:vertAlign w:val="subscript"/>
        </w:rPr>
        <w:t>2</w:t>
      </w:r>
      <w:r w:rsidRPr="00FA56C3">
        <w:rPr>
          <w:rFonts w:cs="Times New Roman"/>
          <w:szCs w:val="24"/>
        </w:rPr>
        <w:t>/$, state how much CO</w:t>
      </w:r>
      <w:r w:rsidRPr="00FA56C3">
        <w:rPr>
          <w:rFonts w:cs="Times New Roman"/>
          <w:szCs w:val="24"/>
          <w:vertAlign w:val="subscript"/>
        </w:rPr>
        <w:t>2</w:t>
      </w:r>
      <w:r w:rsidRPr="00FA56C3">
        <w:rPr>
          <w:rFonts w:cs="Times New Roman"/>
          <w:szCs w:val="24"/>
        </w:rPr>
        <w:t xml:space="preserve"> is embodied in each dollar of intermediate output of the </w:t>
      </w:r>
      <w:r>
        <w:rPr>
          <w:rFonts w:cs="Times New Roman"/>
          <w:szCs w:val="24"/>
        </w:rPr>
        <w:t>o</w:t>
      </w:r>
      <w:r w:rsidRPr="00FA56C3">
        <w:rPr>
          <w:rFonts w:cs="Times New Roman"/>
          <w:szCs w:val="24"/>
        </w:rPr>
        <w:t xml:space="preserve">il and </w:t>
      </w:r>
      <w:r>
        <w:rPr>
          <w:rFonts w:cs="Times New Roman"/>
          <w:szCs w:val="24"/>
        </w:rPr>
        <w:t>g</w:t>
      </w:r>
      <w:r w:rsidRPr="00FA56C3">
        <w:rPr>
          <w:rFonts w:cs="Times New Roman"/>
          <w:szCs w:val="24"/>
        </w:rPr>
        <w:t xml:space="preserve">as </w:t>
      </w:r>
      <w:r>
        <w:rPr>
          <w:rFonts w:cs="Times New Roman"/>
          <w:szCs w:val="24"/>
        </w:rPr>
        <w:t>e</w:t>
      </w:r>
      <w:r w:rsidRPr="00FA56C3">
        <w:rPr>
          <w:rFonts w:cs="Times New Roman"/>
          <w:szCs w:val="24"/>
        </w:rPr>
        <w:t>xtraction industry (D</w:t>
      </w:r>
      <w:r w:rsidRPr="00FA56C3">
        <w:rPr>
          <w:rFonts w:cs="Times New Roman"/>
          <w:szCs w:val="24"/>
          <w:vertAlign w:val="subscript"/>
        </w:rPr>
        <w:t>o</w:t>
      </w:r>
      <w:r w:rsidRPr="00FA56C3">
        <w:rPr>
          <w:rFonts w:cs="Times New Roman"/>
          <w:szCs w:val="24"/>
        </w:rPr>
        <w:t xml:space="preserve">) and the </w:t>
      </w:r>
      <w:r>
        <w:rPr>
          <w:rFonts w:cs="Times New Roman"/>
          <w:szCs w:val="24"/>
        </w:rPr>
        <w:t>c</w:t>
      </w:r>
      <w:r w:rsidRPr="00FA56C3">
        <w:rPr>
          <w:rFonts w:cs="Times New Roman"/>
          <w:szCs w:val="24"/>
        </w:rPr>
        <w:t xml:space="preserve">oal </w:t>
      </w:r>
      <w:r>
        <w:rPr>
          <w:rFonts w:cs="Times New Roman"/>
          <w:szCs w:val="24"/>
        </w:rPr>
        <w:t>m</w:t>
      </w:r>
      <w:r w:rsidRPr="00FA56C3">
        <w:rPr>
          <w:rFonts w:cs="Times New Roman"/>
          <w:szCs w:val="24"/>
        </w:rPr>
        <w:t>ining industry (D</w:t>
      </w:r>
      <w:r w:rsidRPr="00FA56C3">
        <w:rPr>
          <w:rFonts w:cs="Times New Roman"/>
          <w:szCs w:val="24"/>
          <w:vertAlign w:val="subscript"/>
        </w:rPr>
        <w:t>c</w:t>
      </w:r>
      <w:r w:rsidRPr="00FA56C3">
        <w:rPr>
          <w:rFonts w:cs="Times New Roman"/>
          <w:szCs w:val="24"/>
        </w:rPr>
        <w:t>). Then, using the Total Requirements table, we calculate the intensity of all 64 industries by summing up the CO</w:t>
      </w:r>
      <w:r w:rsidRPr="00FA56C3">
        <w:rPr>
          <w:rFonts w:cs="Times New Roman"/>
          <w:szCs w:val="24"/>
          <w:vertAlign w:val="subscript"/>
        </w:rPr>
        <w:t>2</w:t>
      </w:r>
      <w:r w:rsidRPr="00FA56C3">
        <w:rPr>
          <w:rFonts w:cs="Times New Roman"/>
          <w:szCs w:val="24"/>
        </w:rPr>
        <w:t xml:space="preserve"> emissions attributed to their direct and indirect reliance on these two industries. Specifically, the CO</w:t>
      </w:r>
      <w:r w:rsidRPr="00FA56C3">
        <w:rPr>
          <w:rFonts w:cs="Times New Roman"/>
          <w:szCs w:val="24"/>
          <w:vertAlign w:val="subscript"/>
        </w:rPr>
        <w:t>2</w:t>
      </w:r>
      <w:r w:rsidRPr="00FA56C3">
        <w:rPr>
          <w:rFonts w:cs="Times New Roman"/>
          <w:szCs w:val="24"/>
        </w:rPr>
        <w:t xml:space="preserve"> intensity of industry </w:t>
      </w:r>
      <w:r w:rsidRPr="00FA56C3">
        <w:rPr>
          <w:rFonts w:cs="Times New Roman"/>
          <w:i/>
          <w:szCs w:val="24"/>
        </w:rPr>
        <w:t xml:space="preserve">j </w:t>
      </w:r>
      <w:r w:rsidRPr="00FA56C3">
        <w:rPr>
          <w:rFonts w:cs="Times New Roman"/>
          <w:szCs w:val="24"/>
        </w:rPr>
        <w:t>is given by:</w:t>
      </w:r>
    </w:p>
    <w:p w:rsidR="00D61A26" w:rsidRPr="00FA56C3" w:rsidRDefault="00F25E6D" w:rsidP="00265AB4">
      <w:pPr>
        <w:spacing w:line="24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I</m:t>
            </m:r>
          </m:e>
          <m:sub>
            <m:r>
              <m:rPr>
                <m:sty m:val="p"/>
              </m:rPr>
              <w:rPr>
                <w:rFonts w:ascii="Cambria Math" w:hAnsi="Cambria Math" w:cs="Times New Roman"/>
                <w:szCs w:val="24"/>
              </w:rPr>
              <m:t>j</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TR</m:t>
            </m:r>
          </m:e>
          <m:sub>
            <m:r>
              <m:rPr>
                <m:sty m:val="p"/>
              </m:rPr>
              <w:rPr>
                <w:rFonts w:ascii="Cambria Math" w:hAnsi="Cambria Math" w:cs="Times New Roman"/>
                <w:szCs w:val="24"/>
              </w:rPr>
              <m:t>oj</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m:t>
            </m:r>
          </m:e>
          <m:sub>
            <m:r>
              <m:rPr>
                <m:sty m:val="p"/>
              </m:rPr>
              <w:rPr>
                <w:rFonts w:ascii="Cambria Math" w:hAnsi="Cambria Math" w:cs="Times New Roman"/>
                <w:szCs w:val="24"/>
              </w:rPr>
              <m:t>oj</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TR</m:t>
            </m:r>
          </m:e>
          <m:sub>
            <m:r>
              <m:rPr>
                <m:sty m:val="p"/>
              </m:rPr>
              <w:rPr>
                <w:rFonts w:ascii="Cambria Math" w:hAnsi="Cambria Math" w:cs="Times New Roman"/>
                <w:szCs w:val="24"/>
              </w:rPr>
              <m:t>cj</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m:t>
            </m:r>
            <m:ctrlPr>
              <w:rPr>
                <w:rFonts w:ascii="Cambria Math" w:hAnsi="Cambria Math" w:cs="Times New Roman"/>
                <w:i/>
                <w:szCs w:val="24"/>
              </w:rPr>
            </m:ctrlPr>
          </m:e>
          <m:sub>
            <m:r>
              <m:rPr>
                <m:sty m:val="p"/>
              </m:rPr>
              <w:rPr>
                <w:rFonts w:ascii="Cambria Math" w:hAnsi="Cambria Math" w:cs="Times New Roman"/>
                <w:szCs w:val="24"/>
              </w:rPr>
              <m:t>cj</m:t>
            </m:r>
          </m:sub>
        </m:sSub>
      </m:oMath>
      <w:r w:rsidR="00D61A26">
        <w:rPr>
          <w:rFonts w:cs="Times New Roman"/>
          <w:szCs w:val="24"/>
        </w:rPr>
        <w:tab/>
      </w:r>
      <w:r w:rsidR="00D61A26">
        <w:rPr>
          <w:rFonts w:cs="Times New Roman"/>
          <w:szCs w:val="24"/>
        </w:rPr>
        <w:tab/>
      </w:r>
      <w:r w:rsidR="00D61A26">
        <w:rPr>
          <w:rFonts w:cs="Times New Roman"/>
          <w:szCs w:val="24"/>
        </w:rPr>
        <w:tab/>
      </w:r>
      <w:r w:rsidR="00D61A26">
        <w:rPr>
          <w:rFonts w:cs="Times New Roman"/>
          <w:szCs w:val="24"/>
        </w:rPr>
        <w:tab/>
      </w:r>
      <w:r w:rsidR="00D61A26">
        <w:rPr>
          <w:rFonts w:cs="Times New Roman"/>
          <w:szCs w:val="24"/>
        </w:rPr>
        <w:tab/>
      </w:r>
      <w:r w:rsidR="00D61A26">
        <w:rPr>
          <w:rFonts w:cs="Times New Roman"/>
          <w:szCs w:val="24"/>
        </w:rPr>
        <w:tab/>
      </w:r>
      <w:r w:rsidR="00D61A26">
        <w:rPr>
          <w:rFonts w:cs="Times New Roman"/>
          <w:szCs w:val="24"/>
        </w:rPr>
        <w:tab/>
      </w:r>
      <w:r w:rsidR="00D61A26" w:rsidRPr="00FA56C3">
        <w:rPr>
          <w:rFonts w:cs="Times New Roman"/>
          <w:szCs w:val="24"/>
        </w:rPr>
        <w:t>(Equation 1)</w:t>
      </w:r>
    </w:p>
    <w:p w:rsidR="00D61A26" w:rsidRPr="00FA56C3" w:rsidRDefault="00D61A26" w:rsidP="00265AB4">
      <w:pPr>
        <w:spacing w:line="240" w:lineRule="auto"/>
        <w:ind w:firstLine="0"/>
        <w:rPr>
          <w:rFonts w:cs="Times New Roman"/>
          <w:szCs w:val="24"/>
        </w:rPr>
      </w:pPr>
      <w:r w:rsidRPr="00FA56C3">
        <w:rPr>
          <w:rFonts w:cs="Times New Roman"/>
          <w:szCs w:val="24"/>
        </w:rPr>
        <w:t>These intensities provide an estimate of the amount of CO</w:t>
      </w:r>
      <w:r w:rsidRPr="00FA56C3">
        <w:rPr>
          <w:rFonts w:cs="Times New Roman"/>
          <w:szCs w:val="24"/>
          <w:vertAlign w:val="subscript"/>
        </w:rPr>
        <w:t>2</w:t>
      </w:r>
      <w:r w:rsidRPr="00FA56C3">
        <w:rPr>
          <w:rFonts w:cs="Times New Roman"/>
          <w:szCs w:val="24"/>
        </w:rPr>
        <w:t xml:space="preserve"> directly and indirectly generated per dollar of output for each industry. Our estimates of CO</w:t>
      </w:r>
      <w:r w:rsidRPr="00FA56C3">
        <w:rPr>
          <w:rFonts w:cs="Times New Roman"/>
          <w:szCs w:val="24"/>
          <w:vertAlign w:val="subscript"/>
        </w:rPr>
        <w:t>2</w:t>
      </w:r>
      <w:r w:rsidRPr="00FA56C3">
        <w:rPr>
          <w:rFonts w:cs="Times New Roman"/>
          <w:szCs w:val="24"/>
        </w:rPr>
        <w:t xml:space="preserve"> intensities for all 64 industries are presented in </w:t>
      </w:r>
      <w:r>
        <w:rPr>
          <w:rFonts w:cs="Times New Roman"/>
          <w:szCs w:val="24"/>
        </w:rPr>
        <w:t xml:space="preserve">the Appendix </w:t>
      </w:r>
      <w:r w:rsidRPr="00FA56C3">
        <w:rPr>
          <w:rFonts w:cs="Times New Roman"/>
          <w:szCs w:val="24"/>
        </w:rPr>
        <w:t xml:space="preserve">Table </w:t>
      </w:r>
      <w:r>
        <w:rPr>
          <w:rFonts w:cs="Times New Roman"/>
          <w:szCs w:val="24"/>
        </w:rPr>
        <w:t>A1</w:t>
      </w:r>
      <w:r w:rsidRPr="00FA56C3">
        <w:rPr>
          <w:rFonts w:cs="Times New Roman"/>
          <w:szCs w:val="24"/>
        </w:rPr>
        <w:t>. The carbon intensities vary significantly across industries.</w:t>
      </w:r>
      <w:bookmarkStart w:id="0" w:name="_3dy6vkm" w:colFirst="0" w:colLast="0"/>
      <w:bookmarkEnd w:id="0"/>
      <w:r>
        <w:rPr>
          <w:rFonts w:cs="Times New Roman"/>
          <w:szCs w:val="24"/>
        </w:rPr>
        <w:t xml:space="preserve"> The m</w:t>
      </w:r>
      <w:r w:rsidRPr="00FA56C3">
        <w:rPr>
          <w:rFonts w:cs="Times New Roman"/>
          <w:szCs w:val="24"/>
        </w:rPr>
        <w:t xml:space="preserve">otion </w:t>
      </w:r>
      <w:r>
        <w:rPr>
          <w:rFonts w:cs="Times New Roman"/>
          <w:szCs w:val="24"/>
        </w:rPr>
        <w:t>p</w:t>
      </w:r>
      <w:r w:rsidRPr="00FA56C3">
        <w:rPr>
          <w:rFonts w:cs="Times New Roman"/>
          <w:szCs w:val="24"/>
        </w:rPr>
        <w:t xml:space="preserve">icture and </w:t>
      </w:r>
      <w:r>
        <w:rPr>
          <w:rFonts w:cs="Times New Roman"/>
          <w:szCs w:val="24"/>
        </w:rPr>
        <w:t>s</w:t>
      </w:r>
      <w:r w:rsidRPr="00FA56C3">
        <w:rPr>
          <w:rFonts w:cs="Times New Roman"/>
          <w:szCs w:val="24"/>
        </w:rPr>
        <w:t xml:space="preserve">ound </w:t>
      </w:r>
      <w:r>
        <w:rPr>
          <w:rFonts w:cs="Times New Roman"/>
          <w:szCs w:val="24"/>
        </w:rPr>
        <w:t>r</w:t>
      </w:r>
      <w:r w:rsidRPr="00FA56C3">
        <w:rPr>
          <w:rFonts w:cs="Times New Roman"/>
          <w:szCs w:val="24"/>
        </w:rPr>
        <w:t>ecording industr</w:t>
      </w:r>
      <w:r>
        <w:rPr>
          <w:rFonts w:cs="Times New Roman"/>
          <w:szCs w:val="24"/>
        </w:rPr>
        <w:t>y</w:t>
      </w:r>
      <w:r w:rsidRPr="00FA56C3">
        <w:rPr>
          <w:rFonts w:cs="Times New Roman"/>
          <w:szCs w:val="24"/>
        </w:rPr>
        <w:t xml:space="preserve"> generate</w:t>
      </w:r>
      <w:r>
        <w:rPr>
          <w:rFonts w:cs="Times New Roman"/>
          <w:szCs w:val="24"/>
        </w:rPr>
        <w:t>s</w:t>
      </w:r>
      <w:r w:rsidRPr="00FA56C3">
        <w:rPr>
          <w:rFonts w:cs="Times New Roman"/>
          <w:szCs w:val="24"/>
        </w:rPr>
        <w:t xml:space="preserve"> about 0.04</w:t>
      </w:r>
      <w:r>
        <w:rPr>
          <w:rFonts w:cs="Times New Roman"/>
          <w:szCs w:val="24"/>
        </w:rPr>
        <w:t xml:space="preserve"> </w:t>
      </w:r>
      <w:r w:rsidRPr="00FA56C3">
        <w:rPr>
          <w:rFonts w:cs="Times New Roman"/>
          <w:szCs w:val="24"/>
        </w:rPr>
        <w:t>kg of CO</w:t>
      </w:r>
      <w:r w:rsidRPr="00FA56C3">
        <w:rPr>
          <w:rFonts w:cs="Times New Roman"/>
          <w:szCs w:val="24"/>
          <w:vertAlign w:val="subscript"/>
        </w:rPr>
        <w:t>2</w:t>
      </w:r>
      <w:r w:rsidRPr="00FA56C3">
        <w:rPr>
          <w:rFonts w:cs="Times New Roman"/>
          <w:szCs w:val="24"/>
        </w:rPr>
        <w:t xml:space="preserve"> per dollar of output, while the </w:t>
      </w:r>
      <w:r>
        <w:rPr>
          <w:rFonts w:cs="Times New Roman"/>
          <w:szCs w:val="24"/>
        </w:rPr>
        <w:t>c</w:t>
      </w:r>
      <w:r w:rsidRPr="00FA56C3">
        <w:rPr>
          <w:rFonts w:cs="Times New Roman"/>
          <w:szCs w:val="24"/>
        </w:rPr>
        <w:t xml:space="preserve">oal </w:t>
      </w:r>
      <w:r>
        <w:rPr>
          <w:rFonts w:cs="Times New Roman"/>
          <w:szCs w:val="24"/>
        </w:rPr>
        <w:t>m</w:t>
      </w:r>
      <w:r w:rsidRPr="00FA56C3">
        <w:rPr>
          <w:rFonts w:cs="Times New Roman"/>
          <w:szCs w:val="24"/>
        </w:rPr>
        <w:t>ining industry generates 6</w:t>
      </w:r>
      <w:r>
        <w:rPr>
          <w:rFonts w:cs="Times New Roman"/>
          <w:szCs w:val="24"/>
        </w:rPr>
        <w:t xml:space="preserve">4 </w:t>
      </w:r>
      <w:r w:rsidRPr="00FA56C3">
        <w:rPr>
          <w:rFonts w:cs="Times New Roman"/>
          <w:szCs w:val="24"/>
        </w:rPr>
        <w:t>kg of CO</w:t>
      </w:r>
      <w:r w:rsidRPr="00FA56C3">
        <w:rPr>
          <w:rFonts w:cs="Times New Roman"/>
          <w:szCs w:val="24"/>
          <w:vertAlign w:val="subscript"/>
        </w:rPr>
        <w:t>2</w:t>
      </w:r>
      <w:r w:rsidRPr="00FA56C3">
        <w:rPr>
          <w:rFonts w:cs="Times New Roman"/>
          <w:szCs w:val="24"/>
        </w:rPr>
        <w:t xml:space="preserve"> per dollar in 2014. The</w:t>
      </w:r>
      <w:r>
        <w:rPr>
          <w:rFonts w:cs="Times New Roman"/>
          <w:szCs w:val="24"/>
        </w:rPr>
        <w:t>se</w:t>
      </w:r>
      <w:r w:rsidRPr="00FA56C3">
        <w:rPr>
          <w:rFonts w:cs="Times New Roman"/>
          <w:szCs w:val="24"/>
        </w:rPr>
        <w:t xml:space="preserve"> 2012-2014 intensities provide the basis for our estimates of household carbon footprints.</w:t>
      </w:r>
    </w:p>
    <w:p w:rsidR="00D61A26" w:rsidRPr="00553052" w:rsidRDefault="00D61A26" w:rsidP="00265AB4">
      <w:pPr>
        <w:pStyle w:val="Overskrift2"/>
        <w:spacing w:line="240" w:lineRule="auto"/>
      </w:pPr>
      <w:r w:rsidRPr="00553052">
        <w:t>CO</w:t>
      </w:r>
      <w:r w:rsidRPr="00553052">
        <w:rPr>
          <w:vertAlign w:val="subscript"/>
        </w:rPr>
        <w:t>2</w:t>
      </w:r>
      <w:r w:rsidRPr="00553052">
        <w:t xml:space="preserve"> intensities </w:t>
      </w:r>
      <w:r>
        <w:t>of</w:t>
      </w:r>
      <w:r w:rsidRPr="00553052">
        <w:t xml:space="preserve"> BLS consumption categories</w:t>
      </w:r>
    </w:p>
    <w:p w:rsidR="00D61A26" w:rsidRPr="00FA56C3" w:rsidRDefault="00D61A26" w:rsidP="00265AB4">
      <w:pPr>
        <w:spacing w:line="240" w:lineRule="auto"/>
        <w:ind w:firstLine="0"/>
        <w:rPr>
          <w:rFonts w:cs="Times New Roman"/>
          <w:szCs w:val="24"/>
        </w:rPr>
      </w:pPr>
      <w:r w:rsidRPr="00FA56C3">
        <w:rPr>
          <w:rFonts w:cs="Times New Roman"/>
          <w:szCs w:val="24"/>
        </w:rPr>
        <w:t>Next, we translate the CO</w:t>
      </w:r>
      <w:r w:rsidRPr="00FA56C3">
        <w:rPr>
          <w:rFonts w:cs="Times New Roman"/>
          <w:szCs w:val="24"/>
          <w:vertAlign w:val="subscript"/>
        </w:rPr>
        <w:t xml:space="preserve">2 </w:t>
      </w:r>
      <w:r w:rsidRPr="00FA56C3">
        <w:rPr>
          <w:rFonts w:cs="Times New Roman"/>
          <w:szCs w:val="24"/>
        </w:rPr>
        <w:t>intensities of our 64 industries into the CO</w:t>
      </w:r>
      <w:r w:rsidRPr="00FA56C3">
        <w:rPr>
          <w:rFonts w:cs="Times New Roman"/>
          <w:szCs w:val="24"/>
          <w:vertAlign w:val="subscript"/>
        </w:rPr>
        <w:t>2</w:t>
      </w:r>
      <w:r w:rsidRPr="00FA56C3">
        <w:rPr>
          <w:rFonts w:cs="Times New Roman"/>
          <w:szCs w:val="24"/>
        </w:rPr>
        <w:t xml:space="preserve"> intensities of </w:t>
      </w:r>
      <w:r>
        <w:rPr>
          <w:rFonts w:cs="Times New Roman"/>
          <w:szCs w:val="24"/>
        </w:rPr>
        <w:t>27</w:t>
      </w:r>
      <w:r w:rsidRPr="00FA56C3">
        <w:rPr>
          <w:rFonts w:cs="Times New Roman"/>
          <w:szCs w:val="24"/>
        </w:rPr>
        <w:t xml:space="preserve"> consumer expenditure categories. The Personal Consumption Expenditure (PCE) categories from the National Income and Product Accounts (NIPA), published by the BEA, do not perfectly match with the consumption categories in the Consumer Expenditure Survey (CEX) published by the BLS. We map each of our </w:t>
      </w:r>
      <w:r>
        <w:rPr>
          <w:rFonts w:cs="Times New Roman"/>
          <w:szCs w:val="24"/>
        </w:rPr>
        <w:t>27</w:t>
      </w:r>
      <w:r w:rsidRPr="00FA56C3">
        <w:rPr>
          <w:rFonts w:cs="Times New Roman"/>
          <w:szCs w:val="24"/>
        </w:rPr>
        <w:t xml:space="preserve"> CEX categories onto one or more NIPA categories </w:t>
      </w:r>
      <w:r w:rsidR="0097074D">
        <w:rPr>
          <w:rFonts w:cs="Times New Roman"/>
          <w:szCs w:val="24"/>
        </w:rPr>
        <w:t xml:space="preserve">following </w:t>
      </w:r>
      <w:r w:rsidRPr="00FA56C3">
        <w:rPr>
          <w:rFonts w:cs="Times New Roman"/>
          <w:szCs w:val="24"/>
        </w:rPr>
        <w:t>Mathur and Morris (2014).</w:t>
      </w:r>
      <w:r w:rsidRPr="00FA56C3">
        <w:rPr>
          <w:rFonts w:cs="Times New Roman"/>
          <w:szCs w:val="24"/>
          <w:vertAlign w:val="superscript"/>
        </w:rPr>
        <w:t xml:space="preserve"> </w:t>
      </w:r>
      <w:r w:rsidRPr="00FA56C3">
        <w:rPr>
          <w:rFonts w:cs="Times New Roman"/>
          <w:szCs w:val="24"/>
        </w:rPr>
        <w:t>This allows us to use the PCE bridge matrix, published by the BEA, to convert producers’ prices to purchaser’s prices. The CO</w:t>
      </w:r>
      <w:r w:rsidRPr="00FA56C3">
        <w:rPr>
          <w:rFonts w:cs="Times New Roman"/>
          <w:szCs w:val="24"/>
          <w:vertAlign w:val="subscript"/>
        </w:rPr>
        <w:t>2</w:t>
      </w:r>
      <w:r w:rsidRPr="00FA56C3">
        <w:rPr>
          <w:rFonts w:cs="Times New Roman"/>
          <w:szCs w:val="24"/>
        </w:rPr>
        <w:t xml:space="preserve"> intensity of each CEX category is, therefore, a weighted average of the CO</w:t>
      </w:r>
      <w:r w:rsidRPr="00FA56C3">
        <w:rPr>
          <w:rFonts w:cs="Times New Roman"/>
          <w:szCs w:val="24"/>
          <w:vertAlign w:val="subscript"/>
        </w:rPr>
        <w:t>2</w:t>
      </w:r>
      <w:r w:rsidRPr="00FA56C3">
        <w:rPr>
          <w:rFonts w:cs="Times New Roman"/>
          <w:szCs w:val="24"/>
        </w:rPr>
        <w:t xml:space="preserve"> intensity of its producer industries, the transportation industry, the wholesale industry, and the retail industry. </w:t>
      </w:r>
      <w:r>
        <w:rPr>
          <w:rFonts w:cs="Times New Roman"/>
          <w:szCs w:val="24"/>
        </w:rPr>
        <w:t>Like most other papers in the literature, we assume that the carbon intensity of imported goods is equal to that of domestically-produced goods.</w:t>
      </w:r>
    </w:p>
    <w:p w:rsidR="00D61A26" w:rsidRPr="00FA56C3" w:rsidRDefault="00D61A26" w:rsidP="00265AB4">
      <w:pPr>
        <w:spacing w:line="240" w:lineRule="auto"/>
        <w:rPr>
          <w:rFonts w:cs="Times New Roman"/>
          <w:szCs w:val="24"/>
        </w:rPr>
      </w:pPr>
      <w:r>
        <w:rPr>
          <w:rFonts w:cs="Times New Roman"/>
          <w:szCs w:val="24"/>
        </w:rPr>
        <w:t>Table A2</w:t>
      </w:r>
      <w:r w:rsidRPr="00FA56C3">
        <w:rPr>
          <w:rFonts w:cs="Times New Roman"/>
          <w:szCs w:val="24"/>
        </w:rPr>
        <w:t xml:space="preserve"> </w:t>
      </w:r>
      <w:r>
        <w:rPr>
          <w:rFonts w:cs="Times New Roman"/>
          <w:szCs w:val="24"/>
        </w:rPr>
        <w:t xml:space="preserve">in the Appendix </w:t>
      </w:r>
      <w:r w:rsidRPr="00FA56C3">
        <w:rPr>
          <w:rFonts w:cs="Times New Roman"/>
          <w:szCs w:val="24"/>
        </w:rPr>
        <w:t>lists carbon intensities by CEX category. The first column presents our main estimates, described in the text above. There is less variation in t</w:t>
      </w:r>
      <w:r>
        <w:rPr>
          <w:rFonts w:cs="Times New Roman"/>
          <w:szCs w:val="24"/>
        </w:rPr>
        <w:t>he intensities listed in Table A2</w:t>
      </w:r>
      <w:r w:rsidRPr="00FA56C3">
        <w:rPr>
          <w:rFonts w:cs="Times New Roman"/>
          <w:szCs w:val="24"/>
        </w:rPr>
        <w:t xml:space="preserve"> than the industry-level intensities in Table </w:t>
      </w:r>
      <w:r w:rsidR="0097074D">
        <w:rPr>
          <w:rFonts w:cs="Times New Roman"/>
          <w:szCs w:val="24"/>
        </w:rPr>
        <w:t>A1</w:t>
      </w:r>
      <w:r w:rsidRPr="00FA56C3">
        <w:rPr>
          <w:rFonts w:cs="Times New Roman"/>
          <w:szCs w:val="24"/>
        </w:rPr>
        <w:t xml:space="preserve">, </w:t>
      </w:r>
      <w:r>
        <w:rPr>
          <w:rFonts w:cs="Times New Roman"/>
          <w:szCs w:val="24"/>
        </w:rPr>
        <w:t>because</w:t>
      </w:r>
      <w:r w:rsidRPr="00FA56C3">
        <w:rPr>
          <w:rFonts w:cs="Times New Roman"/>
          <w:szCs w:val="24"/>
        </w:rPr>
        <w:t xml:space="preserve"> the CEX intensities are weighted averages of the industry intensities, and because consumers do not purchase output directly from industries with the highest intensities. Intensities range across consumer categories, with expenditures of Tenant-Occupied Dwellings generating the lowest intensity (0.05</w:t>
      </w:r>
      <w:r>
        <w:rPr>
          <w:rFonts w:cs="Times New Roman"/>
          <w:szCs w:val="24"/>
        </w:rPr>
        <w:t xml:space="preserve"> </w:t>
      </w:r>
      <w:r w:rsidRPr="00FA56C3">
        <w:rPr>
          <w:rFonts w:cs="Times New Roman"/>
          <w:szCs w:val="24"/>
        </w:rPr>
        <w:t>kg of CO</w:t>
      </w:r>
      <w:r w:rsidRPr="00FA56C3">
        <w:rPr>
          <w:rFonts w:cs="Times New Roman"/>
          <w:szCs w:val="24"/>
          <w:vertAlign w:val="subscript"/>
        </w:rPr>
        <w:t>2</w:t>
      </w:r>
      <w:r w:rsidRPr="00FA56C3">
        <w:rPr>
          <w:rFonts w:cs="Times New Roman"/>
          <w:szCs w:val="24"/>
        </w:rPr>
        <w:t xml:space="preserve"> per dollar), while expenditures on gasoline generate the highest (3.22</w:t>
      </w:r>
      <w:r>
        <w:rPr>
          <w:rFonts w:cs="Times New Roman"/>
          <w:szCs w:val="24"/>
        </w:rPr>
        <w:t xml:space="preserve"> </w:t>
      </w:r>
      <w:r w:rsidRPr="00FA56C3">
        <w:rPr>
          <w:rFonts w:cs="Times New Roman"/>
          <w:szCs w:val="24"/>
        </w:rPr>
        <w:t>kg of CO</w:t>
      </w:r>
      <w:r w:rsidRPr="00FA56C3">
        <w:rPr>
          <w:rFonts w:cs="Times New Roman"/>
          <w:szCs w:val="24"/>
          <w:vertAlign w:val="subscript"/>
        </w:rPr>
        <w:t>2</w:t>
      </w:r>
      <w:r w:rsidRPr="00FA56C3">
        <w:rPr>
          <w:rFonts w:cs="Times New Roman"/>
          <w:szCs w:val="24"/>
        </w:rPr>
        <w:t xml:space="preserve"> per dollar).</w:t>
      </w:r>
    </w:p>
    <w:p w:rsidR="00D61A26" w:rsidRDefault="00D61A26" w:rsidP="00265AB4">
      <w:pPr>
        <w:spacing w:line="240" w:lineRule="auto"/>
        <w:rPr>
          <w:rFonts w:cs="Times New Roman"/>
          <w:szCs w:val="24"/>
        </w:rPr>
      </w:pPr>
      <w:r>
        <w:rPr>
          <w:rFonts w:cs="Times New Roman"/>
          <w:szCs w:val="24"/>
        </w:rPr>
        <w:t>Table A2 also</w:t>
      </w:r>
      <w:r w:rsidRPr="00FA56C3">
        <w:rPr>
          <w:rFonts w:cs="Times New Roman"/>
          <w:szCs w:val="24"/>
        </w:rPr>
        <w:t xml:space="preserve"> compare</w:t>
      </w:r>
      <w:r>
        <w:rPr>
          <w:rFonts w:cs="Times New Roman"/>
          <w:szCs w:val="24"/>
        </w:rPr>
        <w:t>s</w:t>
      </w:r>
      <w:r w:rsidRPr="00FA56C3">
        <w:rPr>
          <w:rFonts w:cs="Times New Roman"/>
          <w:szCs w:val="24"/>
        </w:rPr>
        <w:t xml:space="preserve"> our intensity estimates to the implied intensities in Metcalf (1999), Mathur and Morris (2014), Horowitz et al. (201</w:t>
      </w:r>
      <w:r w:rsidR="0097074D">
        <w:rPr>
          <w:rFonts w:cs="Times New Roman"/>
          <w:szCs w:val="24"/>
        </w:rPr>
        <w:t>7</w:t>
      </w:r>
      <w:r w:rsidRPr="00FA56C3">
        <w:rPr>
          <w:rFonts w:cs="Times New Roman"/>
          <w:szCs w:val="24"/>
        </w:rPr>
        <w:t>)</w:t>
      </w:r>
      <w:r>
        <w:rPr>
          <w:rFonts w:cs="Times New Roman"/>
          <w:szCs w:val="24"/>
        </w:rPr>
        <w:t>, as well as our alternative “utility method” intensities, which we describe in Section 5.1</w:t>
      </w:r>
      <w:r w:rsidR="0097074D">
        <w:rPr>
          <w:rFonts w:cs="Times New Roman"/>
          <w:szCs w:val="24"/>
        </w:rPr>
        <w:t xml:space="preserve"> of our paper</w:t>
      </w:r>
      <w:r w:rsidRPr="00FA56C3">
        <w:rPr>
          <w:rFonts w:cs="Times New Roman"/>
          <w:szCs w:val="24"/>
        </w:rPr>
        <w:t>. A direct comparison is difficult, because papers calculate CO</w:t>
      </w:r>
      <w:r w:rsidRPr="00FA56C3">
        <w:rPr>
          <w:rFonts w:cs="Times New Roman"/>
          <w:szCs w:val="24"/>
          <w:vertAlign w:val="subscript"/>
        </w:rPr>
        <w:t>2</w:t>
      </w:r>
      <w:r w:rsidRPr="00FA56C3">
        <w:rPr>
          <w:rFonts w:cs="Times New Roman"/>
          <w:szCs w:val="24"/>
        </w:rPr>
        <w:t xml:space="preserve"> intensities for different years and somewhat different categories of consumer expenditures. Across these </w:t>
      </w:r>
      <w:r>
        <w:rPr>
          <w:rFonts w:cs="Times New Roman"/>
          <w:szCs w:val="24"/>
        </w:rPr>
        <w:t xml:space="preserve">27 categories, the </w:t>
      </w:r>
      <w:r w:rsidRPr="00FA56C3">
        <w:rPr>
          <w:rFonts w:cs="Times New Roman"/>
          <w:szCs w:val="24"/>
        </w:rPr>
        <w:t xml:space="preserve">weighted correlation between our </w:t>
      </w:r>
      <w:r>
        <w:rPr>
          <w:rFonts w:cs="Times New Roman"/>
          <w:szCs w:val="24"/>
        </w:rPr>
        <w:t xml:space="preserve">baseline </w:t>
      </w:r>
      <w:r w:rsidRPr="00FA56C3">
        <w:rPr>
          <w:rFonts w:cs="Times New Roman"/>
          <w:szCs w:val="24"/>
        </w:rPr>
        <w:t>intensities and those of the other three studies is 0.</w:t>
      </w:r>
      <w:r>
        <w:rPr>
          <w:rFonts w:cs="Times New Roman"/>
          <w:szCs w:val="24"/>
        </w:rPr>
        <w:t>92</w:t>
      </w:r>
      <w:r w:rsidRPr="00FA56C3">
        <w:rPr>
          <w:rFonts w:cs="Times New Roman"/>
          <w:szCs w:val="24"/>
        </w:rPr>
        <w:t>, 0.</w:t>
      </w:r>
      <w:r>
        <w:rPr>
          <w:rFonts w:cs="Times New Roman"/>
          <w:szCs w:val="24"/>
        </w:rPr>
        <w:t>72</w:t>
      </w:r>
      <w:r w:rsidRPr="00FA56C3">
        <w:rPr>
          <w:rFonts w:cs="Times New Roman"/>
          <w:szCs w:val="24"/>
        </w:rPr>
        <w:t>, and 0.9</w:t>
      </w:r>
      <w:r>
        <w:rPr>
          <w:rFonts w:cs="Times New Roman"/>
          <w:szCs w:val="24"/>
        </w:rPr>
        <w:t>6</w:t>
      </w:r>
      <w:r w:rsidRPr="00FA56C3">
        <w:rPr>
          <w:rFonts w:cs="Times New Roman"/>
          <w:szCs w:val="24"/>
        </w:rPr>
        <w:t xml:space="preserve">, respectively. </w:t>
      </w:r>
      <w:r>
        <w:rPr>
          <w:rFonts w:cs="Times New Roman"/>
          <w:szCs w:val="24"/>
        </w:rPr>
        <w:t>D</w:t>
      </w:r>
      <w:r w:rsidRPr="00FA56C3">
        <w:rPr>
          <w:rFonts w:cs="Times New Roman"/>
          <w:szCs w:val="24"/>
        </w:rPr>
        <w:t xml:space="preserve">ifferences in intensities may </w:t>
      </w:r>
      <w:r>
        <w:rPr>
          <w:rFonts w:cs="Times New Roman"/>
          <w:szCs w:val="24"/>
        </w:rPr>
        <w:t xml:space="preserve">partly </w:t>
      </w:r>
      <w:r w:rsidRPr="00FA56C3">
        <w:rPr>
          <w:rFonts w:cs="Times New Roman"/>
          <w:szCs w:val="24"/>
        </w:rPr>
        <w:t xml:space="preserve">account for the </w:t>
      </w:r>
      <w:r>
        <w:rPr>
          <w:rFonts w:cs="Times New Roman"/>
          <w:szCs w:val="24"/>
        </w:rPr>
        <w:t>differences</w:t>
      </w:r>
      <w:r w:rsidRPr="00FA56C3">
        <w:rPr>
          <w:rFonts w:cs="Times New Roman"/>
          <w:szCs w:val="24"/>
        </w:rPr>
        <w:t xml:space="preserve"> in the distributional results across papers. Our method generates lower carbon intensities for both electricity and natural gas expenditures than o</w:t>
      </w:r>
      <w:r>
        <w:rPr>
          <w:rFonts w:cs="Times New Roman"/>
          <w:szCs w:val="24"/>
        </w:rPr>
        <w:t xml:space="preserve">ther </w:t>
      </w:r>
      <w:r>
        <w:rPr>
          <w:rFonts w:cs="Times New Roman"/>
          <w:szCs w:val="24"/>
        </w:rPr>
        <w:lastRenderedPageBreak/>
        <w:t>studies, but Section 5.1</w:t>
      </w:r>
      <w:r w:rsidRPr="00FA56C3">
        <w:rPr>
          <w:rFonts w:cs="Times New Roman"/>
          <w:szCs w:val="24"/>
        </w:rPr>
        <w:t xml:space="preserve"> shows that our key results also hold when we use </w:t>
      </w:r>
      <w:r>
        <w:rPr>
          <w:rFonts w:cs="Times New Roman"/>
          <w:szCs w:val="24"/>
        </w:rPr>
        <w:t>our</w:t>
      </w:r>
      <w:r w:rsidRPr="00FA56C3">
        <w:rPr>
          <w:rFonts w:cs="Times New Roman"/>
          <w:szCs w:val="24"/>
        </w:rPr>
        <w:t xml:space="preserve"> alternative method, which generates higher intensities for these categories. </w:t>
      </w:r>
    </w:p>
    <w:p w:rsidR="00D61A26" w:rsidRPr="00FA56C3" w:rsidRDefault="00D61A26" w:rsidP="00265AB4">
      <w:pPr>
        <w:pStyle w:val="Overskrift2"/>
        <w:spacing w:line="240" w:lineRule="auto"/>
      </w:pPr>
      <w:bookmarkStart w:id="1" w:name="_1t3h5sf" w:colFirst="0" w:colLast="0"/>
      <w:bookmarkEnd w:id="1"/>
      <w:r w:rsidRPr="00FA56C3">
        <w:t>CO</w:t>
      </w:r>
      <w:r w:rsidRPr="00FA56C3">
        <w:rPr>
          <w:vertAlign w:val="subscript"/>
        </w:rPr>
        <w:t>2</w:t>
      </w:r>
      <w:r w:rsidRPr="00FA56C3">
        <w:t xml:space="preserve"> footprints of U.S. households</w:t>
      </w:r>
    </w:p>
    <w:p w:rsidR="00D61A26" w:rsidRPr="00FA56C3" w:rsidRDefault="00D61A26" w:rsidP="00265AB4">
      <w:pPr>
        <w:spacing w:line="240" w:lineRule="auto"/>
        <w:ind w:firstLine="0"/>
        <w:rPr>
          <w:rFonts w:cs="Times New Roman"/>
          <w:szCs w:val="24"/>
        </w:rPr>
      </w:pPr>
      <w:r w:rsidRPr="00FA56C3">
        <w:rPr>
          <w:rFonts w:cs="Times New Roman"/>
          <w:szCs w:val="24"/>
        </w:rPr>
        <w:t xml:space="preserve">We </w:t>
      </w:r>
      <w:r>
        <w:rPr>
          <w:rFonts w:cs="Times New Roman"/>
          <w:szCs w:val="24"/>
        </w:rPr>
        <w:t>calculate</w:t>
      </w:r>
      <w:r w:rsidRPr="00FA56C3">
        <w:rPr>
          <w:rFonts w:cs="Times New Roman"/>
          <w:szCs w:val="24"/>
        </w:rPr>
        <w:t xml:space="preserve"> the CO</w:t>
      </w:r>
      <w:r w:rsidRPr="00FA56C3">
        <w:rPr>
          <w:rFonts w:cs="Times New Roman"/>
          <w:szCs w:val="24"/>
          <w:vertAlign w:val="subscript"/>
        </w:rPr>
        <w:t>2</w:t>
      </w:r>
      <w:r w:rsidRPr="00FA56C3">
        <w:rPr>
          <w:rFonts w:cs="Times New Roman"/>
          <w:szCs w:val="24"/>
        </w:rPr>
        <w:t xml:space="preserve"> footprints of U.S. households by combining our estimates of carbon intensities from Table </w:t>
      </w:r>
      <w:r>
        <w:rPr>
          <w:rFonts w:cs="Times New Roman"/>
          <w:szCs w:val="24"/>
        </w:rPr>
        <w:t>A2</w:t>
      </w:r>
      <w:r w:rsidRPr="00FA56C3">
        <w:rPr>
          <w:rFonts w:cs="Times New Roman"/>
          <w:szCs w:val="24"/>
        </w:rPr>
        <w:t xml:space="preserve"> with CEX data on household consumption patterns. The CEX Public Use Microdata provides detailed information on buying habits of households. We use data from the Interview Survey, which describes 85-95 percent of household expenditures (CEX 2014, 33). While this survey </w:t>
      </w:r>
      <w:r>
        <w:rPr>
          <w:rFonts w:cs="Times New Roman"/>
          <w:szCs w:val="24"/>
        </w:rPr>
        <w:t>fails to capture</w:t>
      </w:r>
      <w:r w:rsidRPr="00FA56C3">
        <w:rPr>
          <w:rFonts w:cs="Times New Roman"/>
          <w:szCs w:val="24"/>
        </w:rPr>
        <w:t xml:space="preserve"> household expenditures</w:t>
      </w:r>
      <w:r>
        <w:rPr>
          <w:rFonts w:cs="Times New Roman"/>
          <w:szCs w:val="24"/>
        </w:rPr>
        <w:t xml:space="preserve"> on</w:t>
      </w:r>
      <w:r w:rsidRPr="00FA56C3">
        <w:rPr>
          <w:rFonts w:cs="Times New Roman"/>
          <w:szCs w:val="24"/>
        </w:rPr>
        <w:t xml:space="preserve"> </w:t>
      </w:r>
      <w:r>
        <w:rPr>
          <w:rFonts w:cs="Times New Roman"/>
          <w:szCs w:val="24"/>
        </w:rPr>
        <w:t xml:space="preserve">some </w:t>
      </w:r>
      <w:r w:rsidRPr="00FA56C3">
        <w:rPr>
          <w:rFonts w:cs="Times New Roman"/>
          <w:szCs w:val="24"/>
        </w:rPr>
        <w:t xml:space="preserve">housekeeping supplies, personal care products, and nonprescription medication, </w:t>
      </w:r>
      <w:r>
        <w:rPr>
          <w:rFonts w:cs="Times New Roman"/>
          <w:szCs w:val="24"/>
        </w:rPr>
        <w:t>these goods</w:t>
      </w:r>
      <w:r w:rsidRPr="00FA56C3">
        <w:rPr>
          <w:rFonts w:cs="Times New Roman"/>
          <w:szCs w:val="24"/>
        </w:rPr>
        <w:t xml:space="preserve"> are responsible for a negligible share of CO</w:t>
      </w:r>
      <w:r w:rsidRPr="00FA56C3">
        <w:rPr>
          <w:rFonts w:cs="Times New Roman"/>
          <w:szCs w:val="24"/>
          <w:vertAlign w:val="subscript"/>
        </w:rPr>
        <w:t>2</w:t>
      </w:r>
      <w:r w:rsidRPr="00FA56C3">
        <w:rPr>
          <w:rFonts w:cs="Times New Roman"/>
          <w:szCs w:val="24"/>
        </w:rPr>
        <w:t xml:space="preserve"> emissions.</w:t>
      </w:r>
    </w:p>
    <w:p w:rsidR="00D61A26" w:rsidRPr="00FA56C3" w:rsidRDefault="00D61A26" w:rsidP="00265AB4">
      <w:pPr>
        <w:spacing w:line="240" w:lineRule="auto"/>
        <w:rPr>
          <w:rFonts w:cs="Times New Roman"/>
          <w:szCs w:val="24"/>
        </w:rPr>
      </w:pPr>
      <w:r w:rsidRPr="00FA56C3">
        <w:rPr>
          <w:rFonts w:cs="Times New Roman"/>
          <w:szCs w:val="24"/>
        </w:rPr>
        <w:t>One challenge for our analysis is that 29 percent of renters (</w:t>
      </w:r>
      <w:r>
        <w:rPr>
          <w:rFonts w:cs="Times New Roman"/>
          <w:szCs w:val="24"/>
        </w:rPr>
        <w:t>and</w:t>
      </w:r>
      <w:r w:rsidRPr="00FA56C3">
        <w:rPr>
          <w:rFonts w:cs="Times New Roman"/>
          <w:szCs w:val="24"/>
        </w:rPr>
        <w:t xml:space="preserve"> 11 percent of all households) have some form of residential energy included in their rent. </w:t>
      </w:r>
      <w:r>
        <w:rPr>
          <w:rFonts w:cs="Times New Roman"/>
          <w:szCs w:val="24"/>
        </w:rPr>
        <w:t>In a perfectly competitive rental market, l</w:t>
      </w:r>
      <w:r w:rsidRPr="00FA56C3">
        <w:rPr>
          <w:rFonts w:cs="Times New Roman"/>
          <w:szCs w:val="24"/>
        </w:rPr>
        <w:t>andlords would pass the carbon tax on to these households in the form of higher rent</w:t>
      </w:r>
      <w:r>
        <w:rPr>
          <w:rFonts w:cs="Times New Roman"/>
          <w:szCs w:val="24"/>
        </w:rPr>
        <w:t xml:space="preserve"> (</w:t>
      </w:r>
      <w:proofErr w:type="spellStart"/>
      <w:r>
        <w:rPr>
          <w:rFonts w:cs="Times New Roman"/>
          <w:szCs w:val="24"/>
        </w:rPr>
        <w:t>Glaeser</w:t>
      </w:r>
      <w:proofErr w:type="spellEnd"/>
      <w:r>
        <w:rPr>
          <w:rFonts w:cs="Times New Roman"/>
          <w:szCs w:val="24"/>
        </w:rPr>
        <w:t xml:space="preserve"> and Kahn 2010; </w:t>
      </w:r>
      <w:r>
        <w:rPr>
          <w:rFonts w:eastAsia="Times New Roman" w:cs="Times New Roman"/>
          <w:color w:val="222222"/>
          <w:highlight w:val="white"/>
        </w:rPr>
        <w:t xml:space="preserve">Levinson and Niemann </w:t>
      </w:r>
      <w:r w:rsidRPr="002A5EDE">
        <w:rPr>
          <w:rFonts w:eastAsia="Times New Roman" w:cs="Times New Roman"/>
          <w:color w:val="222222"/>
          <w:highlight w:val="white"/>
        </w:rPr>
        <w:t>2004</w:t>
      </w:r>
      <w:r>
        <w:rPr>
          <w:rFonts w:cs="Times New Roman"/>
          <w:szCs w:val="24"/>
        </w:rPr>
        <w:t>)</w:t>
      </w:r>
      <w:r w:rsidRPr="00FA56C3">
        <w:rPr>
          <w:rFonts w:cs="Times New Roman"/>
          <w:szCs w:val="24"/>
        </w:rPr>
        <w:t xml:space="preserve">. We address this problem by imputing electricity and natural gas expenditures for households that report their landlords pay for electricity, gas, or heat using data from renters who </w:t>
      </w:r>
      <w:r>
        <w:rPr>
          <w:rFonts w:cs="Times New Roman"/>
          <w:szCs w:val="24"/>
        </w:rPr>
        <w:t xml:space="preserve">directly </w:t>
      </w:r>
      <w:r w:rsidRPr="00FA56C3">
        <w:rPr>
          <w:rFonts w:cs="Times New Roman"/>
          <w:szCs w:val="24"/>
        </w:rPr>
        <w:t>pay for all utilities. We use predictive mean matching to estimate what renters indirectly pay for utilities using total household expenditures, household size, and region-quarter effects to account for seasonal variation. This imputation increases total expenditures on natural gas by about 6 percent and expenditures on electricity by about 3 percent.</w:t>
      </w:r>
    </w:p>
    <w:p w:rsidR="00D61A26" w:rsidRDefault="00D61A26" w:rsidP="00265AB4">
      <w:pPr>
        <w:spacing w:line="240" w:lineRule="auto"/>
        <w:rPr>
          <w:rFonts w:cs="Times New Roman"/>
          <w:szCs w:val="24"/>
        </w:rPr>
      </w:pPr>
      <w:r w:rsidRPr="00FA56C3">
        <w:rPr>
          <w:rFonts w:cs="Times New Roman"/>
          <w:szCs w:val="24"/>
        </w:rPr>
        <w:t>Next, we construct a nationally-representative pooled cross-section of American households from 2012 to 2014. Our analysis begins w</w:t>
      </w:r>
      <w:r>
        <w:rPr>
          <w:rFonts w:cs="Times New Roman"/>
          <w:szCs w:val="24"/>
        </w:rPr>
        <w:t>ith carbon footprints for 76,448</w:t>
      </w:r>
      <w:r w:rsidRPr="00FA56C3">
        <w:rPr>
          <w:rFonts w:cs="Times New Roman"/>
          <w:szCs w:val="24"/>
        </w:rPr>
        <w:t xml:space="preserve"> household-quarters, but after dropping 1 percent of observations with incomplete geocodes, renter information, negative total expenditures, or negative incomes we have 75,778 observations. Following other studies (Boyce and Riddle 2011; Mathur and Morris 2014), we further restrict the sample to those households that we observe for all four quarters and collapse the quarterly data to annual data, which leaves us with 9,61</w:t>
      </w:r>
      <w:r w:rsidR="006E0597">
        <w:rPr>
          <w:rFonts w:cs="Times New Roman"/>
          <w:szCs w:val="24"/>
        </w:rPr>
        <w:t>6</w:t>
      </w:r>
      <w:r w:rsidRPr="00FA56C3">
        <w:rPr>
          <w:rFonts w:cs="Times New Roman"/>
          <w:szCs w:val="24"/>
        </w:rPr>
        <w:t xml:space="preserve"> household-years. </w:t>
      </w:r>
      <w:r>
        <w:rPr>
          <w:rFonts w:cs="Times New Roman"/>
          <w:szCs w:val="24"/>
        </w:rPr>
        <w:t xml:space="preserve">When we sort individuals into deciles below, we are left with 962 observations per decile. </w:t>
      </w:r>
      <w:r w:rsidRPr="00FA56C3">
        <w:rPr>
          <w:rFonts w:cs="Times New Roman"/>
          <w:szCs w:val="24"/>
        </w:rPr>
        <w:t>Although this reduces our sample by about half, it ensures that our results are not biased by seasonal variation in carbon emissions. We uniformly increase the household survey weights so that our adjusted individual weights equal U.S. population in 2013.</w:t>
      </w:r>
      <w:r>
        <w:rPr>
          <w:rFonts w:cs="Times New Roman"/>
          <w:szCs w:val="24"/>
        </w:rPr>
        <w:t xml:space="preserve"> </w:t>
      </w:r>
      <w:r w:rsidRPr="00FA56C3">
        <w:rPr>
          <w:rFonts w:cs="Times New Roman"/>
          <w:szCs w:val="24"/>
        </w:rPr>
        <w:t>Each household</w:t>
      </w:r>
      <w:r>
        <w:rPr>
          <w:rFonts w:cs="Times New Roman"/>
          <w:szCs w:val="24"/>
        </w:rPr>
        <w:t xml:space="preserve"> </w:t>
      </w:r>
      <w:r>
        <w:rPr>
          <w:rFonts w:cs="Times New Roman"/>
          <w:i/>
          <w:szCs w:val="24"/>
        </w:rPr>
        <w:t>i</w:t>
      </w:r>
      <w:r w:rsidRPr="00FA56C3">
        <w:rPr>
          <w:rFonts w:cs="Times New Roman"/>
          <w:szCs w:val="24"/>
        </w:rPr>
        <w:t xml:space="preserve">’s carbon footprint is simply the sum of the carbon embodied in each of these categories of goods: </w:t>
      </w:r>
    </w:p>
    <w:p w:rsidR="00D61A26" w:rsidRPr="00FA56C3" w:rsidRDefault="00D61A26" w:rsidP="00265AB4">
      <w:pPr>
        <w:spacing w:line="240" w:lineRule="auto"/>
        <w:rPr>
          <w:rFonts w:cs="Times New Roman"/>
          <w:szCs w:val="24"/>
        </w:rPr>
      </w:pPr>
      <m:oMath>
        <m:r>
          <m:rPr>
            <m:sty m:val="p"/>
          </m:rPr>
          <w:rPr>
            <w:rFonts w:ascii="Cambria Math" w:hAnsi="Cambria Math" w:cs="Times New Roman"/>
            <w:szCs w:val="24"/>
          </w:rPr>
          <m:t xml:space="preserve">Carbon </m:t>
        </m:r>
        <m:sSub>
          <m:sSubPr>
            <m:ctrlPr>
              <w:rPr>
                <w:rFonts w:ascii="Cambria Math" w:hAnsi="Cambria Math" w:cs="Times New Roman"/>
                <w:szCs w:val="24"/>
                <w:vertAlign w:val="subscript"/>
              </w:rPr>
            </m:ctrlPr>
          </m:sSubPr>
          <m:e>
            <m:r>
              <m:rPr>
                <m:sty m:val="p"/>
              </m:rPr>
              <w:rPr>
                <w:rFonts w:ascii="Cambria Math" w:hAnsi="Cambria Math" w:cs="Times New Roman"/>
                <w:szCs w:val="24"/>
              </w:rPr>
              <m:t>Footprint</m:t>
            </m:r>
            <m:ctrlPr>
              <w:rPr>
                <w:rFonts w:ascii="Cambria Math" w:hAnsi="Cambria Math" w:cs="Times New Roman"/>
                <w:szCs w:val="24"/>
              </w:rPr>
            </m:ctrlPr>
          </m:e>
          <m:sub>
            <m:r>
              <m:rPr>
                <m:sty m:val="p"/>
              </m:rPr>
              <w:rPr>
                <w:rFonts w:ascii="Cambria Math" w:hAnsi="Cambria Math" w:cs="Times New Roman"/>
                <w:szCs w:val="24"/>
                <w:vertAlign w:val="subscript"/>
              </w:rPr>
              <m:t>i</m:t>
            </m:r>
          </m:sub>
        </m:sSub>
        <m:r>
          <m:rPr>
            <m:sty m:val="p"/>
          </m:rPr>
          <w:rPr>
            <w:rFonts w:ascii="Cambria Math" w:hAnsi="Cambria Math" w:cs="Times New Roman"/>
            <w:szCs w:val="24"/>
          </w:rPr>
          <m:t>=</m:t>
        </m:r>
        <m:nary>
          <m:naryPr>
            <m:chr m:val="∑"/>
            <m:ctrlPr>
              <w:rPr>
                <w:rFonts w:ascii="Cambria Math" w:eastAsia="Cambria" w:hAnsi="Cambria Math" w:cs="Times New Roman"/>
                <w:szCs w:val="24"/>
              </w:rPr>
            </m:ctrlPr>
          </m:naryPr>
          <m:sub>
            <m:r>
              <w:rPr>
                <w:rFonts w:ascii="Cambria Math" w:eastAsia="Cambria" w:hAnsi="Cambria Math" w:cs="Times New Roman"/>
                <w:szCs w:val="24"/>
              </w:rPr>
              <m:t>j=1</m:t>
            </m:r>
          </m:sub>
          <m:sup>
            <m:r>
              <w:rPr>
                <w:rFonts w:ascii="Cambria Math" w:eastAsia="Cambria" w:hAnsi="Cambria Math" w:cs="Times New Roman"/>
                <w:szCs w:val="24"/>
              </w:rPr>
              <m:t>27</m:t>
            </m:r>
          </m:sup>
          <m:e>
            <m:r>
              <m:rPr>
                <m:sty m:val="p"/>
              </m:rPr>
              <w:rPr>
                <w:rFonts w:ascii="Cambria Math" w:hAnsi="Cambria Math" w:cs="Times New Roman"/>
                <w:szCs w:val="24"/>
              </w:rPr>
              <m:t xml:space="preserve">CEX </m:t>
            </m:r>
            <m:sSub>
              <m:sSubPr>
                <m:ctrlPr>
                  <w:rPr>
                    <w:rFonts w:ascii="Cambria Math" w:hAnsi="Cambria Math" w:cs="Times New Roman"/>
                    <w:szCs w:val="24"/>
                  </w:rPr>
                </m:ctrlPr>
              </m:sSubPr>
              <m:e>
                <m:r>
                  <m:rPr>
                    <m:sty m:val="p"/>
                  </m:rPr>
                  <w:rPr>
                    <w:rFonts w:ascii="Cambria Math" w:hAnsi="Cambria Math" w:cs="Times New Roman"/>
                    <w:szCs w:val="24"/>
                  </w:rPr>
                  <m:t>intensity</m:t>
                </m:r>
              </m:e>
              <m:sub>
                <m:r>
                  <m:rPr>
                    <m:sty m:val="p"/>
                  </m:rPr>
                  <w:rPr>
                    <w:rFonts w:ascii="Cambria Math" w:hAnsi="Cambria Math" w:cs="Times New Roman"/>
                    <w:szCs w:val="24"/>
                  </w:rPr>
                  <m:t>jt</m:t>
                </m:r>
              </m:sub>
            </m:sSub>
            <m:r>
              <m:rPr>
                <m:sty m:val="p"/>
              </m:rPr>
              <w:rPr>
                <w:rFonts w:ascii="Cambria Math" w:hAnsi="Cambria Math" w:cs="Times New Roman"/>
                <w:szCs w:val="24"/>
              </w:rPr>
              <m:t xml:space="preserve">*CEX </m:t>
            </m:r>
            <m:sSub>
              <m:sSubPr>
                <m:ctrlPr>
                  <w:rPr>
                    <w:rFonts w:ascii="Cambria Math" w:hAnsi="Cambria Math" w:cs="Times New Roman"/>
                    <w:szCs w:val="24"/>
                  </w:rPr>
                </m:ctrlPr>
              </m:sSubPr>
              <m:e>
                <m:r>
                  <m:rPr>
                    <m:sty m:val="p"/>
                  </m:rPr>
                  <w:rPr>
                    <w:rFonts w:ascii="Cambria Math" w:hAnsi="Cambria Math" w:cs="Times New Roman"/>
                    <w:szCs w:val="24"/>
                  </w:rPr>
                  <m:t>expenditure</m:t>
                </m:r>
              </m:e>
              <m:sub>
                <m:r>
                  <m:rPr>
                    <m:sty m:val="p"/>
                  </m:rPr>
                  <w:rPr>
                    <w:rFonts w:ascii="Cambria Math" w:hAnsi="Cambria Math" w:cs="Times New Roman"/>
                    <w:szCs w:val="24"/>
                  </w:rPr>
                  <m:t>ijt</m:t>
                </m:r>
              </m:sub>
            </m:sSub>
            <m:r>
              <m:rPr>
                <m:sty m:val="p"/>
              </m:rPr>
              <w:rPr>
                <w:rFonts w:ascii="Cambria Math" w:hAnsi="Cambria Math" w:cs="Times New Roman"/>
                <w:szCs w:val="24"/>
              </w:rPr>
              <m:t xml:space="preserve"> </m:t>
            </m:r>
          </m:e>
        </m:nary>
      </m:oMath>
      <w:r w:rsidRPr="00FA56C3">
        <w:rPr>
          <w:rFonts w:cs="Times New Roman"/>
          <w:szCs w:val="24"/>
        </w:rPr>
        <w:t xml:space="preserve"> </w:t>
      </w:r>
      <w:r w:rsidRPr="00FA56C3">
        <w:rPr>
          <w:rFonts w:cs="Times New Roman"/>
          <w:szCs w:val="24"/>
        </w:rPr>
        <w:tab/>
      </w:r>
      <w:r>
        <w:rPr>
          <w:rFonts w:cs="Times New Roman"/>
          <w:szCs w:val="24"/>
        </w:rPr>
        <w:tab/>
      </w:r>
      <w:r w:rsidRPr="00FA56C3">
        <w:rPr>
          <w:rFonts w:cs="Times New Roman"/>
          <w:szCs w:val="24"/>
        </w:rPr>
        <w:t>(Equation 2)</w:t>
      </w:r>
    </w:p>
    <w:p w:rsidR="00D61A26" w:rsidRPr="00FA56C3" w:rsidRDefault="00D61A26" w:rsidP="00265AB4">
      <w:pPr>
        <w:spacing w:line="240" w:lineRule="auto"/>
        <w:ind w:firstLine="0"/>
        <w:rPr>
          <w:rFonts w:cs="Times New Roman"/>
          <w:szCs w:val="24"/>
        </w:rPr>
      </w:pPr>
      <w:r w:rsidRPr="00FA56C3">
        <w:rPr>
          <w:rFonts w:cs="Times New Roman"/>
          <w:szCs w:val="24"/>
        </w:rPr>
        <w:t xml:space="preserve">where </w:t>
      </w:r>
      <w:proofErr w:type="spellStart"/>
      <w:r>
        <w:rPr>
          <w:rFonts w:cs="Times New Roman"/>
          <w:i/>
          <w:szCs w:val="24"/>
        </w:rPr>
        <w:t>j</w:t>
      </w:r>
      <w:r w:rsidRPr="00FA56C3">
        <w:rPr>
          <w:rFonts w:cs="Times New Roman"/>
          <w:i/>
          <w:szCs w:val="24"/>
        </w:rPr>
        <w:t>t</w:t>
      </w:r>
      <w:proofErr w:type="spellEnd"/>
      <w:r w:rsidRPr="00FA56C3">
        <w:rPr>
          <w:rFonts w:cs="Times New Roman"/>
          <w:i/>
          <w:szCs w:val="24"/>
        </w:rPr>
        <w:t xml:space="preserve"> </w:t>
      </w:r>
      <w:r w:rsidRPr="00FA56C3">
        <w:rPr>
          <w:rFonts w:cs="Times New Roman"/>
          <w:szCs w:val="24"/>
        </w:rPr>
        <w:t xml:space="preserve">specifies the category-year intensity. </w:t>
      </w:r>
    </w:p>
    <w:p w:rsidR="00D61A26" w:rsidRPr="00FA56C3" w:rsidRDefault="00D61A26" w:rsidP="00265AB4">
      <w:pPr>
        <w:spacing w:line="240" w:lineRule="auto"/>
        <w:rPr>
          <w:rFonts w:cs="Times New Roman"/>
          <w:szCs w:val="24"/>
        </w:rPr>
      </w:pPr>
      <w:r w:rsidRPr="00FA56C3">
        <w:rPr>
          <w:rFonts w:cs="Times New Roman"/>
          <w:szCs w:val="24"/>
        </w:rPr>
        <w:t xml:space="preserve">Our sample suggests that U.S. household consumption </w:t>
      </w:r>
      <w:r>
        <w:rPr>
          <w:rFonts w:cs="Times New Roman"/>
          <w:szCs w:val="24"/>
        </w:rPr>
        <w:t xml:space="preserve">in </w:t>
      </w:r>
      <w:r w:rsidRPr="00FA56C3">
        <w:rPr>
          <w:rFonts w:cs="Times New Roman"/>
          <w:szCs w:val="24"/>
        </w:rPr>
        <w:t>accounts for 3.1 gigatons of CO</w:t>
      </w:r>
      <w:r w:rsidRPr="00FA56C3">
        <w:rPr>
          <w:rFonts w:cs="Times New Roman"/>
          <w:szCs w:val="24"/>
          <w:vertAlign w:val="subscript"/>
        </w:rPr>
        <w:t>2</w:t>
      </w:r>
      <w:r w:rsidRPr="00FA56C3">
        <w:rPr>
          <w:rFonts w:cs="Times New Roman"/>
          <w:szCs w:val="24"/>
        </w:rPr>
        <w:t xml:space="preserve"> emissions per year, or 58 percent of annual emissions that enter the model in Section 3</w:t>
      </w:r>
      <w:r>
        <w:rPr>
          <w:rFonts w:cs="Times New Roman"/>
          <w:szCs w:val="24"/>
        </w:rPr>
        <w:t>.</w:t>
      </w:r>
      <w:r w:rsidRPr="00FA56C3">
        <w:rPr>
          <w:rFonts w:cs="Times New Roman"/>
          <w:szCs w:val="24"/>
        </w:rPr>
        <w:t xml:space="preserve">1. It is important to </w:t>
      </w:r>
      <w:r>
        <w:rPr>
          <w:rFonts w:cs="Times New Roman"/>
          <w:szCs w:val="24"/>
        </w:rPr>
        <w:t>note</w:t>
      </w:r>
      <w:r w:rsidRPr="00FA56C3">
        <w:rPr>
          <w:rFonts w:cs="Times New Roman"/>
          <w:szCs w:val="24"/>
        </w:rPr>
        <w:t xml:space="preserve"> that our method does not capture CO</w:t>
      </w:r>
      <w:r w:rsidRPr="00FA56C3">
        <w:rPr>
          <w:rFonts w:cs="Times New Roman"/>
          <w:szCs w:val="24"/>
          <w:vertAlign w:val="subscript"/>
        </w:rPr>
        <w:t>2</w:t>
      </w:r>
      <w:r w:rsidRPr="00FA56C3">
        <w:rPr>
          <w:rFonts w:cs="Times New Roman"/>
          <w:szCs w:val="24"/>
        </w:rPr>
        <w:t xml:space="preserve"> emissions generated by federal, state, and local governments, which our industry-level intensities suggest </w:t>
      </w:r>
      <w:r>
        <w:rPr>
          <w:rFonts w:cs="Times New Roman"/>
          <w:szCs w:val="24"/>
        </w:rPr>
        <w:t>generate</w:t>
      </w:r>
      <w:r w:rsidRPr="00FA56C3">
        <w:rPr>
          <w:rFonts w:cs="Times New Roman"/>
          <w:szCs w:val="24"/>
        </w:rPr>
        <w:t xml:space="preserve"> 24 percent of CO</w:t>
      </w:r>
      <w:r w:rsidRPr="00FA56C3">
        <w:rPr>
          <w:rFonts w:cs="Times New Roman"/>
          <w:szCs w:val="24"/>
          <w:vertAlign w:val="subscript"/>
        </w:rPr>
        <w:t>2</w:t>
      </w:r>
      <w:r w:rsidRPr="00FA56C3">
        <w:rPr>
          <w:rFonts w:cs="Times New Roman"/>
          <w:szCs w:val="24"/>
        </w:rPr>
        <w:t xml:space="preserve"> emissions. Accounting for government emissions, our methodology attributes 82 percent of CO</w:t>
      </w:r>
      <w:r w:rsidRPr="00FA56C3">
        <w:rPr>
          <w:rFonts w:cs="Times New Roman"/>
          <w:szCs w:val="24"/>
          <w:vertAlign w:val="subscript"/>
        </w:rPr>
        <w:t>2</w:t>
      </w:r>
      <w:r w:rsidRPr="00FA56C3">
        <w:rPr>
          <w:rFonts w:cs="Times New Roman"/>
          <w:szCs w:val="24"/>
        </w:rPr>
        <w:t xml:space="preserve"> </w:t>
      </w:r>
      <w:r>
        <w:rPr>
          <w:rFonts w:cs="Times New Roman"/>
          <w:szCs w:val="24"/>
        </w:rPr>
        <w:t xml:space="preserve">production-based </w:t>
      </w:r>
      <w:r w:rsidRPr="00FA56C3">
        <w:rPr>
          <w:rFonts w:cs="Times New Roman"/>
          <w:szCs w:val="24"/>
        </w:rPr>
        <w:t>emissions to final users</w:t>
      </w:r>
      <w:r w:rsidRPr="008622B9">
        <w:rPr>
          <w:rFonts w:cs="Times New Roman"/>
          <w:szCs w:val="24"/>
        </w:rPr>
        <w:t xml:space="preserve"> </w:t>
      </w:r>
      <w:r>
        <w:rPr>
          <w:rFonts w:cs="Times New Roman"/>
          <w:szCs w:val="24"/>
        </w:rPr>
        <w:t>in the U.S</w:t>
      </w:r>
      <w:r w:rsidRPr="00FA56C3">
        <w:rPr>
          <w:rFonts w:cs="Times New Roman"/>
          <w:szCs w:val="24"/>
        </w:rPr>
        <w:t>.</w:t>
      </w:r>
    </w:p>
    <w:p w:rsidR="00741AE4" w:rsidRDefault="00741AE4" w:rsidP="00741AE4">
      <w:pPr>
        <w:spacing w:line="240" w:lineRule="auto"/>
        <w:ind w:firstLine="0"/>
        <w:jc w:val="left"/>
      </w:pPr>
    </w:p>
    <w:p w:rsidR="0097074D" w:rsidRDefault="0097074D">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b/>
        </w:rPr>
      </w:pPr>
      <w:r>
        <w:rPr>
          <w:b/>
        </w:rPr>
        <w:br w:type="page"/>
      </w:r>
    </w:p>
    <w:p w:rsidR="0097074D" w:rsidRPr="0097074D" w:rsidRDefault="0097074D" w:rsidP="0097074D">
      <w:pPr>
        <w:spacing w:line="240" w:lineRule="auto"/>
        <w:ind w:firstLine="0"/>
        <w:jc w:val="left"/>
        <w:rPr>
          <w:b/>
        </w:rPr>
      </w:pPr>
      <w:r w:rsidRPr="0097074D">
        <w:rPr>
          <w:b/>
        </w:rPr>
        <w:lastRenderedPageBreak/>
        <w:t>References</w:t>
      </w:r>
    </w:p>
    <w:p w:rsidR="0097074D" w:rsidRDefault="0097074D" w:rsidP="0097074D">
      <w:pPr>
        <w:spacing w:line="240" w:lineRule="auto"/>
        <w:ind w:firstLine="0"/>
        <w:jc w:val="left"/>
      </w:pPr>
    </w:p>
    <w:p w:rsidR="0097074D" w:rsidRDefault="0097074D" w:rsidP="0097074D">
      <w:pPr>
        <w:widowControl w:val="0"/>
        <w:tabs>
          <w:tab w:val="left" w:pos="450"/>
        </w:tabs>
        <w:spacing w:after="240" w:line="240" w:lineRule="auto"/>
        <w:ind w:left="720" w:hanging="720"/>
        <w:rPr>
          <w:rFonts w:eastAsia="Garamond" w:cs="Times New Roman"/>
          <w:color w:val="222222"/>
          <w:szCs w:val="24"/>
        </w:rPr>
      </w:pPr>
      <w:r w:rsidRPr="00794586">
        <w:rPr>
          <w:rFonts w:eastAsia="Garamond" w:cs="Times New Roman"/>
          <w:color w:val="222222"/>
          <w:szCs w:val="24"/>
        </w:rPr>
        <w:t>Boyce, James K., and Matthew Riddle</w:t>
      </w:r>
      <w:r w:rsidRPr="00794586">
        <w:rPr>
          <w:rFonts w:eastAsia="Garamond" w:cs="Times New Roman"/>
          <w:color w:val="222222"/>
          <w:szCs w:val="24"/>
          <w:highlight w:val="white"/>
        </w:rPr>
        <w:t>. 2011. “CLEAR Economics: State-level Impacts of the Carbon Limits and Energy for America’s Renewal Act on Family Incomes and Jobs.” Amherst, MA, Political Economy Research Institute University of Massachusetts, Amherst.</w:t>
      </w:r>
    </w:p>
    <w:p w:rsidR="0097074D" w:rsidRPr="00794586" w:rsidRDefault="0097074D" w:rsidP="0097074D">
      <w:pPr>
        <w:spacing w:after="240" w:line="240" w:lineRule="auto"/>
        <w:ind w:left="720" w:hanging="720"/>
        <w:rPr>
          <w:rFonts w:eastAsia="Times New Roman" w:cs="Times New Roman"/>
          <w:color w:val="222222"/>
        </w:rPr>
      </w:pPr>
      <w:proofErr w:type="spellStart"/>
      <w:r w:rsidRPr="00794586">
        <w:rPr>
          <w:rFonts w:eastAsia="Times New Roman" w:cs="Times New Roman"/>
          <w:color w:val="222222"/>
          <w:highlight w:val="white"/>
        </w:rPr>
        <w:t>Glaeser</w:t>
      </w:r>
      <w:proofErr w:type="spellEnd"/>
      <w:r w:rsidRPr="00794586">
        <w:rPr>
          <w:rFonts w:eastAsia="Times New Roman" w:cs="Times New Roman"/>
          <w:color w:val="222222"/>
          <w:highlight w:val="white"/>
        </w:rPr>
        <w:t xml:space="preserve">, Edward, Matthew Kahn. 2010. The greenness of cities: carbon dioxide emissions and urban development. </w:t>
      </w:r>
      <w:r w:rsidRPr="00794586">
        <w:rPr>
          <w:rFonts w:eastAsia="Times New Roman" w:cs="Times New Roman"/>
          <w:i/>
          <w:color w:val="222222"/>
          <w:highlight w:val="white"/>
        </w:rPr>
        <w:t>Journal of Urban Economics</w:t>
      </w:r>
      <w:r w:rsidRPr="00794586">
        <w:rPr>
          <w:rFonts w:eastAsia="Times New Roman" w:cs="Times New Roman"/>
          <w:color w:val="222222"/>
          <w:highlight w:val="white"/>
        </w:rPr>
        <w:t>, 67(3), 404-418.</w:t>
      </w:r>
    </w:p>
    <w:p w:rsidR="0097074D" w:rsidRPr="00794586" w:rsidRDefault="0097074D" w:rsidP="0097074D">
      <w:pPr>
        <w:widowControl w:val="0"/>
        <w:tabs>
          <w:tab w:val="left" w:pos="450"/>
        </w:tabs>
        <w:spacing w:after="240" w:line="240" w:lineRule="auto"/>
        <w:ind w:left="720" w:hanging="720"/>
        <w:rPr>
          <w:rFonts w:eastAsia="Garamond" w:cs="Times New Roman"/>
          <w:szCs w:val="24"/>
        </w:rPr>
      </w:pPr>
      <w:r w:rsidRPr="00794586">
        <w:rPr>
          <w:rFonts w:eastAsia="Garamond" w:cs="Times New Roman"/>
          <w:color w:val="222222"/>
          <w:szCs w:val="24"/>
          <w:highlight w:val="white"/>
        </w:rPr>
        <w:t xml:space="preserve">Horowitz, John, Julie-Anne Cronin, Hannah Hawkins, Laura Konda, and Alex </w:t>
      </w:r>
      <w:proofErr w:type="spellStart"/>
      <w:r w:rsidRPr="00794586">
        <w:rPr>
          <w:rFonts w:eastAsia="Garamond" w:cs="Times New Roman"/>
          <w:color w:val="222222"/>
          <w:szCs w:val="24"/>
          <w:highlight w:val="white"/>
        </w:rPr>
        <w:t>Yuskavage</w:t>
      </w:r>
      <w:proofErr w:type="spellEnd"/>
      <w:r w:rsidRPr="00794586">
        <w:rPr>
          <w:rFonts w:eastAsia="Garamond" w:cs="Times New Roman"/>
          <w:color w:val="222222"/>
          <w:szCs w:val="24"/>
          <w:highlight w:val="white"/>
        </w:rPr>
        <w:t xml:space="preserve">. 2017. “Methodology for Analyzing a Carbon Tax.” Office of Tax Analysis, Washington, D.C. Working Paper 115. </w:t>
      </w:r>
    </w:p>
    <w:p w:rsidR="0097074D" w:rsidRDefault="0097074D" w:rsidP="0097074D">
      <w:pPr>
        <w:widowControl w:val="0"/>
        <w:tabs>
          <w:tab w:val="left" w:pos="450"/>
        </w:tabs>
        <w:spacing w:after="240" w:line="240" w:lineRule="auto"/>
        <w:ind w:left="720" w:hanging="720"/>
        <w:rPr>
          <w:rFonts w:eastAsia="Garamond" w:cs="Times New Roman"/>
          <w:color w:val="222222"/>
          <w:szCs w:val="24"/>
          <w:highlight w:val="white"/>
        </w:rPr>
      </w:pPr>
      <w:r w:rsidRPr="00794586">
        <w:rPr>
          <w:rFonts w:eastAsia="Garamond" w:cs="Times New Roman"/>
          <w:color w:val="222222"/>
          <w:szCs w:val="24"/>
          <w:highlight w:val="white"/>
        </w:rPr>
        <w:t>Levinson, Arik, and Scott Niemann. 2004. Energy use by apartment tenants when landlords pay for utilities. </w:t>
      </w:r>
      <w:r w:rsidRPr="00794586">
        <w:rPr>
          <w:rFonts w:eastAsia="Garamond" w:cs="Times New Roman"/>
          <w:i/>
          <w:iCs/>
          <w:color w:val="222222"/>
          <w:szCs w:val="24"/>
          <w:highlight w:val="white"/>
        </w:rPr>
        <w:t>Resource and Energy Economics</w:t>
      </w:r>
      <w:r>
        <w:rPr>
          <w:rFonts w:eastAsia="Garamond" w:cs="Times New Roman"/>
          <w:i/>
          <w:iCs/>
          <w:color w:val="222222"/>
          <w:szCs w:val="24"/>
          <w:highlight w:val="white"/>
        </w:rPr>
        <w:t>,</w:t>
      </w:r>
      <w:r w:rsidRPr="00794586">
        <w:rPr>
          <w:rFonts w:eastAsia="Garamond" w:cs="Times New Roman"/>
          <w:color w:val="222222"/>
          <w:szCs w:val="24"/>
          <w:highlight w:val="white"/>
        </w:rPr>
        <w:t> 26(1): 51-75.</w:t>
      </w:r>
    </w:p>
    <w:p w:rsidR="0097074D" w:rsidRPr="00794586" w:rsidRDefault="0097074D" w:rsidP="0097074D">
      <w:pPr>
        <w:widowControl w:val="0"/>
        <w:tabs>
          <w:tab w:val="left" w:pos="450"/>
        </w:tabs>
        <w:spacing w:after="240" w:line="240" w:lineRule="auto"/>
        <w:ind w:left="720" w:hanging="720"/>
        <w:rPr>
          <w:rFonts w:eastAsia="Garamond" w:cs="Times New Roman"/>
          <w:color w:val="222222"/>
          <w:szCs w:val="24"/>
          <w:highlight w:val="white"/>
        </w:rPr>
      </w:pPr>
      <w:r w:rsidRPr="00794586">
        <w:rPr>
          <w:rFonts w:eastAsia="Garamond" w:cs="Times New Roman"/>
          <w:color w:val="222222"/>
          <w:szCs w:val="24"/>
          <w:highlight w:val="white"/>
        </w:rPr>
        <w:t xml:space="preserve">Mathur, </w:t>
      </w:r>
      <w:proofErr w:type="spellStart"/>
      <w:r w:rsidRPr="00794586">
        <w:rPr>
          <w:rFonts w:eastAsia="Garamond" w:cs="Times New Roman"/>
          <w:color w:val="222222"/>
          <w:szCs w:val="24"/>
          <w:highlight w:val="white"/>
        </w:rPr>
        <w:t>Arparna</w:t>
      </w:r>
      <w:proofErr w:type="spellEnd"/>
      <w:r w:rsidRPr="00794586">
        <w:rPr>
          <w:rFonts w:eastAsia="Garamond" w:cs="Times New Roman"/>
          <w:color w:val="222222"/>
          <w:szCs w:val="24"/>
          <w:highlight w:val="white"/>
        </w:rPr>
        <w:t xml:space="preserve">, and Adele Morris. 2014. Distributional Effects of a Carbon Tax in Broader U.S. Fiscal Reform. </w:t>
      </w:r>
      <w:r w:rsidRPr="00794586">
        <w:rPr>
          <w:rFonts w:eastAsia="Garamond" w:cs="Times New Roman"/>
          <w:i/>
          <w:color w:val="222222"/>
          <w:szCs w:val="24"/>
          <w:highlight w:val="white"/>
        </w:rPr>
        <w:t>Energy Policy</w:t>
      </w:r>
      <w:r w:rsidRPr="00794586">
        <w:rPr>
          <w:rFonts w:eastAsia="Garamond" w:cs="Times New Roman"/>
          <w:color w:val="222222"/>
          <w:szCs w:val="24"/>
          <w:highlight w:val="white"/>
        </w:rPr>
        <w:t>, 66: 326-334.</w:t>
      </w:r>
    </w:p>
    <w:p w:rsidR="0097074D" w:rsidRPr="00794586" w:rsidRDefault="0097074D" w:rsidP="0097074D">
      <w:pPr>
        <w:widowControl w:val="0"/>
        <w:tabs>
          <w:tab w:val="left" w:pos="450"/>
        </w:tabs>
        <w:spacing w:after="240" w:line="240" w:lineRule="auto"/>
        <w:ind w:left="720" w:hanging="720"/>
        <w:rPr>
          <w:rFonts w:eastAsia="Garamond" w:cs="Times New Roman"/>
          <w:color w:val="222222"/>
          <w:szCs w:val="24"/>
          <w:highlight w:val="white"/>
        </w:rPr>
      </w:pPr>
      <w:r w:rsidRPr="00794586">
        <w:rPr>
          <w:rFonts w:eastAsia="Garamond" w:cs="Times New Roman"/>
          <w:szCs w:val="24"/>
        </w:rPr>
        <w:t xml:space="preserve">Metcalf, Gilbert. 1999. A Distributional Analysis of Green Tax Reforms. </w:t>
      </w:r>
      <w:r w:rsidRPr="009B0283">
        <w:rPr>
          <w:rFonts w:eastAsia="Garamond" w:cs="Times New Roman"/>
          <w:i/>
          <w:szCs w:val="24"/>
        </w:rPr>
        <w:t>National Tax Journal</w:t>
      </w:r>
      <w:r>
        <w:rPr>
          <w:rFonts w:eastAsia="Garamond" w:cs="Times New Roman"/>
          <w:szCs w:val="24"/>
        </w:rPr>
        <w:t>,</w:t>
      </w:r>
      <w:r w:rsidRPr="00794586">
        <w:rPr>
          <w:rFonts w:eastAsia="Garamond" w:cs="Times New Roman"/>
          <w:szCs w:val="24"/>
        </w:rPr>
        <w:t xml:space="preserve"> 52(4): 655–682.</w:t>
      </w:r>
    </w:p>
    <w:p w:rsidR="0097074D" w:rsidRDefault="0097074D" w:rsidP="00741AE4">
      <w:pPr>
        <w:spacing w:line="240" w:lineRule="auto"/>
        <w:ind w:firstLine="0"/>
        <w:jc w:val="left"/>
      </w:pPr>
    </w:p>
    <w:p w:rsidR="00741AE4" w:rsidRDefault="00741AE4" w:rsidP="00741AE4">
      <w:pPr>
        <w:spacing w:line="240" w:lineRule="auto"/>
        <w:ind w:firstLine="0"/>
        <w:jc w:val="left"/>
      </w:pPr>
    </w:p>
    <w:p w:rsidR="002F2A3D" w:rsidRDefault="005069D7" w:rsidP="002F2A3D">
      <w:pPr>
        <w:pStyle w:val="Listeafsnit"/>
        <w:numPr>
          <w:ilvl w:val="0"/>
          <w:numId w:val="3"/>
        </w:numPr>
        <w:spacing w:line="240" w:lineRule="auto"/>
        <w:ind w:left="540" w:hanging="540"/>
        <w:jc w:val="left"/>
        <w:rPr>
          <w:b/>
        </w:rPr>
      </w:pPr>
      <w:r>
        <w:br w:type="page"/>
      </w:r>
      <w:r w:rsidR="009D5B55">
        <w:rPr>
          <w:b/>
        </w:rPr>
        <w:lastRenderedPageBreak/>
        <w:t>Supplementary</w:t>
      </w:r>
      <w:r w:rsidR="002F2A3D">
        <w:rPr>
          <w:b/>
        </w:rPr>
        <w:t xml:space="preserve"> Tables</w:t>
      </w:r>
    </w:p>
    <w:p w:rsidR="0097074D" w:rsidRDefault="0097074D" w:rsidP="0097074D">
      <w:pPr>
        <w:pStyle w:val="Listeafsnit"/>
        <w:spacing w:line="240" w:lineRule="auto"/>
        <w:ind w:left="540" w:firstLine="0"/>
        <w:jc w:val="left"/>
        <w:rPr>
          <w:b/>
        </w:rPr>
      </w:pPr>
    </w:p>
    <w:tbl>
      <w:tblPr>
        <w:tblW w:w="8950" w:type="dxa"/>
        <w:jc w:val="center"/>
        <w:tblCellSpacing w:w="0" w:type="dxa"/>
        <w:tblCellMar>
          <w:left w:w="0" w:type="dxa"/>
          <w:right w:w="0" w:type="dxa"/>
        </w:tblCellMar>
        <w:tblLook w:val="04A0" w:firstRow="1" w:lastRow="0" w:firstColumn="1" w:lastColumn="0" w:noHBand="0" w:noVBand="1"/>
      </w:tblPr>
      <w:tblGrid>
        <w:gridCol w:w="4243"/>
        <w:gridCol w:w="1072"/>
        <w:gridCol w:w="838"/>
        <w:gridCol w:w="96"/>
        <w:gridCol w:w="901"/>
        <w:gridCol w:w="900"/>
        <w:gridCol w:w="900"/>
      </w:tblGrid>
      <w:tr w:rsidR="00D61A26" w:rsidRPr="00E17AA9" w:rsidTr="00D616F6">
        <w:trPr>
          <w:trHeight w:val="219"/>
          <w:tblCellSpacing w:w="0" w:type="dxa"/>
          <w:jc w:val="center"/>
        </w:trPr>
        <w:tc>
          <w:tcPr>
            <w:tcW w:w="8950" w:type="dxa"/>
            <w:gridSpan w:val="7"/>
            <w:tcBorders>
              <w:top w:val="single" w:sz="4" w:space="0" w:color="auto"/>
              <w:bottom w:val="single" w:sz="6" w:space="0" w:color="000000"/>
            </w:tcBorders>
            <w:tcMar>
              <w:top w:w="30" w:type="dxa"/>
              <w:left w:w="45" w:type="dxa"/>
              <w:bottom w:w="30" w:type="dxa"/>
              <w:right w:w="45" w:type="dxa"/>
            </w:tcMar>
            <w:vAlign w:val="bottom"/>
            <w:hideMark/>
          </w:tcPr>
          <w:p w:rsidR="00D61A26" w:rsidRPr="00E17AA9" w:rsidRDefault="00D61A26"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 xml:space="preserve">Table A1: </w:t>
            </w:r>
            <w:r w:rsidR="00634C25" w:rsidRPr="00634C25">
              <w:rPr>
                <w:rFonts w:eastAsia="Times New Roman" w:cs="Times New Roman"/>
                <w:color w:val="auto"/>
                <w:sz w:val="20"/>
                <w:szCs w:val="20"/>
              </w:rPr>
              <w:t>Carbon Intensity of Industries (in kgCO2/$)</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gridSpan w:val="2"/>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From 2007 Detailed Tables</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gridSpan w:val="3"/>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Extraction Method, Using Annual Summary Tables to Update 2007 Detailed Tables</w:t>
            </w:r>
          </w:p>
        </w:tc>
      </w:tr>
      <w:tr w:rsidR="00D61A26" w:rsidRPr="00E17AA9" w:rsidTr="009D5B55">
        <w:trPr>
          <w:trHeight w:val="219"/>
          <w:tblCellSpacing w:w="0" w:type="dxa"/>
          <w:jc w:val="center"/>
        </w:trPr>
        <w:tc>
          <w:tcPr>
            <w:tcW w:w="4142" w:type="dxa"/>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Industry Name</w:t>
            </w: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Extraction Method</w:t>
            </w: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Utility Method</w:t>
            </w: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2012</w:t>
            </w: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2013</w:t>
            </w: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2014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Farms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0.83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0.54</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Forestry, fishing, and related activities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0.25</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0.19</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Oil and gas extraction</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8.90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6.95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6.96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7.17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Support activities for mining</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0.26</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Construction</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0.34</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0.62</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Food and beverage and tobacco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0.51</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Textile mills and textile product mills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0.45</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Apparel and leather and allied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Wood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Paper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1.36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0.65</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0.80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Printing and related support activities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0.39</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0.40</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Petroleum and coal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5.89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4.67</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4.73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4.67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4.72</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Chemical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0.81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0.55</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Plastics and rubber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0.52</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0.61</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Nonmetallic mineral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1.71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2.78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2.75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2.64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Primary metals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4.72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10.19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9.50</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Fabricated metal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1.41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0.36</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2.65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2.54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2.42</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Machinery</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0.29</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1.73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1.57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1.50</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Computer and electronic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Electrical equipment, appliances, and components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0.35</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2.19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1.99</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Motor vehicles, bodies and trailers, and parts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1.37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1.31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1.26</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Other transportation equipment</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Furniture and related products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Miscellaneous manufacturing</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0.25</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0.99</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Wholesale trade</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Motor vehicle and parts dealers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Food and beverage stores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0.32</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0.15</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General merchandise stores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0.25</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Warehousing and storage</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0.42</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Other retail</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Publishing industries, except internet (includes software)</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Motion picture and sound recording industries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Broadcasting and telecommunications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Data processing, internet publishing, and other information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lastRenderedPageBreak/>
              <w:t>Federal Reserve banks, credit intermediation, and related activities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0.06</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Securities, commodity contracts, and investments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Insurance carriers and related activities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0.06</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Funds, trusts, and other financial vehicles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Rental and leasing services and lessors of intangible assets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Legal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Miscellaneous professional, scientific, and technical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0.15</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Computer systems design and related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0.06</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Management of companies and enterprises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0.12</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Administrative and support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Waste management and remediation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Educational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Ambulatory health care services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Hospitals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0.21</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Nursing and residential care facilities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0.29</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Social assistance</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Performing arts, spectator sports, museums, and related activities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Amusements, gambling, and recreation industries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Accommodation</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0.28</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0.17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Food services and drinking places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Other services, except government</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0.21</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0.21</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Housing</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0.05</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Other real estate</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0.84</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0.29</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0.31</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Coal mining</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72.96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0.48</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66.52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67.56</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63.67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Electricity utilities*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2.68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8.33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1.94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2.24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2.18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Natural gas utilities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3.45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5.99</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1.53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1.82</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2.08</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Government</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0.57</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0.44</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0.41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0.39</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All mining except coal, oil, and gas</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0.63</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2.18</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2.13</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1.97</w:t>
            </w:r>
          </w:p>
        </w:tc>
      </w:tr>
      <w:tr w:rsidR="00D61A26" w:rsidRPr="00E17AA9" w:rsidTr="009D5B55">
        <w:trPr>
          <w:trHeight w:val="219"/>
          <w:tblCellSpacing w:w="0" w:type="dxa"/>
          <w:jc w:val="center"/>
        </w:trPr>
        <w:tc>
          <w:tcPr>
            <w:tcW w:w="4142" w:type="dxa"/>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Transportation*</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1.05</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0.76</w:t>
            </w:r>
          </w:p>
        </w:tc>
        <w:tc>
          <w:tcPr>
            <w:tcW w:w="0" w:type="auto"/>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1.01</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1.00</w:t>
            </w:r>
          </w:p>
        </w:tc>
        <w:tc>
          <w:tcPr>
            <w:tcW w:w="0" w:type="auto"/>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0.99</w:t>
            </w:r>
          </w:p>
        </w:tc>
      </w:tr>
      <w:tr w:rsidR="00D61A26" w:rsidRPr="00E17AA9" w:rsidTr="009D5B55">
        <w:trPr>
          <w:trHeight w:val="219"/>
          <w:tblCellSpacing w:w="0" w:type="dxa"/>
          <w:jc w:val="center"/>
        </w:trPr>
        <w:tc>
          <w:tcPr>
            <w:tcW w:w="4142" w:type="dxa"/>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color w:val="auto"/>
                <w:sz w:val="20"/>
                <w:szCs w:val="20"/>
              </w:rPr>
              <w:t>Water utilities</w:t>
            </w:r>
          </w:p>
        </w:tc>
        <w:tc>
          <w:tcPr>
            <w:tcW w:w="0" w:type="auto"/>
            <w:tcBorders>
              <w:bottom w:val="single" w:sz="6" w:space="0" w:color="000000"/>
            </w:tcBorders>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0.32</w:t>
            </w:r>
          </w:p>
        </w:tc>
        <w:tc>
          <w:tcPr>
            <w:tcW w:w="0" w:type="auto"/>
            <w:tcBorders>
              <w:bottom w:val="single" w:sz="6" w:space="0" w:color="000000"/>
            </w:tcBorders>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0.31</w:t>
            </w:r>
          </w:p>
        </w:tc>
        <w:tc>
          <w:tcPr>
            <w:tcW w:w="0" w:type="auto"/>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Borders>
              <w:bottom w:val="single" w:sz="6" w:space="0" w:color="000000"/>
            </w:tcBorders>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0.24</w:t>
            </w:r>
          </w:p>
        </w:tc>
        <w:tc>
          <w:tcPr>
            <w:tcW w:w="0" w:type="auto"/>
            <w:tcBorders>
              <w:bottom w:val="single" w:sz="6" w:space="0" w:color="000000"/>
            </w:tcBorders>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0.26</w:t>
            </w:r>
          </w:p>
        </w:tc>
        <w:tc>
          <w:tcPr>
            <w:tcW w:w="0" w:type="auto"/>
            <w:tcBorders>
              <w:bottom w:val="single" w:sz="6" w:space="0" w:color="000000"/>
            </w:tcBorders>
            <w:shd w:val="clear" w:color="auto" w:fill="FFFFFF"/>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E17AA9">
              <w:rPr>
                <w:rFonts w:eastAsia="Times New Roman" w:cs="Times New Roman"/>
                <w:color w:val="auto"/>
                <w:sz w:val="20"/>
                <w:szCs w:val="20"/>
              </w:rPr>
              <w:t>0.26</w:t>
            </w:r>
          </w:p>
        </w:tc>
      </w:tr>
      <w:tr w:rsidR="00D61A26" w:rsidRPr="00E17AA9" w:rsidTr="009D5B55">
        <w:trPr>
          <w:trHeight w:val="219"/>
          <w:tblCellSpacing w:w="0" w:type="dxa"/>
          <w:jc w:val="center"/>
        </w:trPr>
        <w:tc>
          <w:tcPr>
            <w:tcW w:w="8950" w:type="dxa"/>
            <w:gridSpan w:val="7"/>
            <w:tcBorders>
              <w:bottom w:val="single" w:sz="6" w:space="0" w:color="000000"/>
            </w:tcBorders>
            <w:tcMar>
              <w:top w:w="30" w:type="dxa"/>
              <w:left w:w="45" w:type="dxa"/>
              <w:bottom w:w="30" w:type="dxa"/>
              <w:right w:w="45" w:type="dxa"/>
            </w:tcMar>
            <w:vAlign w:val="bottom"/>
            <w:hideMark/>
          </w:tcPr>
          <w:p w:rsidR="00D61A26" w:rsidRPr="00E17AA9" w:rsidRDefault="00D61A26" w:rsidP="00D61A26">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E17AA9">
              <w:rPr>
                <w:rFonts w:eastAsia="Times New Roman" w:cs="Times New Roman"/>
                <w:i/>
                <w:iCs/>
                <w:color w:val="auto"/>
                <w:sz w:val="20"/>
                <w:szCs w:val="20"/>
              </w:rPr>
              <w:t>Notes</w:t>
            </w:r>
            <w:r w:rsidRPr="00E17AA9">
              <w:rPr>
                <w:rFonts w:eastAsia="Times New Roman" w:cs="Times New Roman"/>
                <w:color w:val="auto"/>
                <w:sz w:val="20"/>
                <w:szCs w:val="20"/>
              </w:rPr>
              <w:t>. See text for description of author's two methods for calculating carbon intensities. A (*) denotes author-generated industries in Summary Tables. Authors combine multiple industries into Government and Transportation industries. Authors use data from Detailed 2007 Tables to break up Utilities into Electrical, Gas, and Water Utilities in Summary Tables. The results in this paper use the intensities we calculate for 2012, 2013, and 2014.</w:t>
            </w:r>
          </w:p>
        </w:tc>
      </w:tr>
    </w:tbl>
    <w:p w:rsidR="00D61A26" w:rsidRDefault="00D61A26" w:rsidP="00D61A26">
      <w:pPr>
        <w:ind w:firstLine="0"/>
        <w:jc w:val="left"/>
      </w:pPr>
    </w:p>
    <w:p w:rsidR="00D61A26" w:rsidRDefault="00D61A26" w:rsidP="00D61A26">
      <w:pPr>
        <w:ind w:firstLine="0"/>
        <w:jc w:val="left"/>
      </w:pPr>
    </w:p>
    <w:p w:rsidR="009D5B55" w:rsidRDefault="009D5B5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br w:type="page"/>
      </w:r>
    </w:p>
    <w:p w:rsidR="00634C25" w:rsidRDefault="00634C25" w:rsidP="00D61A26">
      <w:pPr>
        <w:ind w:firstLine="0"/>
        <w:jc w:val="left"/>
      </w:pPr>
    </w:p>
    <w:tbl>
      <w:tblPr>
        <w:tblW w:w="9000" w:type="dxa"/>
        <w:jc w:val="center"/>
        <w:tblCellSpacing w:w="0" w:type="dxa"/>
        <w:tblCellMar>
          <w:left w:w="0" w:type="dxa"/>
          <w:right w:w="0" w:type="dxa"/>
        </w:tblCellMar>
        <w:tblLook w:val="04A0" w:firstRow="1" w:lastRow="0" w:firstColumn="1" w:lastColumn="0" w:noHBand="0" w:noVBand="1"/>
      </w:tblPr>
      <w:tblGrid>
        <w:gridCol w:w="2366"/>
        <w:gridCol w:w="1336"/>
        <w:gridCol w:w="1261"/>
        <w:gridCol w:w="1299"/>
        <w:gridCol w:w="1524"/>
        <w:gridCol w:w="1214"/>
      </w:tblGrid>
      <w:tr w:rsidR="00634C25" w:rsidRPr="00634C25" w:rsidTr="008468BC">
        <w:trPr>
          <w:trHeight w:val="135"/>
          <w:tblCellSpacing w:w="0" w:type="dxa"/>
          <w:jc w:val="center"/>
        </w:trPr>
        <w:tc>
          <w:tcPr>
            <w:tcW w:w="9000" w:type="dxa"/>
            <w:gridSpan w:val="6"/>
            <w:tcBorders>
              <w:top w:val="single" w:sz="6" w:space="0" w:color="000000"/>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Table A2: Carbon Intensity of Consumer Goods across Studies (in kgCO2/$)</w:t>
            </w:r>
          </w:p>
        </w:tc>
      </w:tr>
      <w:tr w:rsidR="008468BC" w:rsidRPr="00634C25" w:rsidTr="008468BC">
        <w:trPr>
          <w:trHeight w:val="135"/>
          <w:tblCellSpacing w:w="0" w:type="dxa"/>
          <w:jc w:val="center"/>
        </w:trPr>
        <w:tc>
          <w:tcPr>
            <w:tcW w:w="2366" w:type="dxa"/>
            <w:tcBorders>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Consumer Expenditure Survey Categories</w:t>
            </w:r>
          </w:p>
        </w:tc>
        <w:tc>
          <w:tcPr>
            <w:tcW w:w="1336" w:type="dxa"/>
            <w:tcBorders>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Metcalf (1999) for year 1992</w:t>
            </w:r>
          </w:p>
        </w:tc>
        <w:tc>
          <w:tcPr>
            <w:tcW w:w="1261" w:type="dxa"/>
            <w:tcBorders>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Mathur &amp; Morris (2014) for year 2010</w:t>
            </w:r>
          </w:p>
        </w:tc>
        <w:tc>
          <w:tcPr>
            <w:tcW w:w="1299"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Horowitz et al. (2016) for year 2007</w:t>
            </w:r>
          </w:p>
        </w:tc>
        <w:tc>
          <w:tcPr>
            <w:tcW w:w="1524" w:type="dxa"/>
            <w:tcBorders>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roofErr w:type="spellStart"/>
            <w:r w:rsidRPr="00634C25">
              <w:rPr>
                <w:rFonts w:eastAsia="Times New Roman" w:cs="Times New Roman"/>
                <w:color w:val="auto"/>
                <w:sz w:val="20"/>
                <w:szCs w:val="20"/>
              </w:rPr>
              <w:t>Fremstad</w:t>
            </w:r>
            <w:proofErr w:type="spellEnd"/>
            <w:r w:rsidRPr="00634C25">
              <w:rPr>
                <w:rFonts w:eastAsia="Times New Roman" w:cs="Times New Roman"/>
                <w:color w:val="auto"/>
                <w:sz w:val="20"/>
                <w:szCs w:val="20"/>
              </w:rPr>
              <w:t xml:space="preserve"> and Paul (2019) for year 2013 using extraction method</w:t>
            </w:r>
          </w:p>
        </w:tc>
        <w:tc>
          <w:tcPr>
            <w:tcW w:w="1214" w:type="dxa"/>
            <w:tcBorders>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roofErr w:type="spellStart"/>
            <w:r w:rsidRPr="00634C25">
              <w:rPr>
                <w:rFonts w:eastAsia="Times New Roman" w:cs="Times New Roman"/>
                <w:color w:val="auto"/>
                <w:sz w:val="20"/>
                <w:szCs w:val="20"/>
              </w:rPr>
              <w:t>Fremstad</w:t>
            </w:r>
            <w:proofErr w:type="spellEnd"/>
            <w:r w:rsidRPr="00634C25">
              <w:rPr>
                <w:rFonts w:eastAsia="Times New Roman" w:cs="Times New Roman"/>
                <w:color w:val="auto"/>
                <w:sz w:val="20"/>
                <w:szCs w:val="20"/>
              </w:rPr>
              <w:t xml:space="preserve"> and Paul (2019) for year 2013 using utility method</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Airfare</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0.48</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1.34</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2.18</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1.00</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0.61</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Alcohol</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0.16</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0.48</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0.14</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0.33</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All Education</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0.29</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0.53</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0.24</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Auto Insurance</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0.08</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0.04</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0.07</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0.05</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Autos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0.69</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0.73</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0.17</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Books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0.18</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0.17</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Charity</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0.17</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0.19</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0.16</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Clothes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0.18</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Electricity</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3.00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3.47</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3.60</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2.24</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7.40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Food at Home</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0.55</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0.58</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0.39</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Food at Restaurants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0.31</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0.07</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0.24</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0.17</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Furnishings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0.49</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0.34</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0.71</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Gasoline</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2.90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3.15</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5.92</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3.22</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2.11</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Health</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0.21</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0.16</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Home Heating Fuel</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3.03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4.07</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5.80</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2.75</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1.80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Household Supplies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0.55</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0.36</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Life Insurance</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0.08</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0.04</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0.07</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0.05</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Mass Transit</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0.50</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1.84</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0.94</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0.58</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Natural Gas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4.90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12.61</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5.93</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1.82</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6.90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Other Car Services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Other Dwelling Rentals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0.28</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0.06</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0.04</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Other Recreation</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0.13</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0.21</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0.46</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0.25</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0.15</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Recreation and Sports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0.18</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0.42</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0.23</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0.70</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Telephone</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0.15</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0.18</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0.17</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0.18</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0.10</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Tenant-Occupied Dwellings</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0.05</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0.11</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0.35</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0.05</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0.02</w:t>
            </w:r>
          </w:p>
        </w:tc>
      </w:tr>
      <w:tr w:rsidR="008468BC" w:rsidRPr="00634C25" w:rsidTr="008468BC">
        <w:trPr>
          <w:trHeight w:val="135"/>
          <w:tblCellSpacing w:w="0" w:type="dxa"/>
          <w:jc w:val="center"/>
        </w:trPr>
        <w:tc>
          <w:tcPr>
            <w:tcW w:w="236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Tobacco</w:t>
            </w:r>
          </w:p>
        </w:tc>
        <w:tc>
          <w:tcPr>
            <w:tcW w:w="1336"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0.10</w:t>
            </w:r>
          </w:p>
        </w:tc>
        <w:tc>
          <w:tcPr>
            <w:tcW w:w="1261"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0.43</w:t>
            </w:r>
          </w:p>
        </w:tc>
        <w:tc>
          <w:tcPr>
            <w:tcW w:w="1299"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0.14</w:t>
            </w:r>
          </w:p>
        </w:tc>
        <w:tc>
          <w:tcPr>
            <w:tcW w:w="152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0.36</w:t>
            </w:r>
          </w:p>
        </w:tc>
        <w:tc>
          <w:tcPr>
            <w:tcW w:w="1214" w:type="dxa"/>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0.22</w:t>
            </w:r>
          </w:p>
        </w:tc>
      </w:tr>
      <w:tr w:rsidR="008468BC" w:rsidRPr="00634C25" w:rsidTr="008468BC">
        <w:trPr>
          <w:trHeight w:val="135"/>
          <w:tblCellSpacing w:w="0" w:type="dxa"/>
          <w:jc w:val="center"/>
        </w:trPr>
        <w:tc>
          <w:tcPr>
            <w:tcW w:w="2366"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color w:val="auto"/>
                <w:sz w:val="20"/>
                <w:szCs w:val="20"/>
              </w:rPr>
              <w:t>Water</w:t>
            </w:r>
          </w:p>
        </w:tc>
        <w:tc>
          <w:tcPr>
            <w:tcW w:w="1336"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0.15</w:t>
            </w:r>
          </w:p>
        </w:tc>
        <w:tc>
          <w:tcPr>
            <w:tcW w:w="1261"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0.31</w:t>
            </w:r>
          </w:p>
        </w:tc>
        <w:tc>
          <w:tcPr>
            <w:tcW w:w="1299"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0.98</w:t>
            </w:r>
          </w:p>
        </w:tc>
        <w:tc>
          <w:tcPr>
            <w:tcW w:w="1524"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0.38</w:t>
            </w:r>
          </w:p>
        </w:tc>
        <w:tc>
          <w:tcPr>
            <w:tcW w:w="1214" w:type="dxa"/>
            <w:tcBorders>
              <w:bottom w:val="single" w:sz="6" w:space="0" w:color="000000"/>
            </w:tcBorders>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634C25">
              <w:rPr>
                <w:rFonts w:eastAsia="Times New Roman" w:cs="Times New Roman"/>
                <w:color w:val="auto"/>
                <w:sz w:val="20"/>
                <w:szCs w:val="20"/>
              </w:rPr>
              <w:t>0.24</w:t>
            </w:r>
          </w:p>
        </w:tc>
      </w:tr>
      <w:tr w:rsidR="00634C25" w:rsidRPr="00634C25" w:rsidTr="008468BC">
        <w:trPr>
          <w:trHeight w:val="135"/>
          <w:tblCellSpacing w:w="0" w:type="dxa"/>
          <w:jc w:val="center"/>
        </w:trPr>
        <w:tc>
          <w:tcPr>
            <w:tcW w:w="9000" w:type="dxa"/>
            <w:gridSpan w:val="6"/>
            <w:tcBorders>
              <w:bottom w:val="single" w:sz="6" w:space="0" w:color="000000"/>
            </w:tcBorders>
            <w:shd w:val="clear" w:color="auto" w:fill="FFFFFF"/>
            <w:tcMar>
              <w:top w:w="30" w:type="dxa"/>
              <w:left w:w="45" w:type="dxa"/>
              <w:bottom w:w="30" w:type="dxa"/>
              <w:right w:w="45" w:type="dxa"/>
            </w:tcMar>
            <w:vAlign w:val="bottom"/>
            <w:hideMark/>
          </w:tcPr>
          <w:p w:rsidR="00634C25" w:rsidRPr="00634C25" w:rsidRDefault="00634C25" w:rsidP="00634C25">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634C25">
              <w:rPr>
                <w:rFonts w:eastAsia="Times New Roman" w:cs="Times New Roman"/>
                <w:i/>
                <w:iCs/>
                <w:color w:val="auto"/>
                <w:sz w:val="20"/>
                <w:szCs w:val="20"/>
              </w:rPr>
              <w:t>Notes</w:t>
            </w:r>
            <w:r w:rsidRPr="00634C25">
              <w:rPr>
                <w:rFonts w:eastAsia="Times New Roman" w:cs="Times New Roman"/>
                <w:color w:val="auto"/>
                <w:sz w:val="20"/>
                <w:szCs w:val="20"/>
              </w:rPr>
              <w:t>. Authors calculate implied intensities using published price increases in Table 3 in Metcalf (1999), Table A1 in Mathur and Morris (2014), and Table 2 in Horowitz et al. (2016).</w:t>
            </w:r>
          </w:p>
        </w:tc>
      </w:tr>
    </w:tbl>
    <w:p w:rsidR="00634C25" w:rsidRDefault="00634C25" w:rsidP="00D61A26">
      <w:pPr>
        <w:ind w:firstLine="0"/>
        <w:jc w:val="left"/>
      </w:pPr>
    </w:p>
    <w:p w:rsidR="00634C25" w:rsidRDefault="00634C25" w:rsidP="00D61A26">
      <w:pPr>
        <w:ind w:firstLine="0"/>
        <w:jc w:val="left"/>
      </w:pPr>
    </w:p>
    <w:p w:rsidR="00634C25" w:rsidRDefault="00634C25" w:rsidP="00D61A26">
      <w:pPr>
        <w:ind w:firstLine="0"/>
        <w:jc w:val="left"/>
      </w:pPr>
    </w:p>
    <w:p w:rsidR="00D61A26" w:rsidRDefault="00D61A26" w:rsidP="00265AB4">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br w:type="page"/>
      </w:r>
    </w:p>
    <w:p w:rsidR="00265AB4" w:rsidRDefault="00265AB4" w:rsidP="00265AB4">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p>
    <w:tbl>
      <w:tblPr>
        <w:tblW w:w="9523" w:type="dxa"/>
        <w:jc w:val="center"/>
        <w:tblCellSpacing w:w="0" w:type="dxa"/>
        <w:tblCellMar>
          <w:left w:w="0" w:type="dxa"/>
          <w:right w:w="0" w:type="dxa"/>
        </w:tblCellMar>
        <w:tblLook w:val="04A0" w:firstRow="1" w:lastRow="0" w:firstColumn="1" w:lastColumn="0" w:noHBand="0" w:noVBand="1"/>
      </w:tblPr>
      <w:tblGrid>
        <w:gridCol w:w="1382"/>
        <w:gridCol w:w="1312"/>
        <w:gridCol w:w="998"/>
        <w:gridCol w:w="1204"/>
        <w:gridCol w:w="821"/>
        <w:gridCol w:w="842"/>
        <w:gridCol w:w="97"/>
        <w:gridCol w:w="1204"/>
        <w:gridCol w:w="821"/>
        <w:gridCol w:w="842"/>
      </w:tblGrid>
      <w:tr w:rsidR="00DD2DD2" w:rsidRPr="00DD2DD2" w:rsidTr="00DD2DD2">
        <w:trPr>
          <w:trHeight w:val="189"/>
          <w:tblCellSpacing w:w="0" w:type="dxa"/>
          <w:jc w:val="center"/>
        </w:trPr>
        <w:tc>
          <w:tcPr>
            <w:tcW w:w="0" w:type="auto"/>
            <w:gridSpan w:val="10"/>
            <w:tcBorders>
              <w:top w:val="single" w:sz="6" w:space="0" w:color="000000"/>
              <w:bottom w:val="single" w:sz="6" w:space="0" w:color="000000"/>
            </w:tcBorders>
            <w:tcMar>
              <w:top w:w="30" w:type="dxa"/>
              <w:left w:w="45" w:type="dxa"/>
              <w:bottom w:w="30" w:type="dxa"/>
              <w:right w:w="45" w:type="dxa"/>
            </w:tcMar>
            <w:vAlign w:val="bottom"/>
            <w:hideMark/>
          </w:tcPr>
          <w:p w:rsidR="00DD2DD2" w:rsidRPr="00DD2DD2" w:rsidRDefault="000B7432" w:rsidP="009D5B55">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Pr>
                <w:rFonts w:eastAsia="Times New Roman" w:cs="Times New Roman"/>
                <w:color w:val="auto"/>
                <w:sz w:val="20"/>
                <w:szCs w:val="20"/>
              </w:rPr>
              <w:t>Table A3</w:t>
            </w:r>
            <w:r w:rsidR="00DD2DD2" w:rsidRPr="00DD2DD2">
              <w:rPr>
                <w:rFonts w:eastAsia="Times New Roman" w:cs="Times New Roman"/>
                <w:color w:val="auto"/>
                <w:sz w:val="20"/>
                <w:szCs w:val="20"/>
              </w:rPr>
              <w:t xml:space="preserve">: Distribution of Burden of $50/Ton Tax on CO2 across </w:t>
            </w:r>
            <w:r w:rsidR="009D5B55">
              <w:rPr>
                <w:rFonts w:eastAsia="Times New Roman" w:cs="Times New Roman"/>
                <w:color w:val="auto"/>
                <w:sz w:val="20"/>
                <w:szCs w:val="20"/>
              </w:rPr>
              <w:t>Expenditure Deciles</w:t>
            </w:r>
            <w:r w:rsidR="00DD2DD2" w:rsidRPr="00DD2DD2">
              <w:rPr>
                <w:rFonts w:eastAsia="Times New Roman" w:cs="Times New Roman"/>
                <w:color w:val="auto"/>
                <w:sz w:val="20"/>
                <w:szCs w:val="20"/>
              </w:rPr>
              <w:t>, using Utility Method</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p>
        </w:tc>
        <w:tc>
          <w:tcPr>
            <w:tcW w:w="0" w:type="auto"/>
            <w:gridSpan w:val="4"/>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 xml:space="preserve">Mean Benefit/Cost as Percent of Expenditures </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gridSpan w:val="3"/>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Fraction of Individuals Better Off</w:t>
            </w:r>
          </w:p>
        </w:tc>
      </w:tr>
      <w:tr w:rsidR="00DD2DD2" w:rsidRPr="00DD2DD2" w:rsidTr="00DD2DD2">
        <w:trPr>
          <w:trHeight w:val="189"/>
          <w:tblCellSpacing w:w="0" w:type="dxa"/>
          <w:jc w:val="center"/>
        </w:trPr>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Decile by Equivalent Household Expenditures</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Equivalent Household Expenditures</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No Revenue Recycling</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Proportional Labor Tax Cut</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OASDI Payroll Tax Cut</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Dividend</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Proportional Labor Tax Cut</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OASDI Payroll Tax Cut</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Dividend</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$10,524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-4.13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-2.80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-2.68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4.32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0.05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0.08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0.89</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$15,469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-3.48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-1.69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-1.53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2.20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0.16</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0.81</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$19,111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-3.09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-0.95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-0.77</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1.45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0.75</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$22,739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-2.94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0.81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0.69</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$26,706</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-2.64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-0.13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0.51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0.62</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6</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$31,014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-2.53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-0.15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0.19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0.47</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0.52</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7</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$36,171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-2.47</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0.54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0.58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0.46</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$42,823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-2.12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0.58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0.35</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$53,552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-1.90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0.49</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0.67</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0.21</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10</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$84,064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-1.58</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0.66</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0.33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-0.65</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0.67</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0.63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0.05</w:t>
            </w:r>
          </w:p>
        </w:tc>
      </w:tr>
      <w:tr w:rsidR="00DD2DD2" w:rsidRPr="00DD2DD2" w:rsidTr="00DD2DD2">
        <w:trPr>
          <w:trHeight w:val="189"/>
          <w:tblCellSpacing w:w="0" w:type="dxa"/>
          <w:jc w:val="center"/>
        </w:trPr>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Mean Total Population</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$34,212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-2.32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-0.02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-0.02</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0.23</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0.41</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0.44</w:t>
            </w:r>
          </w:p>
        </w:tc>
        <w:tc>
          <w:tcPr>
            <w:tcW w:w="0" w:type="auto"/>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0.53</w:t>
            </w:r>
          </w:p>
        </w:tc>
      </w:tr>
      <w:tr w:rsidR="00DD2DD2" w:rsidRPr="00DD2DD2" w:rsidTr="00DD2DD2">
        <w:trPr>
          <w:trHeight w:val="189"/>
          <w:tblCellSpacing w:w="0" w:type="dxa"/>
          <w:jc w:val="center"/>
        </w:trPr>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752E9D">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 xml:space="preserve">Mean </w:t>
            </w:r>
            <w:r w:rsidR="00752E9D">
              <w:rPr>
                <w:rFonts w:eastAsia="Times New Roman" w:cs="Times New Roman"/>
                <w:b/>
                <w:bCs/>
                <w:color w:val="auto"/>
                <w:sz w:val="20"/>
                <w:szCs w:val="20"/>
              </w:rPr>
              <w:t>Poorest</w:t>
            </w:r>
            <w:r w:rsidRPr="00DD2DD2">
              <w:rPr>
                <w:rFonts w:eastAsia="Times New Roman" w:cs="Times New Roman"/>
                <w:b/>
                <w:bCs/>
                <w:color w:val="auto"/>
                <w:sz w:val="20"/>
                <w:szCs w:val="20"/>
              </w:rPr>
              <w:t xml:space="preserve"> Half of Population</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$18,908</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-3.11</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-1.03</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-0.87</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DD2DD2">
              <w:rPr>
                <w:rFonts w:eastAsia="Times New Roman" w:cs="Times New Roman"/>
                <w:b/>
                <w:bCs/>
                <w:color w:val="auto"/>
                <w:sz w:val="20"/>
                <w:szCs w:val="20"/>
              </w:rPr>
              <w:t>1.49</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0.25</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0.29</w:t>
            </w:r>
          </w:p>
        </w:tc>
        <w:tc>
          <w:tcPr>
            <w:tcW w:w="0" w:type="auto"/>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DD2DD2">
              <w:rPr>
                <w:rFonts w:eastAsia="Times New Roman" w:cs="Times New Roman"/>
                <w:color w:val="auto"/>
                <w:sz w:val="20"/>
                <w:szCs w:val="20"/>
              </w:rPr>
              <w:t>0.75</w:t>
            </w:r>
          </w:p>
        </w:tc>
      </w:tr>
      <w:tr w:rsidR="00DD2DD2" w:rsidRPr="00DD2DD2" w:rsidTr="00DD2DD2">
        <w:trPr>
          <w:trHeight w:val="189"/>
          <w:tblCellSpacing w:w="0" w:type="dxa"/>
          <w:jc w:val="center"/>
        </w:trPr>
        <w:tc>
          <w:tcPr>
            <w:tcW w:w="0" w:type="auto"/>
            <w:gridSpan w:val="10"/>
            <w:tcBorders>
              <w:bottom w:val="single" w:sz="6" w:space="0" w:color="000000"/>
            </w:tcBorders>
            <w:tcMar>
              <w:top w:w="30" w:type="dxa"/>
              <w:left w:w="45" w:type="dxa"/>
              <w:bottom w:w="30" w:type="dxa"/>
              <w:right w:w="45" w:type="dxa"/>
            </w:tcMar>
            <w:vAlign w:val="bottom"/>
            <w:hideMark/>
          </w:tcPr>
          <w:p w:rsidR="00DD2DD2" w:rsidRPr="00DD2DD2" w:rsidRDefault="00DD2DD2" w:rsidP="00DD2DD2">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i/>
                <w:iCs/>
                <w:color w:val="auto"/>
                <w:sz w:val="20"/>
                <w:szCs w:val="20"/>
              </w:rPr>
            </w:pPr>
            <w:r w:rsidRPr="00DD2DD2">
              <w:rPr>
                <w:rFonts w:eastAsia="Times New Roman" w:cs="Times New Roman"/>
                <w:i/>
                <w:iCs/>
                <w:color w:val="auto"/>
                <w:sz w:val="20"/>
                <w:szCs w:val="20"/>
              </w:rPr>
              <w:t>Notes. Under a $50 tax on carbon the proportional labor tax cut would increase after-tax all wages by 1.9 percent, the OASDI payroll tax cut would reduce the payroll tax rate by 2.3 percentage points, and the equal per capita dividend amounts to $444 per person.</w:t>
            </w:r>
          </w:p>
        </w:tc>
      </w:tr>
    </w:tbl>
    <w:p w:rsidR="009D5B55" w:rsidRDefault="009D5B55" w:rsidP="00DD2DD2">
      <w:pPr>
        <w:ind w:firstLine="0"/>
        <w:jc w:val="left"/>
      </w:pPr>
    </w:p>
    <w:p w:rsidR="009D5B55" w:rsidRDefault="009D5B55">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r>
        <w:br w:type="page"/>
      </w:r>
    </w:p>
    <w:p w:rsidR="00D61A26" w:rsidRDefault="00D61A26" w:rsidP="00DD2DD2">
      <w:pPr>
        <w:ind w:firstLine="0"/>
        <w:jc w:val="left"/>
      </w:pPr>
    </w:p>
    <w:tbl>
      <w:tblPr>
        <w:tblW w:w="9313" w:type="dxa"/>
        <w:jc w:val="center"/>
        <w:tblCellSpacing w:w="0" w:type="dxa"/>
        <w:tblCellMar>
          <w:left w:w="0" w:type="dxa"/>
          <w:right w:w="0" w:type="dxa"/>
        </w:tblCellMar>
        <w:tblLook w:val="04A0" w:firstRow="1" w:lastRow="0" w:firstColumn="1" w:lastColumn="0" w:noHBand="0" w:noVBand="1"/>
      </w:tblPr>
      <w:tblGrid>
        <w:gridCol w:w="1260"/>
        <w:gridCol w:w="1072"/>
        <w:gridCol w:w="1023"/>
        <w:gridCol w:w="1233"/>
        <w:gridCol w:w="857"/>
        <w:gridCol w:w="835"/>
        <w:gridCol w:w="96"/>
        <w:gridCol w:w="1233"/>
        <w:gridCol w:w="857"/>
        <w:gridCol w:w="835"/>
        <w:gridCol w:w="12"/>
      </w:tblGrid>
      <w:tr w:rsidR="00AE2E58" w:rsidRPr="00AE2E58" w:rsidTr="009D5B55">
        <w:trPr>
          <w:trHeight w:val="113"/>
          <w:tblCellSpacing w:w="0" w:type="dxa"/>
          <w:jc w:val="center"/>
        </w:trPr>
        <w:tc>
          <w:tcPr>
            <w:tcW w:w="9313" w:type="dxa"/>
            <w:gridSpan w:val="11"/>
            <w:tcBorders>
              <w:top w:val="single" w:sz="6" w:space="0" w:color="000000"/>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Table A4: Distribution of Burden of $50/Ton Tax on CO2 across Income Deciles</w:t>
            </w:r>
          </w:p>
        </w:tc>
      </w:tr>
      <w:tr w:rsidR="00AE2E58" w:rsidRPr="00AE2E58" w:rsidTr="00752E9D">
        <w:trPr>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gridSpan w:val="4"/>
            <w:tcBorders>
              <w:bottom w:val="single" w:sz="6" w:space="0" w:color="000000"/>
            </w:tcBorders>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Mean Benefit/Cost as Percent of Income</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gridSpan w:val="4"/>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Fraction of Individuals Better Off</w:t>
            </w:r>
          </w:p>
        </w:tc>
      </w:tr>
      <w:tr w:rsidR="00AE2E58" w:rsidRPr="00AE2E58" w:rsidTr="00752E9D">
        <w:trPr>
          <w:gridAfter w:val="1"/>
          <w:wAfter w:w="12" w:type="dxa"/>
          <w:trHeight w:val="113"/>
          <w:tblCellSpacing w:w="0" w:type="dxa"/>
          <w:jc w:val="center"/>
        </w:trPr>
        <w:tc>
          <w:tcPr>
            <w:tcW w:w="1260" w:type="dxa"/>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Decile by Equivalent Household Income</w:t>
            </w:r>
          </w:p>
        </w:tc>
        <w:tc>
          <w:tcPr>
            <w:tcW w:w="1072" w:type="dxa"/>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Equivalent Household Income</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No Revenue Recycling</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Proportional Labor Tax Cut</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OASDI Payroll Tax Cut</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Dividend</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Proportional Labor Tax Cut</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OASDI Payroll Tax Cut</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Dividend</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$8,063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-4.65</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-3.85</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-3.78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5.11</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0.88</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$16,099</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-2.79</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-1.70</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-1.60</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2.08</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0.06</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0.09</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0.81</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3</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$22,106</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-2.60</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-1.42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-1.32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1.05</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0.12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0.16</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0.75</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4</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$28,188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-2.14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-0.81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-0.69</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0.65</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0.29</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0.68</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5</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$34,907</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-1.88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-0.44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0.39</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0.36</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0.43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0.63</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6</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$42,198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-1.75</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-0.29</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-0.16</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0.17</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0.44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0.51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0.52</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7</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$51,093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-1.58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-0.07</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0.05</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-0.06</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0.56</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0.49</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8</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$62,778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-1.43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0.12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-0.22</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0.68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0.34</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9</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$80,320</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-1.24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-0.30</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0.73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0.75</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0.28</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10</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$139,517</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-0.85</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0.73</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0.47</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-0.21</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0.88</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0.81</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color w:val="auto"/>
                <w:sz w:val="20"/>
                <w:szCs w:val="20"/>
              </w:rPr>
            </w:pPr>
            <w:r w:rsidRPr="00AE2E58">
              <w:rPr>
                <w:rFonts w:eastAsia="Times New Roman" w:cs="Times New Roman"/>
                <w:color w:val="auto"/>
                <w:sz w:val="20"/>
                <w:szCs w:val="20"/>
              </w:rPr>
              <w:t>0.18</w:t>
            </w:r>
          </w:p>
        </w:tc>
      </w:tr>
      <w:tr w:rsidR="00AE2E58" w:rsidRPr="00AE2E58" w:rsidTr="00752E9D">
        <w:trPr>
          <w:gridAfter w:val="1"/>
          <w:wAfter w:w="12" w:type="dxa"/>
          <w:trHeight w:val="113"/>
          <w:tblCellSpacing w:w="0" w:type="dxa"/>
          <w:jc w:val="center"/>
        </w:trPr>
        <w:tc>
          <w:tcPr>
            <w:tcW w:w="1260"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Mean Total Population</w:t>
            </w:r>
          </w:p>
        </w:tc>
        <w:tc>
          <w:tcPr>
            <w:tcW w:w="1072" w:type="dxa"/>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$48,512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-1.50</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-0.02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-0.02</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0.14</w:t>
            </w:r>
          </w:p>
        </w:tc>
        <w:tc>
          <w:tcPr>
            <w:tcW w:w="0" w:type="auto"/>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0.40</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0.44</w:t>
            </w:r>
          </w:p>
        </w:tc>
        <w:tc>
          <w:tcPr>
            <w:tcW w:w="0" w:type="auto"/>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0.56</w:t>
            </w:r>
          </w:p>
        </w:tc>
      </w:tr>
      <w:tr w:rsidR="00AE2E58" w:rsidRPr="00AE2E58" w:rsidTr="00752E9D">
        <w:trPr>
          <w:gridAfter w:val="1"/>
          <w:wAfter w:w="12" w:type="dxa"/>
          <w:trHeight w:val="113"/>
          <w:tblCellSpacing w:w="0" w:type="dxa"/>
          <w:jc w:val="center"/>
        </w:trPr>
        <w:tc>
          <w:tcPr>
            <w:tcW w:w="1260" w:type="dxa"/>
            <w:tcBorders>
              <w:bottom w:val="single" w:sz="6" w:space="0" w:color="000000"/>
            </w:tcBorders>
            <w:tcMar>
              <w:top w:w="30" w:type="dxa"/>
              <w:left w:w="45" w:type="dxa"/>
              <w:bottom w:w="30" w:type="dxa"/>
              <w:right w:w="45" w:type="dxa"/>
            </w:tcMar>
            <w:vAlign w:val="center"/>
            <w:hideMark/>
          </w:tcPr>
          <w:p w:rsidR="00AE2E58" w:rsidRPr="00AE2E58" w:rsidRDefault="00AE2E58" w:rsidP="00752E9D">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 xml:space="preserve">Mean </w:t>
            </w:r>
            <w:r w:rsidR="00752E9D">
              <w:rPr>
                <w:rFonts w:eastAsia="Times New Roman" w:cs="Times New Roman"/>
                <w:b/>
                <w:bCs/>
                <w:color w:val="auto"/>
                <w:sz w:val="20"/>
                <w:szCs w:val="20"/>
              </w:rPr>
              <w:t>Poorest</w:t>
            </w:r>
            <w:r w:rsidRPr="00AE2E58">
              <w:rPr>
                <w:rFonts w:eastAsia="Times New Roman" w:cs="Times New Roman"/>
                <w:b/>
                <w:bCs/>
                <w:color w:val="auto"/>
                <w:sz w:val="20"/>
                <w:szCs w:val="20"/>
              </w:rPr>
              <w:t xml:space="preserve"> Half of Population</w:t>
            </w:r>
          </w:p>
        </w:tc>
        <w:tc>
          <w:tcPr>
            <w:tcW w:w="1072" w:type="dxa"/>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$21,871</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-2.43</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-1.17</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-1.06</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1.18</w:t>
            </w:r>
          </w:p>
        </w:tc>
        <w:tc>
          <w:tcPr>
            <w:tcW w:w="0" w:type="auto"/>
            <w:tcBorders>
              <w:bottom w:val="single" w:sz="6" w:space="0" w:color="000000"/>
            </w:tcBorders>
            <w:tcMar>
              <w:top w:w="30" w:type="dxa"/>
              <w:left w:w="45" w:type="dxa"/>
              <w:bottom w:w="30" w:type="dxa"/>
              <w:right w:w="45" w:type="dxa"/>
            </w:tcMar>
            <w:vAlign w:val="bottom"/>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0.16</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0.20</w:t>
            </w:r>
          </w:p>
        </w:tc>
        <w:tc>
          <w:tcPr>
            <w:tcW w:w="0" w:type="auto"/>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center"/>
              <w:rPr>
                <w:rFonts w:eastAsia="Times New Roman" w:cs="Times New Roman"/>
                <w:b/>
                <w:bCs/>
                <w:color w:val="auto"/>
                <w:sz w:val="20"/>
                <w:szCs w:val="20"/>
              </w:rPr>
            </w:pPr>
            <w:r w:rsidRPr="00AE2E58">
              <w:rPr>
                <w:rFonts w:eastAsia="Times New Roman" w:cs="Times New Roman"/>
                <w:b/>
                <w:bCs/>
                <w:color w:val="auto"/>
                <w:sz w:val="20"/>
                <w:szCs w:val="20"/>
              </w:rPr>
              <w:t>0.75</w:t>
            </w:r>
          </w:p>
        </w:tc>
      </w:tr>
      <w:tr w:rsidR="00AE2E58" w:rsidRPr="00AE2E58" w:rsidTr="009D5B55">
        <w:trPr>
          <w:trHeight w:val="113"/>
          <w:tblCellSpacing w:w="0" w:type="dxa"/>
          <w:jc w:val="center"/>
        </w:trPr>
        <w:tc>
          <w:tcPr>
            <w:tcW w:w="9313" w:type="dxa"/>
            <w:gridSpan w:val="11"/>
            <w:tcBorders>
              <w:bottom w:val="single" w:sz="6" w:space="0" w:color="000000"/>
            </w:tcBorders>
            <w:tcMar>
              <w:top w:w="30" w:type="dxa"/>
              <w:left w:w="45" w:type="dxa"/>
              <w:bottom w:w="30" w:type="dxa"/>
              <w:right w:w="45" w:type="dxa"/>
            </w:tcMar>
            <w:vAlign w:val="center"/>
            <w:hideMark/>
          </w:tcPr>
          <w:p w:rsidR="00AE2E58" w:rsidRPr="00AE2E58" w:rsidRDefault="00AE2E58" w:rsidP="00AE2E58">
            <w:pPr>
              <w:pBdr>
                <w:top w:val="none" w:sz="0" w:space="0" w:color="auto"/>
                <w:left w:val="none" w:sz="0" w:space="0" w:color="auto"/>
                <w:bottom w:val="none" w:sz="0" w:space="0" w:color="auto"/>
                <w:right w:val="none" w:sz="0" w:space="0" w:color="auto"/>
                <w:between w:val="none" w:sz="0" w:space="0" w:color="auto"/>
              </w:pBdr>
              <w:spacing w:line="240" w:lineRule="auto"/>
              <w:ind w:firstLine="0"/>
              <w:jc w:val="left"/>
              <w:rPr>
                <w:rFonts w:eastAsia="Times New Roman" w:cs="Times New Roman"/>
                <w:color w:val="auto"/>
                <w:sz w:val="20"/>
                <w:szCs w:val="20"/>
              </w:rPr>
            </w:pPr>
            <w:r w:rsidRPr="00AE2E58">
              <w:rPr>
                <w:rFonts w:eastAsia="Times New Roman" w:cs="Times New Roman"/>
                <w:i/>
                <w:iCs/>
                <w:color w:val="auto"/>
                <w:sz w:val="20"/>
                <w:szCs w:val="20"/>
              </w:rPr>
              <w:t>Notes</w:t>
            </w:r>
            <w:r w:rsidRPr="00AE2E58">
              <w:rPr>
                <w:rFonts w:eastAsia="Times New Roman" w:cs="Times New Roman"/>
                <w:color w:val="auto"/>
                <w:sz w:val="20"/>
                <w:szCs w:val="20"/>
              </w:rPr>
              <w:t>. Under a $50 tax on carbon the proportional labor tax cut would increase after-tax all wages by 1.8 percent, the OASDI payroll tax cut would reduce the payroll tax rate by 2.2 percentage points, and the equal per capita dividend amounts to $413 per person.</w:t>
            </w:r>
          </w:p>
        </w:tc>
      </w:tr>
    </w:tbl>
    <w:p w:rsidR="005069D7" w:rsidRDefault="005069D7">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b/>
        </w:rPr>
      </w:pPr>
    </w:p>
    <w:p w:rsidR="005069D7" w:rsidRDefault="005069D7" w:rsidP="0097074D">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pPr>
    </w:p>
    <w:sectPr w:rsidR="005069D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5E6D" w:rsidRDefault="00F25E6D" w:rsidP="00E40EE8">
      <w:pPr>
        <w:spacing w:line="240" w:lineRule="auto"/>
      </w:pPr>
      <w:r>
        <w:separator/>
      </w:r>
    </w:p>
  </w:endnote>
  <w:endnote w:type="continuationSeparator" w:id="0">
    <w:p w:rsidR="00F25E6D" w:rsidRDefault="00F25E6D" w:rsidP="00E40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289699"/>
      <w:docPartObj>
        <w:docPartGallery w:val="Page Numbers (Bottom of Page)"/>
        <w:docPartUnique/>
      </w:docPartObj>
    </w:sdtPr>
    <w:sdtEndPr>
      <w:rPr>
        <w:noProof/>
      </w:rPr>
    </w:sdtEndPr>
    <w:sdtContent>
      <w:p w:rsidR="002F2A3D" w:rsidRDefault="002F2A3D">
        <w:pPr>
          <w:pStyle w:val="Sidefod"/>
          <w:jc w:val="right"/>
        </w:pPr>
        <w:r>
          <w:fldChar w:fldCharType="begin"/>
        </w:r>
        <w:r>
          <w:instrText xml:space="preserve"> PAGE   \* MERGEFORMAT </w:instrText>
        </w:r>
        <w:r>
          <w:fldChar w:fldCharType="separate"/>
        </w:r>
        <w:r w:rsidR="006E0597">
          <w:rPr>
            <w:noProof/>
          </w:rPr>
          <w:t>1</w:t>
        </w:r>
        <w:r>
          <w:rPr>
            <w:noProof/>
          </w:rPr>
          <w:fldChar w:fldCharType="end"/>
        </w:r>
      </w:p>
    </w:sdtContent>
  </w:sdt>
  <w:p w:rsidR="002F2A3D" w:rsidRDefault="002F2A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5E6D" w:rsidRDefault="00F25E6D" w:rsidP="00E40EE8">
      <w:pPr>
        <w:spacing w:line="240" w:lineRule="auto"/>
      </w:pPr>
      <w:r>
        <w:separator/>
      </w:r>
    </w:p>
  </w:footnote>
  <w:footnote w:type="continuationSeparator" w:id="0">
    <w:p w:rsidR="00F25E6D" w:rsidRDefault="00F25E6D" w:rsidP="00E40E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F24"/>
    <w:multiLevelType w:val="hybridMultilevel"/>
    <w:tmpl w:val="9C284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47C54"/>
    <w:multiLevelType w:val="multilevel"/>
    <w:tmpl w:val="56B03940"/>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
  </w:num>
  <w:num w:numId="2">
    <w:abstractNumId w:val="1"/>
    <w:lvlOverride w:ilvl="0">
      <w:startOverride w:val="3"/>
    </w:lvlOverride>
    <w:lvlOverride w:ilvl="1">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26"/>
    <w:rsid w:val="0002399D"/>
    <w:rsid w:val="000B7432"/>
    <w:rsid w:val="000F666C"/>
    <w:rsid w:val="00233D99"/>
    <w:rsid w:val="002373C2"/>
    <w:rsid w:val="00265AB4"/>
    <w:rsid w:val="002F2A3D"/>
    <w:rsid w:val="003B4497"/>
    <w:rsid w:val="00407B76"/>
    <w:rsid w:val="005069D7"/>
    <w:rsid w:val="00532D3F"/>
    <w:rsid w:val="005D085C"/>
    <w:rsid w:val="00634C25"/>
    <w:rsid w:val="006A4B92"/>
    <w:rsid w:val="006E0597"/>
    <w:rsid w:val="00741AE4"/>
    <w:rsid w:val="00745D11"/>
    <w:rsid w:val="00752E9D"/>
    <w:rsid w:val="008468BC"/>
    <w:rsid w:val="008F1D81"/>
    <w:rsid w:val="0097074D"/>
    <w:rsid w:val="009963E4"/>
    <w:rsid w:val="009D5B55"/>
    <w:rsid w:val="00A10400"/>
    <w:rsid w:val="00AC2DB2"/>
    <w:rsid w:val="00AC6C72"/>
    <w:rsid w:val="00AE2E58"/>
    <w:rsid w:val="00AF5464"/>
    <w:rsid w:val="00D616F6"/>
    <w:rsid w:val="00D61A26"/>
    <w:rsid w:val="00DD2DD2"/>
    <w:rsid w:val="00E40EE8"/>
    <w:rsid w:val="00E772F6"/>
    <w:rsid w:val="00F2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1474A-93C5-43A0-8A82-D3582242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61A26"/>
    <w:pPr>
      <w:pBdr>
        <w:top w:val="nil"/>
        <w:left w:val="nil"/>
        <w:bottom w:val="nil"/>
        <w:right w:val="nil"/>
        <w:between w:val="nil"/>
      </w:pBdr>
      <w:spacing w:after="0" w:line="480" w:lineRule="auto"/>
      <w:ind w:firstLine="720"/>
      <w:jc w:val="both"/>
    </w:pPr>
    <w:rPr>
      <w:rFonts w:ascii="Times New Roman" w:eastAsia="Arial" w:hAnsi="Times New Roman" w:cs="Arial"/>
      <w:color w:val="000000"/>
      <w:sz w:val="24"/>
    </w:rPr>
  </w:style>
  <w:style w:type="paragraph" w:styleId="Overskrift1">
    <w:name w:val="heading 1"/>
    <w:basedOn w:val="Normal"/>
    <w:next w:val="Normal"/>
    <w:link w:val="Overskrift1Tegn"/>
    <w:qFormat/>
    <w:rsid w:val="00D61A26"/>
    <w:pPr>
      <w:keepNext/>
      <w:keepLines/>
      <w:numPr>
        <w:numId w:val="1"/>
      </w:numPr>
      <w:spacing w:before="400"/>
      <w:ind w:left="360" w:hanging="360"/>
      <w:jc w:val="left"/>
      <w:outlineLvl w:val="0"/>
    </w:pPr>
    <w:rPr>
      <w:rFonts w:eastAsiaTheme="majorEastAsia" w:cstheme="majorBidi"/>
      <w:b/>
      <w:szCs w:val="32"/>
    </w:rPr>
  </w:style>
  <w:style w:type="paragraph" w:styleId="Overskrift2">
    <w:name w:val="heading 2"/>
    <w:basedOn w:val="Normal"/>
    <w:next w:val="Normal"/>
    <w:link w:val="Overskrift2Tegn"/>
    <w:unhideWhenUsed/>
    <w:qFormat/>
    <w:rsid w:val="00D61A26"/>
    <w:pPr>
      <w:keepNext/>
      <w:keepLines/>
      <w:numPr>
        <w:ilvl w:val="1"/>
        <w:numId w:val="1"/>
      </w:numPr>
      <w:spacing w:before="360" w:after="120" w:line="360" w:lineRule="auto"/>
      <w:ind w:left="720" w:hanging="720"/>
      <w:jc w:val="left"/>
      <w:outlineLvl w:val="1"/>
    </w:pPr>
    <w:rPr>
      <w:rFonts w:eastAsiaTheme="majorEastAsia" w:cstheme="majorBidi"/>
      <w:i/>
      <w:szCs w:val="26"/>
    </w:rPr>
  </w:style>
  <w:style w:type="paragraph" w:styleId="Overskrift3">
    <w:name w:val="heading 3"/>
    <w:basedOn w:val="Normal"/>
    <w:next w:val="Normal"/>
    <w:link w:val="Overskrift3Tegn"/>
    <w:rsid w:val="00D61A26"/>
    <w:pPr>
      <w:keepNext/>
      <w:keepLines/>
      <w:numPr>
        <w:ilvl w:val="2"/>
        <w:numId w:val="1"/>
      </w:numPr>
      <w:spacing w:before="320" w:after="80"/>
      <w:jc w:val="left"/>
      <w:outlineLvl w:val="2"/>
    </w:pPr>
    <w:rPr>
      <w:rFonts w:ascii="Arial" w:hAnsi="Arial"/>
      <w:color w:val="434343"/>
      <w:sz w:val="28"/>
      <w:szCs w:val="28"/>
    </w:rPr>
  </w:style>
  <w:style w:type="paragraph" w:styleId="Overskrift4">
    <w:name w:val="heading 4"/>
    <w:basedOn w:val="Normal"/>
    <w:next w:val="Normal"/>
    <w:link w:val="Overskrift4Tegn"/>
    <w:rsid w:val="00D61A26"/>
    <w:pPr>
      <w:keepNext/>
      <w:keepLines/>
      <w:numPr>
        <w:ilvl w:val="3"/>
        <w:numId w:val="1"/>
      </w:numPr>
      <w:spacing w:before="280" w:after="80"/>
      <w:jc w:val="left"/>
      <w:outlineLvl w:val="3"/>
    </w:pPr>
    <w:rPr>
      <w:rFonts w:ascii="Arial" w:hAnsi="Arial"/>
      <w:color w:val="666666"/>
      <w:szCs w:val="24"/>
    </w:rPr>
  </w:style>
  <w:style w:type="paragraph" w:styleId="Overskrift5">
    <w:name w:val="heading 5"/>
    <w:basedOn w:val="Normal"/>
    <w:next w:val="Normal"/>
    <w:link w:val="Overskrift5Tegn"/>
    <w:rsid w:val="00D61A26"/>
    <w:pPr>
      <w:keepNext/>
      <w:keepLines/>
      <w:numPr>
        <w:ilvl w:val="4"/>
        <w:numId w:val="1"/>
      </w:numPr>
      <w:spacing w:before="240" w:after="80"/>
      <w:jc w:val="left"/>
      <w:outlineLvl w:val="4"/>
    </w:pPr>
    <w:rPr>
      <w:rFonts w:ascii="Arial" w:hAnsi="Arial"/>
      <w:color w:val="666666"/>
      <w:sz w:val="22"/>
    </w:rPr>
  </w:style>
  <w:style w:type="paragraph" w:styleId="Overskrift6">
    <w:name w:val="heading 6"/>
    <w:basedOn w:val="Normal"/>
    <w:next w:val="Normal"/>
    <w:link w:val="Overskrift6Tegn"/>
    <w:rsid w:val="00D61A26"/>
    <w:pPr>
      <w:keepNext/>
      <w:keepLines/>
      <w:numPr>
        <w:ilvl w:val="5"/>
        <w:numId w:val="1"/>
      </w:numPr>
      <w:spacing w:before="240" w:after="80"/>
      <w:jc w:val="left"/>
      <w:outlineLvl w:val="5"/>
    </w:pPr>
    <w:rPr>
      <w:rFonts w:ascii="Arial" w:hAnsi="Arial"/>
      <w:i/>
      <w:color w:val="666666"/>
      <w:sz w:val="22"/>
    </w:rPr>
  </w:style>
  <w:style w:type="paragraph" w:styleId="Overskrift7">
    <w:name w:val="heading 7"/>
    <w:basedOn w:val="Normal"/>
    <w:next w:val="Normal"/>
    <w:link w:val="Overskrift7Tegn"/>
    <w:uiPriority w:val="9"/>
    <w:semiHidden/>
    <w:unhideWhenUsed/>
    <w:qFormat/>
    <w:rsid w:val="00D61A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61A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61A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61A26"/>
    <w:rPr>
      <w:rFonts w:ascii="Times New Roman" w:eastAsiaTheme="majorEastAsia" w:hAnsi="Times New Roman" w:cstheme="majorBidi"/>
      <w:b/>
      <w:color w:val="000000"/>
      <w:sz w:val="24"/>
      <w:szCs w:val="32"/>
    </w:rPr>
  </w:style>
  <w:style w:type="character" w:customStyle="1" w:styleId="Overskrift2Tegn">
    <w:name w:val="Overskrift 2 Tegn"/>
    <w:basedOn w:val="Standardskrifttypeiafsnit"/>
    <w:link w:val="Overskrift2"/>
    <w:rsid w:val="00D61A26"/>
    <w:rPr>
      <w:rFonts w:ascii="Times New Roman" w:eastAsiaTheme="majorEastAsia" w:hAnsi="Times New Roman" w:cstheme="majorBidi"/>
      <w:i/>
      <w:color w:val="000000"/>
      <w:sz w:val="24"/>
      <w:szCs w:val="26"/>
    </w:rPr>
  </w:style>
  <w:style w:type="character" w:customStyle="1" w:styleId="Overskrift3Tegn">
    <w:name w:val="Overskrift 3 Tegn"/>
    <w:basedOn w:val="Standardskrifttypeiafsnit"/>
    <w:link w:val="Overskrift3"/>
    <w:rsid w:val="00D61A26"/>
    <w:rPr>
      <w:rFonts w:ascii="Arial" w:eastAsia="Arial" w:hAnsi="Arial" w:cs="Arial"/>
      <w:color w:val="434343"/>
      <w:sz w:val="28"/>
      <w:szCs w:val="28"/>
    </w:rPr>
  </w:style>
  <w:style w:type="character" w:customStyle="1" w:styleId="Overskrift4Tegn">
    <w:name w:val="Overskrift 4 Tegn"/>
    <w:basedOn w:val="Standardskrifttypeiafsnit"/>
    <w:link w:val="Overskrift4"/>
    <w:rsid w:val="00D61A26"/>
    <w:rPr>
      <w:rFonts w:ascii="Arial" w:eastAsia="Arial" w:hAnsi="Arial" w:cs="Arial"/>
      <w:color w:val="666666"/>
      <w:sz w:val="24"/>
      <w:szCs w:val="24"/>
    </w:rPr>
  </w:style>
  <w:style w:type="character" w:customStyle="1" w:styleId="Overskrift5Tegn">
    <w:name w:val="Overskrift 5 Tegn"/>
    <w:basedOn w:val="Standardskrifttypeiafsnit"/>
    <w:link w:val="Overskrift5"/>
    <w:rsid w:val="00D61A26"/>
    <w:rPr>
      <w:rFonts w:ascii="Arial" w:eastAsia="Arial" w:hAnsi="Arial" w:cs="Arial"/>
      <w:color w:val="666666"/>
    </w:rPr>
  </w:style>
  <w:style w:type="character" w:customStyle="1" w:styleId="Overskrift6Tegn">
    <w:name w:val="Overskrift 6 Tegn"/>
    <w:basedOn w:val="Standardskrifttypeiafsnit"/>
    <w:link w:val="Overskrift6"/>
    <w:rsid w:val="00D61A26"/>
    <w:rPr>
      <w:rFonts w:ascii="Arial" w:eastAsia="Arial" w:hAnsi="Arial" w:cs="Arial"/>
      <w:i/>
      <w:color w:val="666666"/>
    </w:rPr>
  </w:style>
  <w:style w:type="character" w:customStyle="1" w:styleId="Overskrift7Tegn">
    <w:name w:val="Overskrift 7 Tegn"/>
    <w:basedOn w:val="Standardskrifttypeiafsnit"/>
    <w:link w:val="Overskrift7"/>
    <w:uiPriority w:val="9"/>
    <w:semiHidden/>
    <w:rsid w:val="00D61A26"/>
    <w:rPr>
      <w:rFonts w:asciiTheme="majorHAnsi" w:eastAsiaTheme="majorEastAsia" w:hAnsiTheme="majorHAnsi" w:cstheme="majorBidi"/>
      <w:i/>
      <w:iCs/>
      <w:color w:val="1F4D78" w:themeColor="accent1" w:themeShade="7F"/>
      <w:sz w:val="24"/>
    </w:rPr>
  </w:style>
  <w:style w:type="character" w:customStyle="1" w:styleId="Overskrift8Tegn">
    <w:name w:val="Overskrift 8 Tegn"/>
    <w:basedOn w:val="Standardskrifttypeiafsnit"/>
    <w:link w:val="Overskrift8"/>
    <w:uiPriority w:val="9"/>
    <w:semiHidden/>
    <w:rsid w:val="00D61A2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61A26"/>
    <w:rPr>
      <w:rFonts w:asciiTheme="majorHAnsi" w:eastAsiaTheme="majorEastAsia" w:hAnsiTheme="majorHAnsi" w:cstheme="majorBidi"/>
      <w:i/>
      <w:iCs/>
      <w:color w:val="272727" w:themeColor="text1" w:themeTint="D8"/>
      <w:sz w:val="21"/>
      <w:szCs w:val="21"/>
    </w:rPr>
  </w:style>
  <w:style w:type="paragraph" w:styleId="Listeafsnit">
    <w:name w:val="List Paragraph"/>
    <w:basedOn w:val="Normal"/>
    <w:uiPriority w:val="34"/>
    <w:qFormat/>
    <w:rsid w:val="00265AB4"/>
    <w:pPr>
      <w:ind w:left="720"/>
      <w:contextualSpacing/>
    </w:pPr>
  </w:style>
  <w:style w:type="paragraph" w:styleId="Sidehoved">
    <w:name w:val="header"/>
    <w:basedOn w:val="Normal"/>
    <w:link w:val="SidehovedTegn"/>
    <w:uiPriority w:val="99"/>
    <w:unhideWhenUsed/>
    <w:rsid w:val="00E40EE8"/>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E40EE8"/>
    <w:rPr>
      <w:rFonts w:ascii="Times New Roman" w:eastAsia="Arial" w:hAnsi="Times New Roman" w:cs="Arial"/>
      <w:color w:val="000000"/>
      <w:sz w:val="24"/>
    </w:rPr>
  </w:style>
  <w:style w:type="paragraph" w:styleId="Sidefod">
    <w:name w:val="footer"/>
    <w:basedOn w:val="Normal"/>
    <w:link w:val="SidefodTegn"/>
    <w:uiPriority w:val="99"/>
    <w:unhideWhenUsed/>
    <w:rsid w:val="00E40EE8"/>
    <w:pPr>
      <w:tabs>
        <w:tab w:val="center" w:pos="4680"/>
        <w:tab w:val="right" w:pos="9360"/>
      </w:tabs>
      <w:spacing w:line="240" w:lineRule="auto"/>
    </w:pPr>
  </w:style>
  <w:style w:type="character" w:customStyle="1" w:styleId="SidefodTegn">
    <w:name w:val="Sidefod Tegn"/>
    <w:basedOn w:val="Standardskrifttypeiafsnit"/>
    <w:link w:val="Sidefod"/>
    <w:uiPriority w:val="99"/>
    <w:rsid w:val="00E40EE8"/>
    <w:rPr>
      <w:rFonts w:ascii="Times New Roman" w:eastAsia="Arial" w:hAnsi="Times New Roman" w:cs="Arial"/>
      <w:color w:val="000000"/>
      <w:sz w:val="24"/>
    </w:rPr>
  </w:style>
  <w:style w:type="paragraph" w:styleId="Markeringsbobletekst">
    <w:name w:val="Balloon Text"/>
    <w:basedOn w:val="Normal"/>
    <w:link w:val="MarkeringsbobletekstTegn"/>
    <w:uiPriority w:val="99"/>
    <w:semiHidden/>
    <w:unhideWhenUsed/>
    <w:rsid w:val="003B4497"/>
    <w:pPr>
      <w:spacing w:line="240" w:lineRule="auto"/>
    </w:pPr>
    <w:rPr>
      <w:rFonts w:cs="Times New Roman"/>
      <w:sz w:val="18"/>
      <w:szCs w:val="18"/>
    </w:rPr>
  </w:style>
  <w:style w:type="character" w:customStyle="1" w:styleId="MarkeringsbobletekstTegn">
    <w:name w:val="Markeringsbobletekst Tegn"/>
    <w:basedOn w:val="Standardskrifttypeiafsnit"/>
    <w:link w:val="Markeringsbobletekst"/>
    <w:uiPriority w:val="99"/>
    <w:semiHidden/>
    <w:rsid w:val="003B4497"/>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3384">
      <w:bodyDiv w:val="1"/>
      <w:marLeft w:val="0"/>
      <w:marRight w:val="0"/>
      <w:marTop w:val="0"/>
      <w:marBottom w:val="0"/>
      <w:divBdr>
        <w:top w:val="none" w:sz="0" w:space="0" w:color="auto"/>
        <w:left w:val="none" w:sz="0" w:space="0" w:color="auto"/>
        <w:bottom w:val="none" w:sz="0" w:space="0" w:color="auto"/>
        <w:right w:val="none" w:sz="0" w:space="0" w:color="auto"/>
      </w:divBdr>
    </w:div>
    <w:div w:id="114520069">
      <w:bodyDiv w:val="1"/>
      <w:marLeft w:val="0"/>
      <w:marRight w:val="0"/>
      <w:marTop w:val="0"/>
      <w:marBottom w:val="0"/>
      <w:divBdr>
        <w:top w:val="none" w:sz="0" w:space="0" w:color="auto"/>
        <w:left w:val="none" w:sz="0" w:space="0" w:color="auto"/>
        <w:bottom w:val="none" w:sz="0" w:space="0" w:color="auto"/>
        <w:right w:val="none" w:sz="0" w:space="0" w:color="auto"/>
      </w:divBdr>
    </w:div>
    <w:div w:id="973363602">
      <w:bodyDiv w:val="1"/>
      <w:marLeft w:val="0"/>
      <w:marRight w:val="0"/>
      <w:marTop w:val="0"/>
      <w:marBottom w:val="0"/>
      <w:divBdr>
        <w:top w:val="none" w:sz="0" w:space="0" w:color="auto"/>
        <w:left w:val="none" w:sz="0" w:space="0" w:color="auto"/>
        <w:bottom w:val="none" w:sz="0" w:space="0" w:color="auto"/>
        <w:right w:val="none" w:sz="0" w:space="0" w:color="auto"/>
      </w:divBdr>
    </w:div>
    <w:div w:id="1388794448">
      <w:bodyDiv w:val="1"/>
      <w:marLeft w:val="0"/>
      <w:marRight w:val="0"/>
      <w:marTop w:val="0"/>
      <w:marBottom w:val="0"/>
      <w:divBdr>
        <w:top w:val="none" w:sz="0" w:space="0" w:color="auto"/>
        <w:left w:val="none" w:sz="0" w:space="0" w:color="auto"/>
        <w:bottom w:val="none" w:sz="0" w:space="0" w:color="auto"/>
        <w:right w:val="none" w:sz="0" w:space="0" w:color="auto"/>
      </w:divBdr>
    </w:div>
    <w:div w:id="1593968653">
      <w:bodyDiv w:val="1"/>
      <w:marLeft w:val="0"/>
      <w:marRight w:val="0"/>
      <w:marTop w:val="0"/>
      <w:marBottom w:val="0"/>
      <w:divBdr>
        <w:top w:val="none" w:sz="0" w:space="0" w:color="auto"/>
        <w:left w:val="none" w:sz="0" w:space="0" w:color="auto"/>
        <w:bottom w:val="none" w:sz="0" w:space="0" w:color="auto"/>
        <w:right w:val="none" w:sz="0" w:space="0" w:color="auto"/>
      </w:divBdr>
    </w:div>
    <w:div w:id="1669945295">
      <w:bodyDiv w:val="1"/>
      <w:marLeft w:val="0"/>
      <w:marRight w:val="0"/>
      <w:marTop w:val="0"/>
      <w:marBottom w:val="0"/>
      <w:divBdr>
        <w:top w:val="none" w:sz="0" w:space="0" w:color="auto"/>
        <w:left w:val="none" w:sz="0" w:space="0" w:color="auto"/>
        <w:bottom w:val="none" w:sz="0" w:space="0" w:color="auto"/>
        <w:right w:val="none" w:sz="0" w:space="0" w:color="auto"/>
      </w:divBdr>
    </w:div>
    <w:div w:id="2069570314">
      <w:bodyDiv w:val="1"/>
      <w:marLeft w:val="0"/>
      <w:marRight w:val="0"/>
      <w:marTop w:val="0"/>
      <w:marBottom w:val="0"/>
      <w:divBdr>
        <w:top w:val="none" w:sz="0" w:space="0" w:color="auto"/>
        <w:left w:val="none" w:sz="0" w:space="0" w:color="auto"/>
        <w:bottom w:val="none" w:sz="0" w:space="0" w:color="auto"/>
        <w:right w:val="none" w:sz="0" w:space="0" w:color="auto"/>
      </w:divBdr>
    </w:div>
    <w:div w:id="20977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Fremstad,Anders</dc:creator>
  <cp:keywords/>
  <dc:description/>
  <cp:lastModifiedBy>Rasmus LK</cp:lastModifiedBy>
  <cp:revision>2</cp:revision>
  <dcterms:created xsi:type="dcterms:W3CDTF">2021-06-11T07:51:00Z</dcterms:created>
  <dcterms:modified xsi:type="dcterms:W3CDTF">2021-06-11T07:51:00Z</dcterms:modified>
</cp:coreProperties>
</file>