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96000" cy="50669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96000" cy="506695"/>
                    </a:xfrm>
                    <a:prstGeom prst="rect"/>
                  </pic:spPr>
                </pic:pic>
              </a:graphicData>
            </a:graphic>
          </wp:inline>
        </w:drawing>
      </w:r>
    </w:p>
    <w:p>
      <w:pPr>
        <w:pStyle w:val="Heading1"/>
      </w:pPr>
      <w:r>
        <w:t>Debrief</w:t>
      </w:r>
    </w:p>
    <w:p>
      <w:pPr>
        <w:spacing w:after="0"/>
      </w:pPr>
      <w:r>
        <w:rPr>
          <w:b/>
          <w:i w:val="0"/>
        </w:rPr>
        <w:t>Study:</w:t>
      </w:r>
      <w:r>
        <w:rPr>
          <w:b w:val="0"/>
          <w:i w:val="0"/>
        </w:rPr>
        <w:t xml:space="preserve"> MINT questionnaire validation follow-up</w:t>
      </w:r>
    </w:p>
    <w:p>
      <w:pPr>
        <w:spacing w:after="160"/>
      </w:pPr>
      <w:r>
        <w:rPr>
          <w:b/>
          <w:i w:val="0"/>
        </w:rPr>
        <w:t>Version:</w:t>
      </w:r>
      <w:r>
        <w:rPr>
          <w:b w:val="0"/>
          <w:i w:val="0"/>
        </w:rPr>
        <w:t xml:space="preserve"> 1, 4 October 2026</w:t>
      </w:r>
    </w:p>
    <w:p>
      <w:r>
        <w:rPr>
          <w:b w:val="0"/>
          <w:i w:val="0"/>
          <w:color w:val="555B66"/>
          <w:sz w:val="19"/>
        </w:rPr>
        <w:t>Shown on screen to every participant who completes the core set, after the questions on whether they took the survey seriously and any comments they wish to share, and before they choose whether to stop or continue with the optional questionnaires.</w:t>
      </w:r>
    </w:p>
    <w:p>
      <w:pPr>
        <w:pStyle w:val="Heading2"/>
      </w:pPr>
      <w:r>
        <w:t>About this study</w:t>
      </w:r>
    </w:p>
    <w:p>
      <w:r>
        <w:rPr>
          <w:b w:val="0"/>
          <w:i w:val="0"/>
        </w:rPr>
        <w:t xml:space="preserve">This study is validating a new questionnaire of </w:t>
      </w:r>
      <w:r>
        <w:rPr>
          <w:b/>
          <w:i w:val="0"/>
        </w:rPr>
        <w:t>interoception</w:t>
      </w:r>
      <w:r>
        <w:rPr>
          <w:b w:val="0"/>
          <w:i w:val="0"/>
        </w:rPr>
        <w:t>: how you sense and make sense of the signals from inside your body, such as your heartbeat, your breathing or your stomach, which have been linked to emotion, self-awareness and well-being. The other questionnaires show how it relates to mood, health and views of AI, and the questions about your body were answered on circles or on a slider, drawn at random, to find out whether the way a question is answered changes the answer. The results you were shown describe your answers: none of them is a diagnosis.</w:t>
      </w:r>
    </w:p>
    <w:p>
      <w:r>
        <w:rPr>
          <w:b w:val="0"/>
          <w:i w:val="0"/>
        </w:rPr>
        <w:t>Your answers are kept confidential and stored de-identified. For any question or concern, contact Dr Dominique Makowski (D.Makowski@sussex.ac.uk) or Asel Tohlukov (at775@sussex.ac.uk). If anything here brought up something difficult, the Samaritans (116 123, free, day or night; www.samaritans.org) and Mind (0300 123 3393; www.mind.org.uk) are there to listen, and so are the University of Sussex’s health and wellbeing services for its students (student.sussex.ac.uk/wellbeing).</w:t>
      </w:r>
    </w:p>
    <w:p>
      <w:pPr>
        <w:pStyle w:val="Heading3"/>
      </w:pPr>
      <w:r>
        <w:t>For participants recruited through SONA</w:t>
      </w:r>
    </w:p>
    <w:p>
      <w:r>
        <w:rPr>
          <w:b w:val="0"/>
          <w:i w:val="0"/>
        </w:rPr>
        <w:t>Your SONA credit is for the main part, which you have finished, so it is yours whatever you do next. Claim it now, in a new tab, before you go on or close this page.</w:t>
      </w:r>
    </w:p>
    <w:p>
      <w:r>
        <w:rPr>
          <w:b w:val="0"/>
          <w:i/>
          <w:color w:val="555B66"/>
          <w:sz w:val="19"/>
        </w:rPr>
        <w:t>[Button: “Claim your SONA credit”, opening SONA in a new tab.]</w:t>
      </w:r>
    </w:p>
    <w:p>
      <w:pPr>
        <w:pStyle w:val="Heading3"/>
      </w:pPr>
      <w:r>
        <w:t>What next?</w:t>
      </w:r>
    </w:p>
    <w:p>
      <w:r>
        <w:rPr>
          <w:b w:val="0"/>
          <w:i w:val="0"/>
        </w:rPr>
        <w:t>The test goes on, and every level will reveal something new about you. They are optional (for SONA participants: “and earn no further credit”), so you can stop at any point you feel like. Choose which part of yourself to explore next.</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Arial" w:hAnsi="Arial" w:eastAsia="Arial" w:cs="Arial"/>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1B2A4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eastAsia="Arial" w:cs="Arial"/>
      <w:b/>
      <w:bCs/>
      <w:i w:val="0"/>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