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9FC58">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Retail Sales Data Processing and Business Insights Generation</w:t>
      </w:r>
    </w:p>
    <w:p w14:paraId="41148A5C">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p>
    <w:p w14:paraId="3CB2991B">
      <w:pPr>
        <w:spacing w:before="480" w:after="480" w:line="240" w:lineRule="auto"/>
        <w:rPr>
          <w:rFonts w:ascii="Times New Roman" w:hAnsi="Times New Roman" w:eastAsia="Times New Roman" w:cs="Times New Roman"/>
          <w:b/>
          <w:bCs/>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1. Project Overview</w:t>
      </w:r>
    </w:p>
    <w:p w14:paraId="2AA8722F">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ABC Retail Solutions receives retail transaction data from multiple operational systems. Since the data originates from different sources, it contains several quality issues such as missing values, inconsistent records, and sensitive customer information. These issues make it difficult to generate accurate reports and business insights.</w:t>
      </w:r>
    </w:p>
    <w:p w14:paraId="1B313298">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objective of this project was to build a complete data processing pipeline that combines transaction data from multiple sources, performs data cleaning and validation, protects customer information, and prepares a curated dataset for reporting purposes. The final dataset was connected to Power BI to create an interactive dashboard for analyzing revenue trends, category performance, product performance, and regional sales distribution.</w:t>
      </w:r>
    </w:p>
    <w:p w14:paraId="356BE9EE">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implementation was carried out using Python for data processing and Power BI for visualization and reporting.</w:t>
      </w:r>
    </w:p>
    <w:p w14:paraId="07FA2987">
      <w:pPr>
        <w:spacing w:before="480" w:after="480" w:line="240" w:lineRule="auto"/>
        <w:rPr>
          <w:rFonts w:ascii="Times New Roman" w:hAnsi="Times New Roman" w:eastAsia="Times New Roman" w:cs="Times New Roman"/>
          <w:b/>
          <w:bCs/>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2. Problem Statement</w:t>
      </w:r>
    </w:p>
    <w:p w14:paraId="2317E042">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ABC Retail Solutions operates through multiple sales channels and stores located in different cities. Transaction data is collected from different systems and stored in separate files. Due to differences in data entry and source systems, the datasets contain missing values, inconsistent records, and customer information that requires protection.</w:t>
      </w:r>
    </w:p>
    <w:p w14:paraId="66031100">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organization requires a standardized data processing solution that can:</w:t>
      </w:r>
    </w:p>
    <w:p w14:paraId="1EB022B7">
      <w:pPr>
        <w:numPr>
          <w:ilvl w:val="0"/>
          <w:numId w:val="1"/>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Combine data from multiple transaction sources.</w:t>
      </w:r>
    </w:p>
    <w:p w14:paraId="663087AB">
      <w:pPr>
        <w:numPr>
          <w:ilvl w:val="0"/>
          <w:numId w:val="1"/>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Validate and clean the collected data.</w:t>
      </w:r>
    </w:p>
    <w:p w14:paraId="6ED18602">
      <w:pPr>
        <w:numPr>
          <w:ilvl w:val="0"/>
          <w:numId w:val="1"/>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Handle missing values and invalid records.</w:t>
      </w:r>
    </w:p>
    <w:p w14:paraId="770EE13A">
      <w:pPr>
        <w:numPr>
          <w:ilvl w:val="0"/>
          <w:numId w:val="1"/>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Protect personally identifiable information.</w:t>
      </w:r>
    </w:p>
    <w:p w14:paraId="10E35A7F">
      <w:pPr>
        <w:numPr>
          <w:ilvl w:val="0"/>
          <w:numId w:val="1"/>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Generate business-ready datasets.</w:t>
      </w:r>
    </w:p>
    <w:p w14:paraId="7D136751">
      <w:pPr>
        <w:numPr>
          <w:ilvl w:val="0"/>
          <w:numId w:val="1"/>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Support reporting and decision-making through dashboards and KPIs.</w:t>
      </w:r>
    </w:p>
    <w:p w14:paraId="1FEA392C">
      <w:pPr>
        <w:spacing w:after="0" w:line="240" w:lineRule="auto"/>
        <w:ind w:left="720"/>
        <w:rPr>
          <w:rFonts w:ascii="Times New Roman" w:hAnsi="Times New Roman" w:eastAsia="Times New Roman" w:cs="Times New Roman"/>
          <w:color w:val="000000" w:themeColor="text1"/>
          <w:sz w:val="28"/>
          <w:szCs w:val="28"/>
          <w14:textFill>
            <w14:solidFill>
              <w14:schemeClr w14:val="tx1"/>
            </w14:solidFill>
          </w14:textFill>
        </w:rPr>
      </w:pPr>
    </w:p>
    <w:p w14:paraId="41807CF2">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solution should provide reliable business metrics such as revenue, customer count, transaction count, category performance, product performance, and city-wise revenue analysis.</w:t>
      </w:r>
    </w:p>
    <w:p w14:paraId="14937674">
      <w:pPr>
        <w:spacing w:before="480" w:after="480" w:line="240" w:lineRule="auto"/>
        <w:rPr>
          <w:rFonts w:ascii="Times New Roman" w:hAnsi="Times New Roman" w:eastAsia="Times New Roman" w:cs="Times New Roman"/>
          <w:b/>
          <w:bCs/>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3. Dataset Description</w:t>
      </w:r>
    </w:p>
    <w:p w14:paraId="596B38AA">
      <w:pPr>
        <w:spacing w:before="100" w:beforeAutospacing="1" w:after="100" w:afterAutospacing="1" w:line="240" w:lineRule="auto"/>
        <w:outlineLvl w:val="1"/>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3.1 Product Details Dataset</w:t>
      </w:r>
    </w:p>
    <w:p w14:paraId="0169BD36">
      <w:p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product master dataset contains standardized information about products.</w:t>
      </w:r>
    </w:p>
    <w:p w14:paraId="508C5FDD">
      <w:p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Columns:</w:t>
      </w:r>
    </w:p>
    <w:p w14:paraId="34467150">
      <w:pPr>
        <w:numPr>
          <w:ilvl w:val="0"/>
          <w:numId w:val="2"/>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product_id</w:t>
      </w:r>
    </w:p>
    <w:p w14:paraId="0D75C8B5">
      <w:pPr>
        <w:numPr>
          <w:ilvl w:val="0"/>
          <w:numId w:val="2"/>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product_name</w:t>
      </w:r>
    </w:p>
    <w:p w14:paraId="7AA17588">
      <w:pPr>
        <w:numPr>
          <w:ilvl w:val="0"/>
          <w:numId w:val="2"/>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category</w:t>
      </w:r>
    </w:p>
    <w:p w14:paraId="1F26E1F0">
      <w:pPr>
        <w:numPr>
          <w:ilvl w:val="0"/>
          <w:numId w:val="2"/>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price</w:t>
      </w:r>
    </w:p>
    <w:p w14:paraId="31B66DA9">
      <w:p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This dataset was used as a reference table to validate and enrich transaction records.</w:t>
      </w:r>
    </w:p>
    <w:p w14:paraId="3E99AC16">
      <w:pPr>
        <w:spacing w:before="100" w:beforeAutospacing="1" w:after="100" w:afterAutospacing="1" w:line="240" w:lineRule="auto"/>
        <w:outlineLvl w:val="1"/>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3.2 Retail Data 1</w:t>
      </w:r>
    </w:p>
    <w:p w14:paraId="5621BCDE">
      <w:p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The first transaction dataset contains customer purchases collected from one source system </w:t>
      </w:r>
    </w:p>
    <w:p w14:paraId="40B12224">
      <w:p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Major fields include:</w:t>
      </w:r>
    </w:p>
    <w:p w14:paraId="6677A401">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transaction_id</w:t>
      </w:r>
    </w:p>
    <w:p w14:paraId="16DBADE8">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customer_id</w:t>
      </w:r>
    </w:p>
    <w:p w14:paraId="04AB5435">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customer_name</w:t>
      </w:r>
    </w:p>
    <w:p w14:paraId="3BCA2E33">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product_id</w:t>
      </w:r>
    </w:p>
    <w:p w14:paraId="565B362A">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product_name</w:t>
      </w:r>
    </w:p>
    <w:p w14:paraId="0439C8B8">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category</w:t>
      </w:r>
    </w:p>
    <w:p w14:paraId="37D5FE0E">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purchase_location</w:t>
      </w:r>
    </w:p>
    <w:p w14:paraId="2780364E">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city</w:t>
      </w:r>
    </w:p>
    <w:p w14:paraId="7CB0124B">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transaction_date</w:t>
      </w:r>
    </w:p>
    <w:p w14:paraId="09BABDC9">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quantity</w:t>
      </w:r>
    </w:p>
    <w:p w14:paraId="5C0F8948">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payment_method</w:t>
      </w:r>
    </w:p>
    <w:p w14:paraId="5B127103">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discount</w:t>
      </w:r>
    </w:p>
    <w:p w14:paraId="6D866278">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email</w:t>
      </w:r>
    </w:p>
    <w:p w14:paraId="577C8263">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phone</w:t>
      </w:r>
    </w:p>
    <w:p w14:paraId="5EA30646">
      <w:pPr>
        <w:numPr>
          <w:ilvl w:val="0"/>
          <w:numId w:val="3"/>
        </w:num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payment_status</w:t>
      </w:r>
    </w:p>
    <w:p w14:paraId="2F34A45E">
      <w:pPr>
        <w:spacing w:before="100" w:beforeAutospacing="1" w:after="100" w:afterAutospacing="1" w:line="240" w:lineRule="auto"/>
        <w:outlineLvl w:val="1"/>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3.3 Retail Data 2</w:t>
      </w:r>
    </w:p>
    <w:p w14:paraId="11926412">
      <w:p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second transaction dataset contains transaction records from another source system and follows a structure similar to Retail Data 1.</w:t>
      </w:r>
    </w:p>
    <w:p w14:paraId="7C4FC967">
      <w:p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Both retail datasets were combined to create a single unified transaction dataset for processing and reporting.</w:t>
      </w:r>
    </w:p>
    <w:p w14:paraId="4DB1012A">
      <w:pPr>
        <w:spacing w:before="100" w:beforeAutospacing="1" w:after="100" w:afterAutospacing="1" w:line="240" w:lineRule="auto"/>
        <w:rPr>
          <w:rFonts w:ascii="Times New Roman" w:hAnsi="Times New Roman" w:eastAsia="Times New Roman" w:cs="Times New Roman"/>
          <w:b/>
          <w:bCs/>
          <w:color w:val="000000" w:themeColor="text1"/>
          <w:kern w:val="36"/>
          <w:sz w:val="36"/>
          <w:szCs w:val="36"/>
          <w14:textFill>
            <w14:solidFill>
              <w14:schemeClr w14:val="tx1"/>
            </w14:solidFill>
          </w14:textFill>
        </w:rPr>
      </w:pPr>
      <w:r>
        <w:rPr>
          <w:rFonts w:ascii="Times New Roman" w:hAnsi="Times New Roman" w:eastAsia="Times New Roman" w:cs="Times New Roman"/>
          <w:b/>
          <w:bCs/>
          <w:color w:val="000000" w:themeColor="text1"/>
          <w:kern w:val="36"/>
          <w:sz w:val="36"/>
          <w:szCs w:val="36"/>
          <w14:textFill>
            <w14:solidFill>
              <w14:schemeClr w14:val="tx1"/>
            </w14:solidFill>
          </w14:textFill>
        </w:rPr>
        <w:t>4. Architecture Diagram</w:t>
      </w:r>
    </w:p>
    <w:p w14:paraId="0C78019F">
      <w:pPr>
        <w:spacing w:before="100" w:beforeAutospacing="1" w:after="100" w:afterAutospacing="1" w:line="240" w:lineRule="auto"/>
        <w:rPr>
          <w:rFonts w:ascii="Times New Roman" w:hAnsi="Times New Roman" w:eastAsia="Times New Roman" w:cs="Times New Roman"/>
          <w:color w:val="000000" w:themeColor="text1"/>
          <w:sz w:val="36"/>
          <w:szCs w:val="36"/>
          <w14:textFill>
            <w14:solidFill>
              <w14:schemeClr w14:val="tx1"/>
            </w14:solidFill>
          </w14:textFill>
        </w:rPr>
      </w:pPr>
    </w:p>
    <w:p w14:paraId="0B31B85B">
      <w:pPr>
        <w:spacing w:before="100" w:beforeAutospacing="1" w:after="100" w:afterAutospacing="1"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drawing>
          <wp:inline distT="0" distB="0" distL="0" distR="0">
            <wp:extent cx="5476875" cy="3105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77644" cy="3105586"/>
                    </a:xfrm>
                    <a:prstGeom prst="rect">
                      <a:avLst/>
                    </a:prstGeom>
                  </pic:spPr>
                </pic:pic>
              </a:graphicData>
            </a:graphic>
          </wp:inline>
        </w:drawing>
      </w:r>
    </w:p>
    <w:p w14:paraId="137BC953">
      <w:pPr>
        <w:spacing w:before="100" w:beforeAutospacing="1" w:after="100" w:afterAutospacing="1" w:line="240" w:lineRule="auto"/>
        <w:outlineLvl w:val="0"/>
        <w:rPr>
          <w:rFonts w:ascii="Times New Roman" w:hAnsi="Times New Roman" w:eastAsia="Times New Roman" w:cs="Times New Roman"/>
          <w:color w:val="000000" w:themeColor="text1"/>
          <w:sz w:val="28"/>
          <w:szCs w:val="28"/>
          <w14:textFill>
            <w14:solidFill>
              <w14:schemeClr w14:val="tx1"/>
            </w14:solidFill>
          </w14:textFill>
        </w:rPr>
      </w:pPr>
    </w:p>
    <w:p w14:paraId="3639E5A4">
      <w:pPr>
        <w:spacing w:before="100" w:beforeAutospacing="1" w:after="100" w:afterAutospacing="1" w:line="240" w:lineRule="auto"/>
        <w:outlineLvl w:val="0"/>
        <w:rPr>
          <w:rFonts w:ascii="Times New Roman" w:hAnsi="Times New Roman" w:eastAsia="Times New Roman" w:cs="Times New Roman"/>
          <w:b/>
          <w:bCs/>
          <w:color w:val="000000" w:themeColor="text1"/>
          <w:kern w:val="36"/>
          <w:sz w:val="36"/>
          <w:szCs w:val="36"/>
          <w14:textFill>
            <w14:solidFill>
              <w14:schemeClr w14:val="tx1"/>
            </w14:solidFill>
          </w14:textFill>
        </w:rPr>
      </w:pPr>
    </w:p>
    <w:p w14:paraId="57EB792E">
      <w:pPr>
        <w:spacing w:before="100" w:beforeAutospacing="1" w:after="100" w:afterAutospacing="1" w:line="240" w:lineRule="auto"/>
        <w:outlineLvl w:val="0"/>
        <w:rPr>
          <w:rFonts w:ascii="Times New Roman" w:hAnsi="Times New Roman" w:eastAsia="Times New Roman" w:cs="Times New Roman"/>
          <w:b/>
          <w:bCs/>
          <w:color w:val="000000" w:themeColor="text1"/>
          <w:kern w:val="36"/>
          <w:sz w:val="36"/>
          <w:szCs w:val="36"/>
          <w14:textFill>
            <w14:solidFill>
              <w14:schemeClr w14:val="tx1"/>
            </w14:solidFill>
          </w14:textFill>
        </w:rPr>
      </w:pPr>
      <w:r>
        <w:rPr>
          <w:rFonts w:ascii="Times New Roman" w:hAnsi="Times New Roman" w:eastAsia="Times New Roman" w:cs="Times New Roman"/>
          <w:b/>
          <w:bCs/>
          <w:color w:val="000000" w:themeColor="text1"/>
          <w:kern w:val="36"/>
          <w:sz w:val="36"/>
          <w:szCs w:val="36"/>
          <w14:textFill>
            <w14:solidFill>
              <w14:schemeClr w14:val="tx1"/>
            </w14:solidFill>
          </w14:textFill>
        </w:rPr>
        <w:t>5. Data Flow Diagram</w:t>
      </w:r>
    </w:p>
    <w:p w14:paraId="28FCDD71">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drawing>
          <wp:inline distT="0" distB="0" distL="0" distR="0">
            <wp:extent cx="5943600" cy="3241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3943318">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10697B7A">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3976317D">
      <w:pPr>
        <w:spacing w:line="240" w:lineRule="auto"/>
        <w:rPr>
          <w:rFonts w:ascii="Times New Roman" w:hAnsi="Times New Roman" w:eastAsia="Times New Roman" w:cs="Times New Roman"/>
          <w:b/>
          <w:bCs/>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6. Data Cleaning Strategy</w:t>
      </w:r>
    </w:p>
    <w:p w14:paraId="63F165C0">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Data cleaning was an important stage of the project because the transaction data was collected from multiple source systems. Before performing any analysis, the datasets were carefully examined to identify and correct data quality issues that could affect reporting accuracy and business insights.</w:t>
      </w:r>
    </w:p>
    <w:p w14:paraId="2AE92B49">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3ED965B8">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6.1 Missing Value Handling</w:t>
      </w:r>
    </w:p>
    <w:p w14:paraId="35201E0F">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During data profiling, it was observed that some transaction records contained missing values in the price column. Since price is required for revenue calculation, these missing values had to be addressed before further processing.</w:t>
      </w:r>
    </w:p>
    <w:p w14:paraId="2C2DF39A">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To resolve this issue, the product master dataset (</w:t>
      </w:r>
      <w:r>
        <w:rPr>
          <w:rFonts w:ascii="Times New Roman" w:hAnsi="Times New Roman" w:eastAsia="Times New Roman" w:cs="Times New Roman"/>
          <w:color w:val="000000" w:themeColor="text1"/>
          <w14:textFill>
            <w14:solidFill>
              <w14:schemeClr w14:val="tx1"/>
            </w14:solidFill>
          </w14:textFill>
        </w:rPr>
        <w:t>product_details.xlsx</w:t>
      </w:r>
      <w:r>
        <w:rPr>
          <w:rFonts w:ascii="Times New Roman" w:hAnsi="Times New Roman" w:eastAsia="Times New Roman" w:cs="Times New Roman"/>
          <w:color w:val="000000" w:themeColor="text1"/>
          <w:sz w:val="28"/>
          <w:szCs w:val="28"/>
          <w14:textFill>
            <w14:solidFill>
              <w14:schemeClr w14:val="tx1"/>
            </w14:solidFill>
          </w14:textFill>
        </w:rPr>
        <w:t xml:space="preserve">) was used as a reference source. Each transaction record was matched with the corresponding product using the </w:t>
      </w:r>
      <w:r>
        <w:rPr>
          <w:rFonts w:ascii="Times New Roman" w:hAnsi="Times New Roman" w:eastAsia="Times New Roman" w:cs="Times New Roman"/>
          <w:color w:val="000000" w:themeColor="text1"/>
          <w14:textFill>
            <w14:solidFill>
              <w14:schemeClr w14:val="tx1"/>
            </w14:solidFill>
          </w14:textFill>
        </w:rPr>
        <w:t>product_id</w:t>
      </w:r>
      <w:r>
        <w:rPr>
          <w:rFonts w:ascii="Times New Roman" w:hAnsi="Times New Roman" w:eastAsia="Times New Roman" w:cs="Times New Roman"/>
          <w:color w:val="000000" w:themeColor="text1"/>
          <w:sz w:val="28"/>
          <w:szCs w:val="28"/>
          <w14:textFill>
            <w14:solidFill>
              <w14:schemeClr w14:val="tx1"/>
            </w14:solidFill>
          </w14:textFill>
        </w:rPr>
        <w:t xml:space="preserve"> field. The standard product price from the product reference table was then used to populate the missing price values.</w:t>
      </w:r>
    </w:p>
    <w:p w14:paraId="79E71FBA">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This approach ensured consistency in pricing information across all transaction records and allowed accurate revenue calculation. Using the product master dataset also reduced the risk of introducing incorrect values during the cleaning process.</w:t>
      </w:r>
    </w:p>
    <w:p w14:paraId="631CFC28">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32B91908">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6.2 Duplicate Validation</w:t>
      </w:r>
    </w:p>
    <w:p w14:paraId="0202287E">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After combining the two retail transaction datasets into a single dataset, duplicate validation was performed to identify repeated records. Duplicate transactions can lead to inflated revenue figures, incorrect customer counts, and misleading business metrics.</w:t>
      </w:r>
    </w:p>
    <w:p w14:paraId="27D8226C">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combined dataset was checked for duplicate transaction entries using transaction-level attributes. Any identified duplicate records were removed to ensure that each transaction was represented only once in the curated dataset.</w:t>
      </w:r>
    </w:p>
    <w:p w14:paraId="29AD4901">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Performing this validation step helped maintain the accuracy and reliability of all subsequent calculations and reports.</w:t>
      </w:r>
    </w:p>
    <w:p w14:paraId="355FEC5D">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77D66594">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6.3 Invalid Quantity Handling</w:t>
      </w:r>
    </w:p>
    <w:p w14:paraId="7703E423">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quantity field represents the number of units purchased in a transaction. Since a sales transaction cannot logically have a quantity of zero or a negative value, the dataset was examined for invalid quantity entries.</w:t>
      </w:r>
    </w:p>
    <w:p w14:paraId="6B53F8D7">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Records containing invalid quantity values were identified and excluded from further processing. Removing these records ensured that revenue calculations and product performance analysis reflected only valid sales transactions.</w:t>
      </w:r>
    </w:p>
    <w:p w14:paraId="0F7E4020">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This validation step improved the overall quality of the dataset and prevented inaccurate reporting results.</w:t>
      </w:r>
    </w:p>
    <w:p w14:paraId="63261F58">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796ED461">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6.4 Data Standardization</w:t>
      </w:r>
    </w:p>
    <w:p w14:paraId="2BD67564">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Because the data originated from multiple source files, standardization was necessary to create a consistent structure for analysis and reporting.</w:t>
      </w:r>
    </w:p>
    <w:p w14:paraId="5D624362">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following standardization activities were carried out:</w:t>
      </w:r>
    </w:p>
    <w:p w14:paraId="1DC00070">
      <w:pPr>
        <w:numPr>
          <w:ilvl w:val="0"/>
          <w:numId w:val="4"/>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Column names were converted into a consistent naming format.</w:t>
      </w:r>
    </w:p>
    <w:p w14:paraId="69DD8980">
      <w:pPr>
        <w:numPr>
          <w:ilvl w:val="0"/>
          <w:numId w:val="4"/>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Data types were validated and converted where necessary.</w:t>
      </w:r>
    </w:p>
    <w:p w14:paraId="72F0D1E8">
      <w:pPr>
        <w:numPr>
          <w:ilvl w:val="0"/>
          <w:numId w:val="4"/>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Product information was verified using the product master dataset.</w:t>
      </w:r>
    </w:p>
    <w:p w14:paraId="1BB1AC64">
      <w:pPr>
        <w:numPr>
          <w:ilvl w:val="0"/>
          <w:numId w:val="4"/>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Numeric fields such as price, quantity, discount, and revenue were converted into appropriate numerical formats.</w:t>
      </w:r>
    </w:p>
    <w:p w14:paraId="0A2F3C97">
      <w:pPr>
        <w:numPr>
          <w:ilvl w:val="0"/>
          <w:numId w:val="4"/>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Consistent formatting was maintained across all transaction records.</w:t>
      </w:r>
    </w:p>
    <w:p w14:paraId="5134328A">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Standardization improved data consistency and simplified downstream processing and reporting activities.</w:t>
      </w:r>
    </w:p>
    <w:p w14:paraId="70440D4F">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5A83AF20">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6.5 Data Quality Verification</w:t>
      </w:r>
    </w:p>
    <w:p w14:paraId="08E2340C">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Once cleaning activities were completed, the dataset was re-evaluated to ensure that identified issues had been resolved successfully. Validation checks were performed to confirm that:</w:t>
      </w:r>
    </w:p>
    <w:p w14:paraId="68F36688">
      <w:pPr>
        <w:numPr>
          <w:ilvl w:val="0"/>
          <w:numId w:val="5"/>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Missing prices were populated correctly.</w:t>
      </w:r>
    </w:p>
    <w:p w14:paraId="5CB155C2">
      <w:pPr>
        <w:numPr>
          <w:ilvl w:val="0"/>
          <w:numId w:val="5"/>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Invalid quantity records were removed.</w:t>
      </w:r>
    </w:p>
    <w:p w14:paraId="1A33D1F7">
      <w:pPr>
        <w:numPr>
          <w:ilvl w:val="0"/>
          <w:numId w:val="5"/>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Duplicate transactions were eliminated.</w:t>
      </w:r>
    </w:p>
    <w:p w14:paraId="510AA614">
      <w:pPr>
        <w:numPr>
          <w:ilvl w:val="0"/>
          <w:numId w:val="5"/>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Product information matched the reference dataset.</w:t>
      </w:r>
    </w:p>
    <w:p w14:paraId="209233B2">
      <w:pPr>
        <w:numPr>
          <w:ilvl w:val="0"/>
          <w:numId w:val="5"/>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Required fields were available for reporting and analysis.</w:t>
      </w:r>
    </w:p>
    <w:p w14:paraId="61CEADB4">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These verification steps ensured that the final dataset was suitable for generating reliable business insights.</w:t>
      </w:r>
    </w:p>
    <w:p w14:paraId="50EAB931">
      <w:pPr>
        <w:spacing w:before="480" w:after="480" w:line="240" w:lineRule="auto"/>
        <w:rPr>
          <w:rFonts w:ascii="Times New Roman" w:hAnsi="Times New Roman" w:eastAsia="Times New Roman" w:cs="Times New Roman"/>
          <w:b/>
          <w:bCs/>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7. Transformation Logic</w:t>
      </w:r>
    </w:p>
    <w:p w14:paraId="69D5407D">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After completing the data cleaning process, a series of transformations were performed to prepare the data for business intelligence reporting and dashboard development.</w:t>
      </w:r>
    </w:p>
    <w:p w14:paraId="4BD7E548">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objective of the transformation stage was to convert raw transaction data into a structured, analytics-ready dataset capable of supporting KPI calculations, trend analysis, and interactive reporting.</w:t>
      </w:r>
    </w:p>
    <w:p w14:paraId="3483E3D5">
      <w:pPr>
        <w:spacing w:before="480" w:after="480"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7.1 Dataset Consolidation</w:t>
      </w:r>
    </w:p>
    <w:p w14:paraId="42C832B4">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project involved two separate retail transaction datasets collected from different source systems. Since business reporting requires a unified view of transactions, both datasets were combined into a single consolidated dataset.</w:t>
      </w:r>
    </w:p>
    <w:p w14:paraId="154DF271">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Combining the datasets created a centralized transaction repository and eliminated the need to analyze multiple files separately. This also simplified reporting and ensured that all business metrics were calculated from a single source of truth.</w:t>
      </w:r>
    </w:p>
    <w:p w14:paraId="6A5AA4BA">
      <w:pPr>
        <w:spacing w:before="480" w:after="480"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7.2 Product Data Enrichment</w:t>
      </w:r>
    </w:p>
    <w:p w14:paraId="326E5EF2">
      <w:pPr>
        <w:spacing w:before="480" w:after="48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To improve data quality and consistency, the consolidated transaction dataset was enriched using the product reference dataset.</w:t>
      </w:r>
    </w:p>
    <w:p w14:paraId="4F3D288E">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The </w:t>
      </w:r>
      <w:r>
        <w:rPr>
          <w:rFonts w:ascii="Times New Roman" w:hAnsi="Times New Roman" w:eastAsia="Times New Roman" w:cs="Times New Roman"/>
          <w:color w:val="000000" w:themeColor="text1"/>
          <w14:textFill>
            <w14:solidFill>
              <w14:schemeClr w14:val="tx1"/>
            </w14:solidFill>
          </w14:textFill>
        </w:rPr>
        <w:t>product_details</w:t>
      </w:r>
      <w:r>
        <w:rPr>
          <w:rFonts w:ascii="Times New Roman" w:hAnsi="Times New Roman" w:eastAsia="Times New Roman" w:cs="Times New Roman"/>
          <w:color w:val="000000" w:themeColor="text1"/>
          <w:sz w:val="28"/>
          <w:szCs w:val="28"/>
          <w14:textFill>
            <w14:solidFill>
              <w14:schemeClr w14:val="tx1"/>
            </w14:solidFill>
          </w14:textFill>
        </w:rPr>
        <w:t xml:space="preserve"> table was joined with the transaction dataset using </w:t>
      </w:r>
      <w:r>
        <w:rPr>
          <w:rFonts w:ascii="Times New Roman" w:hAnsi="Times New Roman" w:eastAsia="Times New Roman" w:cs="Times New Roman"/>
          <w:color w:val="000000" w:themeColor="text1"/>
          <w14:textFill>
            <w14:solidFill>
              <w14:schemeClr w14:val="tx1"/>
            </w14:solidFill>
          </w14:textFill>
        </w:rPr>
        <w:t>product_id</w:t>
      </w:r>
      <w:r>
        <w:rPr>
          <w:rFonts w:ascii="Times New Roman" w:hAnsi="Times New Roman" w:eastAsia="Times New Roman" w:cs="Times New Roman"/>
          <w:color w:val="000000" w:themeColor="text1"/>
          <w:sz w:val="28"/>
          <w:szCs w:val="28"/>
          <w14:textFill>
            <w14:solidFill>
              <w14:schemeClr w14:val="tx1"/>
            </w14:solidFill>
          </w14:textFill>
        </w:rPr>
        <w:t xml:space="preserve"> as the common key. This process helped validate product-related information and provided standardized product details wherever required.</w:t>
      </w:r>
    </w:p>
    <w:p w14:paraId="7A9E485D">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enrichment process ensured that product names, categories, and pricing information remained consistent throughout the dataset.</w:t>
      </w:r>
    </w:p>
    <w:p w14:paraId="668F9EBC">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3C1B1619">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7.3 Revenue Calculation</w:t>
      </w:r>
    </w:p>
    <w:p w14:paraId="762B9CEA">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Revenue was calculated at the transaction level after all required fields had been validated. The calculation considered the standard product price, quantity purchased, and any applied discount field values. The calculation logic was implemented uniformly across all records using the formula:</w:t>
      </w:r>
    </w:p>
    <w:p w14:paraId="022FA310">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\(\text{Line\ Revenue}=(\text{Price}\times \text{Quantity})\times (1-\text{Discount})\)</w:t>
      </w:r>
    </w:p>
    <w:p w14:paraId="788F5F92">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This calculated field serves as the foundation for all high-level financial reporting, regional performance metrics, and product ranking matrices displayed on the final executive dashboard.</w:t>
      </w:r>
    </w:p>
    <w:p w14:paraId="7347D146">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2F525E2D">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7.4 Data Security &amp; Masking</w:t>
      </w:r>
    </w:p>
    <w:p w14:paraId="05F3B1C1">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To comply with data privacy regulations and protect customer confidentiality, a </w:t>
      </w:r>
      <w:r>
        <w:rPr>
          <w:rFonts w:ascii="Times New Roman" w:hAnsi="Times New Roman" w:eastAsia="Times New Roman" w:cs="Times New Roman"/>
          <w:b/>
          <w:bCs/>
          <w:color w:val="000000" w:themeColor="text1"/>
          <w:sz w:val="28"/>
          <w:szCs w:val="28"/>
          <w14:textFill>
            <w14:solidFill>
              <w14:schemeClr w14:val="tx1"/>
            </w14:solidFill>
          </w14:textFill>
        </w:rPr>
        <w:t>Data Security Layer</w:t>
      </w:r>
      <w:r>
        <w:rPr>
          <w:rFonts w:ascii="Times New Roman" w:hAnsi="Times New Roman" w:eastAsia="Times New Roman" w:cs="Times New Roman"/>
          <w:color w:val="000000" w:themeColor="text1"/>
          <w:sz w:val="28"/>
          <w:szCs w:val="28"/>
          <w14:textFill>
            <w14:solidFill>
              <w14:schemeClr w14:val="tx1"/>
            </w14:solidFill>
          </w14:textFill>
        </w:rPr>
        <w:t xml:space="preserve"> was implemented before data export. Sensitive Personally Identifiable Information (PII) fields were secured as follows:</w:t>
      </w:r>
    </w:p>
    <w:p w14:paraId="70F6DE93">
      <w:pPr>
        <w:numPr>
          <w:ilvl w:val="0"/>
          <w:numId w:val="6"/>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Email Hashing</w:t>
      </w:r>
      <w:r>
        <w:rPr>
          <w:rFonts w:ascii="Times New Roman" w:hAnsi="Times New Roman" w:eastAsia="Times New Roman" w:cs="Times New Roman"/>
          <w:color w:val="000000" w:themeColor="text1"/>
          <w:sz w:val="28"/>
          <w:szCs w:val="28"/>
          <w14:textFill>
            <w14:solidFill>
              <w14:schemeClr w14:val="tx1"/>
            </w14:solidFill>
          </w14:textFill>
        </w:rPr>
        <w:t>: SHA-256 cryptographic hashing was applied to user email addresses, converting plain text into unique, irreversible alphanumeric strings. This allows for customer retention tracking without exposing individual identities.</w:t>
      </w:r>
    </w:p>
    <w:p w14:paraId="49C5A6B6">
      <w:pPr>
        <w:numPr>
          <w:ilvl w:val="0"/>
          <w:numId w:val="6"/>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Name Masking</w:t>
      </w:r>
      <w:r>
        <w:rPr>
          <w:rFonts w:ascii="Times New Roman" w:hAnsi="Times New Roman" w:eastAsia="Times New Roman" w:cs="Times New Roman"/>
          <w:color w:val="000000" w:themeColor="text1"/>
          <w:sz w:val="28"/>
          <w:szCs w:val="28"/>
          <w14:textFill>
            <w14:solidFill>
              <w14:schemeClr w14:val="tx1"/>
            </w14:solidFill>
          </w14:textFill>
        </w:rPr>
        <w:t xml:space="preserve">: Customer names were partially masked (e.g., changing </w:t>
      </w:r>
      <w:r>
        <w:rPr>
          <w:rFonts w:ascii="Times New Roman" w:hAnsi="Times New Roman" w:eastAsia="Times New Roman" w:cs="Times New Roman"/>
          <w:color w:val="000000" w:themeColor="text1"/>
          <w14:textFill>
            <w14:solidFill>
              <w14:schemeClr w14:val="tx1"/>
            </w14:solidFill>
          </w14:textFill>
        </w:rPr>
        <w:t>John Doe</w:t>
      </w:r>
      <w:r>
        <w:rPr>
          <w:rFonts w:ascii="Times New Roman" w:hAnsi="Times New Roman" w:eastAsia="Times New Roman" w:cs="Times New Roman"/>
          <w:color w:val="000000" w:themeColor="text1"/>
          <w:sz w:val="28"/>
          <w:szCs w:val="28"/>
          <w14:textFill>
            <w14:solidFill>
              <w14:schemeClr w14:val="tx1"/>
            </w14:solidFill>
          </w14:textFill>
        </w:rPr>
        <w:t xml:space="preserve"> to </w:t>
      </w:r>
      <w:r>
        <w:rPr>
          <w:rFonts w:ascii="Times New Roman" w:hAnsi="Times New Roman" w:eastAsia="Times New Roman" w:cs="Times New Roman"/>
          <w:color w:val="000000" w:themeColor="text1"/>
          <w14:textFill>
            <w14:solidFill>
              <w14:schemeClr w14:val="tx1"/>
            </w14:solidFill>
          </w14:textFill>
        </w:rPr>
        <w:t>J*** D***</w:t>
      </w:r>
      <w:r>
        <w:rPr>
          <w:rFonts w:ascii="Times New Roman" w:hAnsi="Times New Roman" w:eastAsia="Times New Roman" w:cs="Times New Roman"/>
          <w:color w:val="000000" w:themeColor="text1"/>
          <w:sz w:val="28"/>
          <w:szCs w:val="28"/>
          <w14:textFill>
            <w14:solidFill>
              <w14:schemeClr w14:val="tx1"/>
            </w14:solidFill>
          </w14:textFill>
        </w:rPr>
        <w:t>) to safeguard personal details on granular data tables while keeping the datasets usable for internal processing layers.</w:t>
      </w:r>
    </w:p>
    <w:p w14:paraId="7A892E65">
      <w:pPr>
        <w:spacing w:after="0" w:line="240" w:lineRule="auto"/>
        <w:ind w:left="720"/>
        <w:rPr>
          <w:rFonts w:ascii="Times New Roman" w:hAnsi="Times New Roman" w:eastAsia="Times New Roman" w:cs="Times New Roman"/>
          <w:color w:val="000000" w:themeColor="text1"/>
          <w:sz w:val="28"/>
          <w:szCs w:val="28"/>
          <w14:textFill>
            <w14:solidFill>
              <w14:schemeClr w14:val="tx1"/>
            </w14:solidFill>
          </w14:textFill>
        </w:rPr>
      </w:pPr>
    </w:p>
    <w:p w14:paraId="03C4442C">
      <w:pPr>
        <w:spacing w:after="0" w:line="240" w:lineRule="auto"/>
        <w:ind w:left="720"/>
        <w:rPr>
          <w:rFonts w:ascii="Times New Roman" w:hAnsi="Times New Roman" w:eastAsia="Times New Roman" w:cs="Times New Roman"/>
          <w:color w:val="000000" w:themeColor="text1"/>
          <w:sz w:val="28"/>
          <w:szCs w:val="28"/>
          <w14:textFill>
            <w14:solidFill>
              <w14:schemeClr w14:val="tx1"/>
            </w14:solidFill>
          </w14:textFill>
        </w:rPr>
      </w:pPr>
    </w:p>
    <w:p w14:paraId="3E9970F4">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7.5 Curated Dataset Export</w:t>
      </w:r>
    </w:p>
    <w:p w14:paraId="1F8F1C81">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final transformed, enriched, and anonymized data was exported as a unified, optimized schema (</w:t>
      </w:r>
      <w:r>
        <w:rPr>
          <w:rFonts w:ascii="Times New Roman" w:hAnsi="Times New Roman" w:eastAsia="Times New Roman" w:cs="Times New Roman"/>
          <w:color w:val="000000" w:themeColor="text1"/>
          <w14:textFill>
            <w14:solidFill>
              <w14:schemeClr w14:val="tx1"/>
            </w14:solidFill>
          </w14:textFill>
        </w:rPr>
        <w:t>curated_sales_data.csv</w:t>
      </w:r>
      <w:r>
        <w:rPr>
          <w:rFonts w:ascii="Times New Roman" w:hAnsi="Times New Roman" w:eastAsia="Times New Roman" w:cs="Times New Roman"/>
          <w:color w:val="000000" w:themeColor="text1"/>
          <w:sz w:val="28"/>
          <w:szCs w:val="28"/>
          <w14:textFill>
            <w14:solidFill>
              <w14:schemeClr w14:val="tx1"/>
            </w14:solidFill>
          </w14:textFill>
        </w:rPr>
        <w:t>). This file serves as the clean "single source of truth," stripping away operational pipeline complexities and providing an analytics-ready structure directly optimized for Power BI import.</w:t>
      </w:r>
    </w:p>
    <w:p w14:paraId="0DEF5180">
      <w:pPr>
        <w:spacing w:before="480" w:after="480" w:line="240" w:lineRule="auto"/>
        <w:rPr>
          <w:rFonts w:ascii="Times New Roman" w:hAnsi="Times New Roman" w:eastAsia="Times New Roman" w:cs="Times New Roman"/>
          <w:b/>
          <w:bCs/>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8. Power BI Dashboard Realization &amp; KPI Analysis</w:t>
      </w:r>
    </w:p>
    <w:p w14:paraId="31164D7A">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The curated dataset was connected to Power BI to construct the </w:t>
      </w:r>
      <w:r>
        <w:rPr>
          <w:rFonts w:ascii="Times New Roman" w:hAnsi="Times New Roman" w:eastAsia="Times New Roman" w:cs="Times New Roman"/>
          <w:b/>
          <w:bCs/>
          <w:color w:val="000000" w:themeColor="text1"/>
          <w:sz w:val="28"/>
          <w:szCs w:val="28"/>
          <w14:textFill>
            <w14:solidFill>
              <w14:schemeClr w14:val="tx1"/>
            </w14:solidFill>
          </w14:textFill>
        </w:rPr>
        <w:t>Retail Database Analysis Dashboard</w:t>
      </w:r>
      <w:r>
        <w:rPr>
          <w:rFonts w:ascii="Times New Roman" w:hAnsi="Times New Roman" w:eastAsia="Times New Roman" w:cs="Times New Roman"/>
          <w:color w:val="000000" w:themeColor="text1"/>
          <w:sz w:val="28"/>
          <w:szCs w:val="28"/>
          <w14:textFill>
            <w14:solidFill>
              <w14:schemeClr w14:val="tx1"/>
            </w14:solidFill>
          </w14:textFill>
        </w:rPr>
        <w:t>. The interface utilizes slicers and interactive visual objects to provide an immediate pulse on operational metrics:</w:t>
      </w:r>
    </w:p>
    <w:p w14:paraId="3FA72114">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8.1 Executive High-Level KPIs</w:t>
      </w:r>
    </w:p>
    <w:p w14:paraId="09ACDB5A">
      <w:pPr>
        <w:spacing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 summary cards on the right side of the dashboard display consolidated enterprise metrics at a glance:</w:t>
      </w:r>
    </w:p>
    <w:p w14:paraId="4767D26D">
      <w:pPr>
        <w:numPr>
          <w:ilvl w:val="0"/>
          <w:numId w:val="7"/>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Total Revenue (1.16bn)</w:t>
      </w:r>
      <w:r>
        <w:rPr>
          <w:rFonts w:ascii="Times New Roman" w:hAnsi="Times New Roman" w:eastAsia="Times New Roman" w:cs="Times New Roman"/>
          <w:color w:val="000000" w:themeColor="text1"/>
          <w:sz w:val="28"/>
          <w:szCs w:val="28"/>
          <w14:textFill>
            <w14:solidFill>
              <w14:schemeClr w14:val="tx1"/>
            </w14:solidFill>
          </w14:textFill>
        </w:rPr>
        <w:t>: The total net revenue generated across all operational branches.</w:t>
      </w:r>
    </w:p>
    <w:p w14:paraId="75008B6B">
      <w:pPr>
        <w:numPr>
          <w:ilvl w:val="0"/>
          <w:numId w:val="7"/>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Total Transactions (8K)</w:t>
      </w:r>
      <w:r>
        <w:rPr>
          <w:rFonts w:ascii="Times New Roman" w:hAnsi="Times New Roman" w:eastAsia="Times New Roman" w:cs="Times New Roman"/>
          <w:color w:val="000000" w:themeColor="text1"/>
          <w:sz w:val="28"/>
          <w:szCs w:val="28"/>
          <w14:textFill>
            <w14:solidFill>
              <w14:schemeClr w14:val="tx1"/>
            </w14:solidFill>
          </w14:textFill>
        </w:rPr>
        <w:t>: Total volume of successfully cleaned and processed checkout records.</w:t>
      </w:r>
    </w:p>
    <w:p w14:paraId="30F17053">
      <w:pPr>
        <w:numPr>
          <w:ilvl w:val="0"/>
          <w:numId w:val="7"/>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Total Customers (2K)</w:t>
      </w:r>
      <w:r>
        <w:rPr>
          <w:rFonts w:ascii="Times New Roman" w:hAnsi="Times New Roman" w:eastAsia="Times New Roman" w:cs="Times New Roman"/>
          <w:color w:val="000000" w:themeColor="text1"/>
          <w:sz w:val="28"/>
          <w:szCs w:val="28"/>
          <w14:textFill>
            <w14:solidFill>
              <w14:schemeClr w14:val="tx1"/>
            </w14:solidFill>
          </w14:textFill>
        </w:rPr>
        <w:t>: Unique customer count determined via hashed identifier metrics.</w:t>
      </w:r>
    </w:p>
    <w:p w14:paraId="396EDBB9">
      <w:pPr>
        <w:numPr>
          <w:ilvl w:val="0"/>
          <w:numId w:val="7"/>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Average Order Value (147.08K)</w:t>
      </w:r>
      <w:r>
        <w:rPr>
          <w:rFonts w:ascii="Times New Roman" w:hAnsi="Times New Roman" w:eastAsia="Times New Roman" w:cs="Times New Roman"/>
          <w:color w:val="000000" w:themeColor="text1"/>
          <w:sz w:val="28"/>
          <w:szCs w:val="28"/>
          <w14:textFill>
            <w14:solidFill>
              <w14:schemeClr w14:val="tx1"/>
            </w14:solidFill>
          </w14:textFill>
        </w:rPr>
        <w:t>: The baseline spend rate per transaction, used to monitor buyer behavioral shifts.</w:t>
      </w:r>
    </w:p>
    <w:p w14:paraId="6D8C58A0">
      <w:pPr>
        <w:spacing w:after="0" w:line="240" w:lineRule="auto"/>
        <w:ind w:left="720"/>
        <w:rPr>
          <w:rFonts w:ascii="Times New Roman" w:hAnsi="Times New Roman" w:eastAsia="Times New Roman" w:cs="Times New Roman"/>
          <w:color w:val="000000" w:themeColor="text1"/>
          <w:sz w:val="28"/>
          <w:szCs w:val="28"/>
          <w14:textFill>
            <w14:solidFill>
              <w14:schemeClr w14:val="tx1"/>
            </w14:solidFill>
          </w14:textFill>
        </w:rPr>
      </w:pPr>
    </w:p>
    <w:p w14:paraId="6CF00B31">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8.2 Regional &amp; Categorical Performance</w:t>
      </w:r>
    </w:p>
    <w:p w14:paraId="4FEA3F7A">
      <w:pPr>
        <w:numPr>
          <w:ilvl w:val="0"/>
          <w:numId w:val="8"/>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Revenue by City</w:t>
      </w:r>
      <w:r>
        <w:rPr>
          <w:rFonts w:ascii="Times New Roman" w:hAnsi="Times New Roman" w:eastAsia="Times New Roman" w:cs="Times New Roman"/>
          <w:color w:val="000000" w:themeColor="text1"/>
          <w:sz w:val="28"/>
          <w:szCs w:val="28"/>
          <w14:textFill>
            <w14:solidFill>
              <w14:schemeClr w14:val="tx1"/>
            </w14:solidFill>
          </w14:textFill>
        </w:rPr>
        <w:t xml:space="preserve">: A horizontal bar chart reveals localized market trends. </w:t>
      </w:r>
      <w:r>
        <w:rPr>
          <w:rFonts w:ascii="Times New Roman" w:hAnsi="Times New Roman" w:eastAsia="Times New Roman" w:cs="Times New Roman"/>
          <w:b/>
          <w:bCs/>
          <w:color w:val="000000" w:themeColor="text1"/>
          <w:sz w:val="28"/>
          <w:szCs w:val="28"/>
          <w14:textFill>
            <w14:solidFill>
              <w14:schemeClr w14:val="tx1"/>
            </w14:solidFill>
          </w14:textFill>
        </w:rPr>
        <w:t>Chennai</w:t>
      </w:r>
      <w:r>
        <w:rPr>
          <w:rFonts w:ascii="Times New Roman" w:hAnsi="Times New Roman" w:eastAsia="Times New Roman" w:cs="Times New Roman"/>
          <w:color w:val="000000" w:themeColor="text1"/>
          <w:sz w:val="28"/>
          <w:szCs w:val="28"/>
          <w14:textFill>
            <w14:solidFill>
              <w14:schemeClr w14:val="tx1"/>
            </w14:solidFill>
          </w14:textFill>
        </w:rPr>
        <w:t xml:space="preserve"> leads as the highest revenue-generating city, followed closely by </w:t>
      </w:r>
      <w:r>
        <w:rPr>
          <w:rFonts w:ascii="Times New Roman" w:hAnsi="Times New Roman" w:eastAsia="Times New Roman" w:cs="Times New Roman"/>
          <w:b/>
          <w:bCs/>
          <w:color w:val="000000" w:themeColor="text1"/>
          <w:sz w:val="28"/>
          <w:szCs w:val="28"/>
          <w14:textFill>
            <w14:solidFill>
              <w14:schemeClr w14:val="tx1"/>
            </w14:solidFill>
          </w14:textFill>
        </w:rPr>
        <w:t>Delhi</w:t>
      </w:r>
      <w:r>
        <w:rPr>
          <w:rFonts w:ascii="Times New Roman" w:hAnsi="Times New Roman" w:eastAsia="Times New Roman" w:cs="Times New Roman"/>
          <w:color w:val="000000" w:themeColor="text1"/>
          <w:sz w:val="28"/>
          <w:szCs w:val="28"/>
          <w14:textFill>
            <w14:solidFill>
              <w14:schemeClr w14:val="tx1"/>
            </w14:solidFill>
          </w14:textFill>
        </w:rPr>
        <w:t xml:space="preserve"> and </w:t>
      </w:r>
      <w:r>
        <w:rPr>
          <w:rFonts w:ascii="Times New Roman" w:hAnsi="Times New Roman" w:eastAsia="Times New Roman" w:cs="Times New Roman"/>
          <w:b/>
          <w:bCs/>
          <w:color w:val="000000" w:themeColor="text1"/>
          <w:sz w:val="28"/>
          <w:szCs w:val="28"/>
          <w14:textFill>
            <w14:solidFill>
              <w14:schemeClr w14:val="tx1"/>
            </w14:solidFill>
          </w14:textFill>
        </w:rPr>
        <w:t>Hyderabad</w:t>
      </w:r>
      <w:r>
        <w:rPr>
          <w:rFonts w:ascii="Times New Roman" w:hAnsi="Times New Roman" w:eastAsia="Times New Roman" w:cs="Times New Roman"/>
          <w:color w:val="000000" w:themeColor="text1"/>
          <w:sz w:val="28"/>
          <w:szCs w:val="28"/>
          <w14:textFill>
            <w14:solidFill>
              <w14:schemeClr w14:val="tx1"/>
            </w14:solidFill>
          </w14:textFill>
        </w:rPr>
        <w:t xml:space="preserve">, while </w:t>
      </w:r>
      <w:r>
        <w:rPr>
          <w:rFonts w:ascii="Times New Roman" w:hAnsi="Times New Roman" w:eastAsia="Times New Roman" w:cs="Times New Roman"/>
          <w:b/>
          <w:bCs/>
          <w:color w:val="000000" w:themeColor="text1"/>
          <w:sz w:val="28"/>
          <w:szCs w:val="28"/>
          <w14:textFill>
            <w14:solidFill>
              <w14:schemeClr w14:val="tx1"/>
            </w14:solidFill>
          </w14:textFill>
        </w:rPr>
        <w:t>Bangalore</w:t>
      </w:r>
      <w:r>
        <w:rPr>
          <w:rFonts w:ascii="Times New Roman" w:hAnsi="Times New Roman" w:eastAsia="Times New Roman" w:cs="Times New Roman"/>
          <w:color w:val="000000" w:themeColor="text1"/>
          <w:sz w:val="28"/>
          <w:szCs w:val="28"/>
          <w14:textFill>
            <w14:solidFill>
              <w14:schemeClr w14:val="tx1"/>
            </w14:solidFill>
          </w14:textFill>
        </w:rPr>
        <w:t xml:space="preserve"> tracks as the lowest of the major hubs.</w:t>
      </w:r>
    </w:p>
    <w:p w14:paraId="6891FBB7">
      <w:pPr>
        <w:numPr>
          <w:ilvl w:val="0"/>
          <w:numId w:val="8"/>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Revenue by Category</w:t>
      </w:r>
      <w:r>
        <w:rPr>
          <w:rFonts w:ascii="Times New Roman" w:hAnsi="Times New Roman" w:eastAsia="Times New Roman" w:cs="Times New Roman"/>
          <w:color w:val="000000" w:themeColor="text1"/>
          <w:sz w:val="28"/>
          <w:szCs w:val="28"/>
          <w14:textFill>
            <w14:solidFill>
              <w14:schemeClr w14:val="tx1"/>
            </w14:solidFill>
          </w14:textFill>
        </w:rPr>
        <w:t xml:space="preserve">: Visual comparison shows </w:t>
      </w:r>
      <w:r>
        <w:rPr>
          <w:rFonts w:ascii="Times New Roman" w:hAnsi="Times New Roman" w:eastAsia="Times New Roman" w:cs="Times New Roman"/>
          <w:b/>
          <w:bCs/>
          <w:color w:val="000000" w:themeColor="text1"/>
          <w:sz w:val="28"/>
          <w:szCs w:val="28"/>
          <w14:textFill>
            <w14:solidFill>
              <w14:schemeClr w14:val="tx1"/>
            </w14:solidFill>
          </w14:textFill>
        </w:rPr>
        <w:t>Electronics</w:t>
      </w:r>
      <w:r>
        <w:rPr>
          <w:rFonts w:ascii="Times New Roman" w:hAnsi="Times New Roman" w:eastAsia="Times New Roman" w:cs="Times New Roman"/>
          <w:color w:val="000000" w:themeColor="text1"/>
          <w:sz w:val="28"/>
          <w:szCs w:val="28"/>
          <w14:textFill>
            <w14:solidFill>
              <w14:schemeClr w14:val="tx1"/>
            </w14:solidFill>
          </w14:textFill>
        </w:rPr>
        <w:t xml:space="preserve"> dominating gross revenue distribution, significantly outperforming </w:t>
      </w:r>
      <w:r>
        <w:rPr>
          <w:rFonts w:ascii="Times New Roman" w:hAnsi="Times New Roman" w:eastAsia="Times New Roman" w:cs="Times New Roman"/>
          <w:b/>
          <w:bCs/>
          <w:color w:val="000000" w:themeColor="text1"/>
          <w:sz w:val="28"/>
          <w:szCs w:val="28"/>
          <w14:textFill>
            <w14:solidFill>
              <w14:schemeClr w14:val="tx1"/>
            </w14:solidFill>
          </w14:textFill>
        </w:rPr>
        <w:t>Furniture</w:t>
      </w:r>
      <w:r>
        <w:rPr>
          <w:rFonts w:ascii="Times New Roman" w:hAnsi="Times New Roman" w:eastAsia="Times New Roman" w:cs="Times New Roman"/>
          <w:color w:val="000000" w:themeColor="text1"/>
          <w:sz w:val="28"/>
          <w:szCs w:val="28"/>
          <w14:textFill>
            <w14:solidFill>
              <w14:schemeClr w14:val="tx1"/>
            </w14:solidFill>
          </w14:textFill>
        </w:rPr>
        <w:t xml:space="preserve">, </w:t>
      </w:r>
      <w:r>
        <w:rPr>
          <w:rFonts w:ascii="Times New Roman" w:hAnsi="Times New Roman" w:eastAsia="Times New Roman" w:cs="Times New Roman"/>
          <w:b/>
          <w:bCs/>
          <w:color w:val="000000" w:themeColor="text1"/>
          <w:sz w:val="28"/>
          <w:szCs w:val="28"/>
          <w14:textFill>
            <w14:solidFill>
              <w14:schemeClr w14:val="tx1"/>
            </w14:solidFill>
          </w14:textFill>
        </w:rPr>
        <w:t>Home Appliances</w:t>
      </w:r>
      <w:r>
        <w:rPr>
          <w:rFonts w:ascii="Times New Roman" w:hAnsi="Times New Roman" w:eastAsia="Times New Roman" w:cs="Times New Roman"/>
          <w:color w:val="000000" w:themeColor="text1"/>
          <w:sz w:val="28"/>
          <w:szCs w:val="28"/>
          <w14:textFill>
            <w14:solidFill>
              <w14:schemeClr w14:val="tx1"/>
            </w14:solidFill>
          </w14:textFill>
        </w:rPr>
        <w:t xml:space="preserve">, and </w:t>
      </w:r>
      <w:r>
        <w:rPr>
          <w:rFonts w:ascii="Times New Roman" w:hAnsi="Times New Roman" w:eastAsia="Times New Roman" w:cs="Times New Roman"/>
          <w:b/>
          <w:bCs/>
          <w:color w:val="000000" w:themeColor="text1"/>
          <w:sz w:val="28"/>
          <w:szCs w:val="28"/>
          <w14:textFill>
            <w14:solidFill>
              <w14:schemeClr w14:val="tx1"/>
            </w14:solidFill>
          </w14:textFill>
        </w:rPr>
        <w:t>Clothing</w:t>
      </w:r>
      <w:r>
        <w:rPr>
          <w:rFonts w:ascii="Times New Roman" w:hAnsi="Times New Roman" w:eastAsia="Times New Roman" w:cs="Times New Roman"/>
          <w:color w:val="000000" w:themeColor="text1"/>
          <w:sz w:val="28"/>
          <w:szCs w:val="28"/>
          <w14:textFill>
            <w14:solidFill>
              <w14:schemeClr w14:val="tx1"/>
            </w14:solidFill>
          </w14:textFill>
        </w:rPr>
        <w:t>.</w:t>
      </w:r>
    </w:p>
    <w:p w14:paraId="437297DD">
      <w:pPr>
        <w:numPr>
          <w:ilvl w:val="0"/>
          <w:numId w:val="8"/>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Revenue by Payment Method</w:t>
      </w:r>
      <w:r>
        <w:rPr>
          <w:rFonts w:ascii="Times New Roman" w:hAnsi="Times New Roman" w:eastAsia="Times New Roman" w:cs="Times New Roman"/>
          <w:color w:val="000000" w:themeColor="text1"/>
          <w:sz w:val="28"/>
          <w:szCs w:val="28"/>
          <w14:textFill>
            <w14:solidFill>
              <w14:schemeClr w14:val="tx1"/>
            </w14:solidFill>
          </w14:textFill>
        </w:rPr>
        <w:t xml:space="preserve">: A distribution pie chart indicates a highly balanced payment landscape. </w:t>
      </w:r>
      <w:r>
        <w:rPr>
          <w:rFonts w:ascii="Times New Roman" w:hAnsi="Times New Roman" w:eastAsia="Times New Roman" w:cs="Times New Roman"/>
          <w:b/>
          <w:bCs/>
          <w:color w:val="000000" w:themeColor="text1"/>
          <w:sz w:val="28"/>
          <w:szCs w:val="28"/>
          <w14:textFill>
            <w14:solidFill>
              <w14:schemeClr w14:val="tx1"/>
            </w14:solidFill>
          </w14:textFill>
        </w:rPr>
        <w:t>Card</w:t>
      </w:r>
      <w:r>
        <w:rPr>
          <w:rFonts w:ascii="Times New Roman" w:hAnsi="Times New Roman" w:eastAsia="Times New Roman" w:cs="Times New Roman"/>
          <w:color w:val="000000" w:themeColor="text1"/>
          <w:sz w:val="28"/>
          <w:szCs w:val="28"/>
          <w14:textFill>
            <w14:solidFill>
              <w14:schemeClr w14:val="tx1"/>
            </w14:solidFill>
          </w14:textFill>
        </w:rPr>
        <w:t xml:space="preserve"> payments capture the top share (302.32M / 25.97%), while </w:t>
      </w:r>
      <w:r>
        <w:rPr>
          <w:rFonts w:ascii="Times New Roman" w:hAnsi="Times New Roman" w:eastAsia="Times New Roman" w:cs="Times New Roman"/>
          <w:b/>
          <w:bCs/>
          <w:color w:val="000000" w:themeColor="text1"/>
          <w:sz w:val="28"/>
          <w:szCs w:val="28"/>
          <w14:textFill>
            <w14:solidFill>
              <w14:schemeClr w14:val="tx1"/>
            </w14:solidFill>
          </w14:textFill>
        </w:rPr>
        <w:t>NetBanking</w:t>
      </w:r>
      <w:r>
        <w:rPr>
          <w:rFonts w:ascii="Times New Roman" w:hAnsi="Times New Roman" w:eastAsia="Times New Roman" w:cs="Times New Roman"/>
          <w:color w:val="000000" w:themeColor="text1"/>
          <w:sz w:val="28"/>
          <w:szCs w:val="28"/>
          <w14:textFill>
            <w14:solidFill>
              <w14:schemeClr w14:val="tx1"/>
            </w14:solidFill>
          </w14:textFill>
        </w:rPr>
        <w:t xml:space="preserve">, </w:t>
      </w:r>
      <w:r>
        <w:rPr>
          <w:rFonts w:ascii="Times New Roman" w:hAnsi="Times New Roman" w:eastAsia="Times New Roman" w:cs="Times New Roman"/>
          <w:b/>
          <w:bCs/>
          <w:color w:val="000000" w:themeColor="text1"/>
          <w:sz w:val="28"/>
          <w:szCs w:val="28"/>
          <w14:textFill>
            <w14:solidFill>
              <w14:schemeClr w14:val="tx1"/>
            </w14:solidFill>
          </w14:textFill>
        </w:rPr>
        <w:t>UPI</w:t>
      </w:r>
      <w:r>
        <w:rPr>
          <w:rFonts w:ascii="Times New Roman" w:hAnsi="Times New Roman" w:eastAsia="Times New Roman" w:cs="Times New Roman"/>
          <w:color w:val="000000" w:themeColor="text1"/>
          <w:sz w:val="28"/>
          <w:szCs w:val="28"/>
          <w14:textFill>
            <w14:solidFill>
              <w14:schemeClr w14:val="tx1"/>
            </w14:solidFill>
          </w14:textFill>
        </w:rPr>
        <w:t xml:space="preserve">, and </w:t>
      </w:r>
      <w:r>
        <w:rPr>
          <w:rFonts w:ascii="Times New Roman" w:hAnsi="Times New Roman" w:eastAsia="Times New Roman" w:cs="Times New Roman"/>
          <w:b/>
          <w:bCs/>
          <w:color w:val="000000" w:themeColor="text1"/>
          <w:sz w:val="28"/>
          <w:szCs w:val="28"/>
          <w14:textFill>
            <w14:solidFill>
              <w14:schemeClr w14:val="tx1"/>
            </w14:solidFill>
          </w14:textFill>
        </w:rPr>
        <w:t>Cash</w:t>
      </w:r>
      <w:r>
        <w:rPr>
          <w:rFonts w:ascii="Times New Roman" w:hAnsi="Times New Roman" w:eastAsia="Times New Roman" w:cs="Times New Roman"/>
          <w:color w:val="000000" w:themeColor="text1"/>
          <w:sz w:val="28"/>
          <w:szCs w:val="28"/>
          <w14:textFill>
            <w14:solidFill>
              <w14:schemeClr w14:val="tx1"/>
            </w14:solidFill>
          </w14:textFill>
        </w:rPr>
        <w:t xml:space="preserve"> share almost equal quadrants, roughly hovering around 25% each.</w:t>
      </w:r>
    </w:p>
    <w:p w14:paraId="3C88555E">
      <w:pPr>
        <w:spacing w:after="0" w:line="240" w:lineRule="auto"/>
        <w:ind w:left="720"/>
        <w:rPr>
          <w:rFonts w:ascii="Times New Roman" w:hAnsi="Times New Roman" w:eastAsia="Times New Roman" w:cs="Times New Roman"/>
          <w:color w:val="000000" w:themeColor="text1"/>
          <w:sz w:val="28"/>
          <w:szCs w:val="28"/>
          <w14:textFill>
            <w14:solidFill>
              <w14:schemeClr w14:val="tx1"/>
            </w14:solidFill>
          </w14:textFill>
        </w:rPr>
      </w:pPr>
    </w:p>
    <w:p w14:paraId="1E38C0D8">
      <w:pPr>
        <w:spacing w:line="240" w:lineRule="auto"/>
        <w:rPr>
          <w:rFonts w:ascii="Times New Roman" w:hAnsi="Times New Roman" w:eastAsia="Times New Roman" w:cs="Times New Roman"/>
          <w:b/>
          <w:bCs/>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8.3 Product Performance Analysis</w:t>
      </w:r>
    </w:p>
    <w:p w14:paraId="4976A848">
      <w:pPr>
        <w:numPr>
          <w:ilvl w:val="0"/>
          <w:numId w:val="9"/>
        </w:num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Top 10 Products (Volume &amp; Value)</w:t>
      </w:r>
      <w:r>
        <w:rPr>
          <w:rFonts w:ascii="Times New Roman" w:hAnsi="Times New Roman" w:eastAsia="Times New Roman" w:cs="Times New Roman"/>
          <w:color w:val="000000" w:themeColor="text1"/>
          <w:sz w:val="28"/>
          <w:szCs w:val="28"/>
          <w14:textFill>
            <w14:solidFill>
              <w14:schemeClr w14:val="tx1"/>
            </w14:solidFill>
          </w14:textFill>
        </w:rPr>
        <w:t xml:space="preserve">: Represented via a localized bar chart and a corresponding category pie distribution chart. The </w:t>
      </w:r>
      <w:r>
        <w:rPr>
          <w:rFonts w:ascii="Times New Roman" w:hAnsi="Times New Roman" w:eastAsia="Times New Roman" w:cs="Times New Roman"/>
          <w:b/>
          <w:bCs/>
          <w:color w:val="000000" w:themeColor="text1"/>
          <w:sz w:val="28"/>
          <w:szCs w:val="28"/>
          <w14:textFill>
            <w14:solidFill>
              <w14:schemeClr w14:val="tx1"/>
            </w14:solidFill>
          </w14:textFill>
        </w:rPr>
        <w:t>Laptop</w:t>
      </w:r>
      <w:r>
        <w:rPr>
          <w:rFonts w:ascii="Times New Roman" w:hAnsi="Times New Roman" w:eastAsia="Times New Roman" w:cs="Times New Roman"/>
          <w:color w:val="000000" w:themeColor="text1"/>
          <w:sz w:val="28"/>
          <w:szCs w:val="28"/>
          <w14:textFill>
            <w14:solidFill>
              <w14:schemeClr w14:val="tx1"/>
            </w14:solidFill>
          </w14:textFill>
        </w:rPr>
        <w:t xml:space="preserve"> line remains the premier business driver, commanding an overwhelming </w:t>
      </w:r>
      <w:r>
        <w:rPr>
          <w:rFonts w:ascii="Times New Roman" w:hAnsi="Times New Roman" w:eastAsia="Times New Roman" w:cs="Times New Roman"/>
          <w:b/>
          <w:bCs/>
          <w:color w:val="000000" w:themeColor="text1"/>
          <w:sz w:val="28"/>
          <w:szCs w:val="28"/>
          <w14:textFill>
            <w14:solidFill>
              <w14:schemeClr w14:val="tx1"/>
            </w14:solidFill>
          </w14:textFill>
        </w:rPr>
        <w:t>40.06% (466.25M)</w:t>
      </w:r>
      <w:r>
        <w:rPr>
          <w:rFonts w:ascii="Times New Roman" w:hAnsi="Times New Roman" w:eastAsia="Times New Roman" w:cs="Times New Roman"/>
          <w:color w:val="000000" w:themeColor="text1"/>
          <w:sz w:val="28"/>
          <w:szCs w:val="28"/>
          <w14:textFill>
            <w14:solidFill>
              <w14:schemeClr w14:val="tx1"/>
            </w14:solidFill>
          </w14:textFill>
        </w:rPr>
        <w:t xml:space="preserve"> of top product revenue. </w:t>
      </w:r>
      <w:r>
        <w:rPr>
          <w:rFonts w:ascii="Times New Roman" w:hAnsi="Times New Roman" w:eastAsia="Times New Roman" w:cs="Times New Roman"/>
          <w:b/>
          <w:bCs/>
          <w:color w:val="000000" w:themeColor="text1"/>
          <w:sz w:val="28"/>
          <w:szCs w:val="28"/>
          <w14:textFill>
            <w14:solidFill>
              <w14:schemeClr w14:val="tx1"/>
            </w14:solidFill>
          </w14:textFill>
        </w:rPr>
        <w:t>Sofa</w:t>
      </w:r>
      <w:r>
        <w:rPr>
          <w:rFonts w:ascii="Times New Roman" w:hAnsi="Times New Roman" w:eastAsia="Times New Roman" w:cs="Times New Roman"/>
          <w:color w:val="000000" w:themeColor="text1"/>
          <w:sz w:val="28"/>
          <w:szCs w:val="28"/>
          <w14:textFill>
            <w14:solidFill>
              <w14:schemeClr w14:val="tx1"/>
            </w14:solidFill>
          </w14:textFill>
        </w:rPr>
        <w:t xml:space="preserve"> systems take the second position (150.71M / 12.95%), followed sequentially by </w:t>
      </w:r>
      <w:r>
        <w:rPr>
          <w:rFonts w:ascii="Times New Roman" w:hAnsi="Times New Roman" w:eastAsia="Times New Roman" w:cs="Times New Roman"/>
          <w:b/>
          <w:bCs/>
          <w:color w:val="000000" w:themeColor="text1"/>
          <w:sz w:val="28"/>
          <w:szCs w:val="28"/>
          <w14:textFill>
            <w14:solidFill>
              <w14:schemeClr w14:val="tx1"/>
            </w14:solidFill>
          </w14:textFill>
        </w:rPr>
        <w:t>Phones</w:t>
      </w:r>
      <w:r>
        <w:rPr>
          <w:rFonts w:ascii="Times New Roman" w:hAnsi="Times New Roman" w:eastAsia="Times New Roman" w:cs="Times New Roman"/>
          <w:color w:val="000000" w:themeColor="text1"/>
          <w:sz w:val="28"/>
          <w:szCs w:val="28"/>
          <w14:textFill>
            <w14:solidFill>
              <w14:schemeClr w14:val="tx1"/>
            </w14:solidFill>
          </w14:textFill>
        </w:rPr>
        <w:t xml:space="preserve"> and </w:t>
      </w:r>
      <w:r>
        <w:rPr>
          <w:rFonts w:ascii="Times New Roman" w:hAnsi="Times New Roman" w:eastAsia="Times New Roman" w:cs="Times New Roman"/>
          <w:b/>
          <w:bCs/>
          <w:color w:val="000000" w:themeColor="text1"/>
          <w:sz w:val="28"/>
          <w:szCs w:val="28"/>
          <w14:textFill>
            <w14:solidFill>
              <w14:schemeClr w14:val="tx1"/>
            </w14:solidFill>
          </w14:textFill>
        </w:rPr>
        <w:t>Refrigerators</w:t>
      </w:r>
      <w:r>
        <w:rPr>
          <w:rFonts w:ascii="Times New Roman" w:hAnsi="Times New Roman" w:eastAsia="Times New Roman" w:cs="Times New Roman"/>
          <w:color w:val="000000" w:themeColor="text1"/>
          <w:sz w:val="28"/>
          <w:szCs w:val="28"/>
          <w14:textFill>
            <w14:solidFill>
              <w14:schemeClr w14:val="tx1"/>
            </w14:solidFill>
          </w14:textFill>
        </w:rPr>
        <w:t xml:space="preserve">, while </w:t>
      </w:r>
      <w:r>
        <w:rPr>
          <w:rFonts w:ascii="Times New Roman" w:hAnsi="Times New Roman" w:eastAsia="Times New Roman" w:cs="Times New Roman"/>
          <w:b/>
          <w:bCs/>
          <w:color w:val="000000" w:themeColor="text1"/>
          <w:sz w:val="28"/>
          <w:szCs w:val="28"/>
          <w14:textFill>
            <w14:solidFill>
              <w14:schemeClr w14:val="tx1"/>
            </w14:solidFill>
          </w14:textFill>
        </w:rPr>
        <w:t>Shoes</w:t>
      </w:r>
      <w:r>
        <w:rPr>
          <w:rFonts w:ascii="Times New Roman" w:hAnsi="Times New Roman" w:eastAsia="Times New Roman" w:cs="Times New Roman"/>
          <w:color w:val="000000" w:themeColor="text1"/>
          <w:sz w:val="28"/>
          <w:szCs w:val="28"/>
          <w14:textFill>
            <w14:solidFill>
              <w14:schemeClr w14:val="tx1"/>
            </w14:solidFill>
          </w14:textFill>
        </w:rPr>
        <w:t xml:space="preserve"> and </w:t>
      </w:r>
      <w:r>
        <w:rPr>
          <w:rFonts w:ascii="Times New Roman" w:hAnsi="Times New Roman" w:eastAsia="Times New Roman" w:cs="Times New Roman"/>
          <w:b/>
          <w:bCs/>
          <w:color w:val="000000" w:themeColor="text1"/>
          <w:sz w:val="28"/>
          <w:szCs w:val="28"/>
          <w14:textFill>
            <w14:solidFill>
              <w14:schemeClr w14:val="tx1"/>
            </w14:solidFill>
          </w14:textFill>
        </w:rPr>
        <w:t>Shirts</w:t>
      </w:r>
      <w:r>
        <w:rPr>
          <w:rFonts w:ascii="Times New Roman" w:hAnsi="Times New Roman" w:eastAsia="Times New Roman" w:cs="Times New Roman"/>
          <w:color w:val="000000" w:themeColor="text1"/>
          <w:sz w:val="28"/>
          <w:szCs w:val="28"/>
          <w14:textFill>
            <w14:solidFill>
              <w14:schemeClr w14:val="tx1"/>
            </w14:solidFill>
          </w14:textFill>
        </w:rPr>
        <w:t xml:space="preserve"> track at the bottom of the top tier.</w:t>
      </w:r>
    </w:p>
    <w:p w14:paraId="3A444215">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2E3AA5E3">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21DBC16D">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17B424A9">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16761133">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75A127ED">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1AB1D09B">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3A6124DF">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412A292C">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348A1806">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15F34684">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5BD5B05C">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18ACC07C">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45541A0C">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08FA460E">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2F3E495F">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03244754">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6E9D74BF">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471B37E7">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79E646D9">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2AFC129C">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1ABB7992">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49A48B48">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1532E70E">
      <w:pPr>
        <w:spacing w:after="0" w:line="240" w:lineRule="auto"/>
        <w:rPr>
          <w:rFonts w:ascii="Times New Roman" w:hAnsi="Times New Roman" w:eastAsia="Times New Roman" w:cs="Times New Roman"/>
          <w:color w:val="000000" w:themeColor="text1"/>
          <w:sz w:val="28"/>
          <w:szCs w:val="28"/>
          <w14:textFill>
            <w14:solidFill>
              <w14:schemeClr w14:val="tx1"/>
            </w14:solidFill>
          </w14:textFill>
        </w:rPr>
      </w:pPr>
    </w:p>
    <w:p w14:paraId="4E1841D2">
      <w:pPr>
        <w:spacing w:before="100" w:beforeAutospacing="1" w:after="100" w:afterAutospacing="1" w:line="240" w:lineRule="auto"/>
        <w:outlineLvl w:val="0"/>
        <w:rPr>
          <w:rFonts w:ascii="Times New Roman" w:hAnsi="Times New Roman" w:eastAsia="Times New Roman" w:cs="Times New Roman"/>
          <w:b/>
          <w:bCs/>
          <w:color w:val="000000" w:themeColor="text1"/>
          <w:kern w:val="36"/>
          <w:sz w:val="32"/>
          <w:szCs w:val="32"/>
          <w14:textFill>
            <w14:solidFill>
              <w14:schemeClr w14:val="tx1"/>
            </w14:solidFill>
          </w14:textFill>
        </w:rPr>
      </w:pPr>
      <w:r>
        <w:rPr>
          <w:rFonts w:ascii="Times New Roman" w:hAnsi="Times New Roman" w:eastAsia="Times New Roman" w:cs="Times New Roman"/>
          <w:b/>
          <w:bCs/>
          <w:color w:val="000000" w:themeColor="text1"/>
          <w:kern w:val="36"/>
          <w:sz w:val="32"/>
          <w:szCs w:val="32"/>
          <w14:textFill>
            <w14:solidFill>
              <w14:schemeClr w14:val="tx1"/>
            </w14:solidFill>
          </w14:textFill>
        </w:rPr>
        <w:t>11. Conclusion</w:t>
      </w:r>
    </w:p>
    <w:p w14:paraId="3710B4E3">
      <w:pPr>
        <w:pStyle w:val="7"/>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The objective of this project was to develop a reliable data processing solution for retail transaction data and transform raw operational records into meaningful business information. By integrating data from multiple sources, performing data quality checks, handling inconsistencies, and protecting sensitive customer information, a structured and analytics-ready dataset was successfully created.</w:t>
      </w:r>
    </w:p>
    <w:p w14:paraId="16F83A84">
      <w:pPr>
        <w:pStyle w:val="7"/>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The implementation provided a standardized approach for processing retail data, ensuring that business reports are generated from consistent and validated information. The resulting dataset enabled the calculation of key performance indicators and supported detailed analysis of sales performance across products, categories, cities, and payment methods.</w:t>
      </w:r>
    </w:p>
    <w:p w14:paraId="4BE98975">
      <w:pPr>
        <w:pStyle w:val="7"/>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The Power BI dashboard offered a consolidated view of business performance, allowing users to quickly identify revenue trends, high-performing product categories, regional sales patterns, and customer purchasing preferences. Insights such as the strong contribution of the Electronics category, the leading performance of Chennai, and customer preference for Credit Card transactions demonstrate how processed data can be used to support operational and business decisions.</w:t>
      </w:r>
    </w:p>
    <w:p w14:paraId="594B2D7C">
      <w:pPr>
        <w:pStyle w:val="7"/>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Overall, the project highlights the importance of data quality, data governance, and structured reporting in a retail environment. The developed solution provides a foundation for accurate analysis and can support future reporting requirements as business data continues to grow.</w:t>
      </w:r>
    </w:p>
    <w:p w14:paraId="68D9DC21">
      <w:pPr>
        <w:rPr>
          <w:rFonts w:ascii="Times New Roman" w:hAnsi="Times New Roman" w:cs="Times New Roman"/>
          <w:color w:val="000000" w:themeColor="text1"/>
          <w:sz w:val="24"/>
          <w:szCs w:val="24"/>
          <w14:textFill>
            <w14:solidFill>
              <w14:schemeClr w14:val="tx1"/>
            </w14:solidFill>
          </w14:textFill>
        </w:rPr>
      </w:pPr>
    </w:p>
    <w:p w14:paraId="78C26BAC">
      <w:pPr>
        <w:rPr>
          <w:rFonts w:ascii="Times New Roman" w:hAnsi="Times New Roman" w:cs="Times New Roman"/>
          <w:color w:val="000000" w:themeColor="text1"/>
          <w:sz w:val="24"/>
          <w:szCs w:val="24"/>
          <w14:textFill>
            <w14:solidFill>
              <w14:schemeClr w14:val="tx1"/>
            </w14:solidFill>
          </w14:textFill>
        </w:rPr>
      </w:pPr>
    </w:p>
    <w:p w14:paraId="695CF610">
      <w:pPr>
        <w:rPr>
          <w:rFonts w:ascii="Times New Roman" w:hAnsi="Times New Roman" w:cs="Times New Roman"/>
          <w:color w:val="000000" w:themeColor="text1"/>
          <w:sz w:val="24"/>
          <w:szCs w:val="24"/>
          <w14:textFill>
            <w14:solidFill>
              <w14:schemeClr w14:val="tx1"/>
            </w14:solidFill>
          </w14:textFill>
        </w:rPr>
      </w:pPr>
    </w:p>
    <w:p w14:paraId="1BE95BB5">
      <w:pPr>
        <w:rPr>
          <w:rFonts w:ascii="Times New Roman" w:hAnsi="Times New Roman" w:cs="Times New Roman"/>
          <w:color w:val="000000" w:themeColor="text1"/>
          <w:sz w:val="24"/>
          <w:szCs w:val="24"/>
          <w14:textFill>
            <w14:solidFill>
              <w14:schemeClr w14:val="tx1"/>
            </w14:solidFill>
          </w14:textFill>
        </w:rPr>
      </w:pPr>
    </w:p>
    <w:p w14:paraId="7D76F2DD">
      <w:pPr>
        <w:rPr>
          <w:rFonts w:ascii="Times New Roman" w:hAnsi="Times New Roman" w:cs="Times New Roman"/>
          <w:color w:val="000000" w:themeColor="text1"/>
          <w:sz w:val="24"/>
          <w:szCs w:val="24"/>
          <w14:textFill>
            <w14:solidFill>
              <w14:schemeClr w14:val="tx1"/>
            </w14:solidFill>
          </w14:textFill>
        </w:rPr>
      </w:pPr>
    </w:p>
    <w:p w14:paraId="33EC9A89">
      <w:pPr>
        <w:rPr>
          <w:rFonts w:ascii="Times New Roman" w:hAnsi="Times New Roman" w:cs="Times New Roman"/>
          <w:color w:val="000000" w:themeColor="text1"/>
          <w:sz w:val="24"/>
          <w:szCs w:val="24"/>
          <w14:textFill>
            <w14:solidFill>
              <w14:schemeClr w14:val="tx1"/>
            </w14:solidFill>
          </w14:textFill>
        </w:rPr>
      </w:pPr>
    </w:p>
    <w:p w14:paraId="41BA0982">
      <w:pPr>
        <w:rPr>
          <w:rFonts w:ascii="Times New Roman" w:hAnsi="Times New Roman" w:cs="Times New Roman"/>
          <w:color w:val="000000" w:themeColor="text1"/>
          <w:sz w:val="24"/>
          <w:szCs w:val="24"/>
          <w14:textFill>
            <w14:solidFill>
              <w14:schemeClr w14:val="tx1"/>
            </w14:solidFill>
          </w14:textFill>
        </w:rPr>
      </w:pPr>
    </w:p>
    <w:p w14:paraId="6F86944C">
      <w:pPr>
        <w:rPr>
          <w:rFonts w:ascii="Times New Roman" w:hAnsi="Times New Roman" w:cs="Times New Roman"/>
          <w:color w:val="000000" w:themeColor="text1"/>
          <w:sz w:val="24"/>
          <w:szCs w:val="24"/>
          <w14:textFill>
            <w14:solidFill>
              <w14:schemeClr w14:val="tx1"/>
            </w14:solidFill>
          </w14:textFill>
        </w:rPr>
      </w:pPr>
    </w:p>
    <w:p w14:paraId="6A464145">
      <w:pPr>
        <w:rPr>
          <w:rFonts w:ascii="Times New Roman" w:hAnsi="Times New Roman" w:cs="Times New Roman"/>
          <w:color w:val="000000" w:themeColor="text1"/>
          <w:sz w:val="24"/>
          <w:szCs w:val="24"/>
          <w14:textFill>
            <w14:solidFill>
              <w14:schemeClr w14:val="tx1"/>
            </w14:solidFill>
          </w14:textFill>
        </w:rPr>
      </w:pPr>
    </w:p>
    <w:p w14:paraId="346E9199">
      <w:pPr>
        <w:rPr>
          <w:rFonts w:ascii="Times New Roman" w:hAnsi="Times New Roman" w:cs="Times New Roman"/>
          <w:color w:val="000000" w:themeColor="text1"/>
          <w:sz w:val="24"/>
          <w:szCs w:val="24"/>
          <w14:textFill>
            <w14:solidFill>
              <w14:schemeClr w14:val="tx1"/>
            </w14:solidFill>
          </w14:textFill>
        </w:rPr>
      </w:pPr>
    </w:p>
    <w:p w14:paraId="4B293F14">
      <w:pPr>
        <w:rPr>
          <w:rFonts w:ascii="Times New Roman" w:hAnsi="Times New Roman" w:cs="Times New Roman"/>
          <w:color w:val="000000" w:themeColor="text1"/>
          <w:sz w:val="24"/>
          <w:szCs w:val="24"/>
          <w14:textFill>
            <w14:solidFill>
              <w14:schemeClr w14:val="tx1"/>
            </w14:solidFill>
          </w14:textFill>
        </w:rPr>
      </w:pPr>
      <w:bookmarkStart w:id="0" w:name="_GoBack"/>
      <w:bookmarkEnd w:id="0"/>
      <w:r>
        <w:rPr>
          <w:rFonts w:ascii="Times New Roman" w:hAnsi="Times New Roman" w:cs="Times New Roman"/>
          <w:b/>
          <w:bCs/>
          <w:color w:val="000000" w:themeColor="text1"/>
          <w:sz w:val="32"/>
          <w:szCs w:val="32"/>
          <w14:textFill>
            <w14:solidFill>
              <w14:schemeClr w14:val="tx1"/>
            </w14:solidFill>
          </w14:textFill>
        </w:rPr>
        <w:t>ScreenShorts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drawing>
          <wp:inline distT="0" distB="0" distL="0" distR="0">
            <wp:extent cx="5943600" cy="3394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3394075"/>
                    </a:xfrm>
                    <a:prstGeom prst="rect">
                      <a:avLst/>
                    </a:prstGeom>
                  </pic:spPr>
                </pic:pic>
              </a:graphicData>
            </a:graphic>
          </wp:inline>
        </w:drawing>
      </w:r>
    </w:p>
    <w:p w14:paraId="22E344DB">
      <w:pPr>
        <w:ind w:left="1440" w:leftChars="0" w:firstLine="1624" w:firstLineChars="677"/>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4"/>
          <w:szCs w:val="24"/>
          <w:lang w:val="en-IN"/>
          <w14:textFill>
            <w14:solidFill>
              <w14:schemeClr w14:val="tx1"/>
            </w14:solidFill>
          </w14:textFill>
        </w:rPr>
        <w:t>Fig : Analysis Report</w:t>
      </w:r>
    </w:p>
    <w:p w14:paraId="2DA71543">
      <w:r>
        <w:drawing>
          <wp:inline distT="0" distB="0" distL="114300" distR="114300">
            <wp:extent cx="6219190" cy="3591560"/>
            <wp:effectExtent l="0" t="0" r="13970" b="50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6219190" cy="3591560"/>
                    </a:xfrm>
                    <a:prstGeom prst="rect">
                      <a:avLst/>
                    </a:prstGeom>
                    <a:noFill/>
                    <a:ln>
                      <a:noFill/>
                    </a:ln>
                  </pic:spPr>
                </pic:pic>
              </a:graphicData>
            </a:graphic>
          </wp:inline>
        </w:drawing>
      </w:r>
    </w:p>
    <w:p w14:paraId="69FC8539">
      <w:pPr>
        <w:ind w:left="2160" w:leftChars="0" w:firstLine="939" w:firstLineChars="427"/>
      </w:pPr>
      <w:r>
        <w:rPr>
          <w:rFonts w:hint="default"/>
          <w:lang w:val="en-IN"/>
        </w:rPr>
        <w:t>Fig : clean dataset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22E9C"/>
    <w:multiLevelType w:val="multilevel"/>
    <w:tmpl w:val="09622E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1E3DFD"/>
    <w:multiLevelType w:val="multilevel"/>
    <w:tmpl w:val="0B1E3D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F7E7BDE"/>
    <w:multiLevelType w:val="multilevel"/>
    <w:tmpl w:val="0F7E7B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73C0D05"/>
    <w:multiLevelType w:val="multilevel"/>
    <w:tmpl w:val="173C0D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D8E10B3"/>
    <w:multiLevelType w:val="multilevel"/>
    <w:tmpl w:val="1D8E1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38E395D"/>
    <w:multiLevelType w:val="multilevel"/>
    <w:tmpl w:val="238E39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C8D6580"/>
    <w:multiLevelType w:val="multilevel"/>
    <w:tmpl w:val="2C8D65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07D0D1C"/>
    <w:multiLevelType w:val="multilevel"/>
    <w:tmpl w:val="507D0D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6E12121"/>
    <w:multiLevelType w:val="multilevel"/>
    <w:tmpl w:val="66E121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6"/>
  </w:num>
  <w:num w:numId="3">
    <w:abstractNumId w:val="1"/>
  </w:num>
  <w:num w:numId="4">
    <w:abstractNumId w:val="2"/>
  </w:num>
  <w:num w:numId="5">
    <w:abstractNumId w:val="0"/>
  </w:num>
  <w:num w:numId="6">
    <w:abstractNumId w:val="4"/>
  </w:num>
  <w:num w:numId="7">
    <w:abstractNumId w:val="3"/>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BD5"/>
    <w:rsid w:val="001F0F8F"/>
    <w:rsid w:val="002936A6"/>
    <w:rsid w:val="003E3BD5"/>
    <w:rsid w:val="006370EE"/>
    <w:rsid w:val="007A43D5"/>
    <w:rsid w:val="00E234E7"/>
    <w:rsid w:val="00EF7504"/>
    <w:rsid w:val="00F00A39"/>
    <w:rsid w:val="02302DC4"/>
    <w:rsid w:val="1CCE25C1"/>
    <w:rsid w:val="237E2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semiHidden/>
    <w:unhideWhenUsed/>
    <w:qFormat/>
    <w:uiPriority w:val="99"/>
    <w:rPr>
      <w:rFonts w:ascii="Courier New" w:hAnsi="Courier New" w:eastAsia="Times New Roman" w:cs="Courier New"/>
      <w:sz w:val="20"/>
      <w:szCs w:val="20"/>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4"/>
    <w:qFormat/>
    <w:uiPriority w:val="22"/>
    <w:rPr>
      <w:b/>
      <w:bCs/>
    </w:rPr>
  </w:style>
  <w:style w:type="character" w:customStyle="1" w:styleId="9">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0">
    <w:name w:val="Heading 2 Char"/>
    <w:basedOn w:val="4"/>
    <w:link w:val="3"/>
    <w:qFormat/>
    <w:uiPriority w:val="9"/>
    <w:rPr>
      <w:rFonts w:ascii="Times New Roman" w:hAnsi="Times New Roman" w:eastAsia="Times New Roman" w:cs="Times New Roman"/>
      <w:b/>
      <w:bCs/>
      <w:sz w:val="36"/>
      <w:szCs w:val="36"/>
    </w:rPr>
  </w:style>
  <w:style w:type="paragraph" w:customStyle="1" w:styleId="11">
    <w:name w:val="z1qcye"/>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2">
    <w:name w:val="t286pc"/>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1738</Words>
  <Characters>11176</Characters>
  <Lines>91</Lines>
  <Paragraphs>25</Paragraphs>
  <TotalTime>12</TotalTime>
  <ScaleCrop>false</ScaleCrop>
  <LinksUpToDate>false</LinksUpToDate>
  <CharactersWithSpaces>12795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2026-06-01T13:23:00Z</dcterms:created>
  <dc:creator>Neenu</dc:creator>
  <cp:lastModifiedBy>Anagha P J</cp:lastModifiedBy>
  <dcterms:modified xsi:type="dcterms:W3CDTF">2026-06-01T15:56:31Z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eyJoZGlkIjoiNWY4OTZlMDBjZTJmYmYwMDgzYjI2MGU4ZDM5ZjA2OGUiLCJ1c2VySWQiOiI1NjczODU0OTQwNDQifQ==</vt:lpwstr>
  </property>
  <property fmtid="{D5CDD505-2E9C-101B-9397-08002B2CF9AE}" pid="3" name="KSOProductBuildVer">
    <vt:lpwstr>1033-12.1.0.25862</vt:lpwstr>
  </property>
  <property fmtid="{D5CDD505-2E9C-101B-9397-08002B2CF9AE}" pid="4" name="ICV">
    <vt:lpwstr>BA7E24D4F3A44DE89C7D513F1438D82D_13</vt:lpwstr>
  </property>
</Properties>
</file>