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" cy="513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513066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95000</wp:posOffset>
            </wp:positionV>
            <wp:extent cx="777240" cy="777240"/>
            <wp:effectExtent l="0" t="0" r="0" b="0"/>
            <wp:wrapNone/>
            <wp:docPr id="1001" name="Large logo" descr="Логотип Арт-Ресто-Бара МУХ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/>
        <w:jc w:val="center"/>
      </w:pPr>
      <w:r>
        <w:rPr>
          <w:rFonts w:ascii="Arial" w:hAnsi="Arial" w:eastAsia="Arial"/>
          <w:b/>
          <w:sz w:val="36"/>
          <w:color w:val="8F2432"/>
        </w:rPr>
        <w:t>Технический райдер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Арт-Ресто-Бара «МУХА»</w:t>
      </w:r>
    </w:p>
    <w:tbl>
      <w:tblPr>
        <w:tblW w:type="dxa" w:w="11200"/>
        <w:jc w:val="center"/>
        <w:tblLook w:firstColumn="1" w:firstRow="1" w:lastColumn="0" w:lastRow="0" w:noHBand="0" w:noVBand="1" w:val="04A0"/>
        <w:tblLayout w:type="fixed"/>
      </w:tblPr>
      <w:tblGrid>
        <w:gridCol w:w="11168"/>
      </w:tblGrid>
      <w:tr>
        <w:tc>
          <w:tcPr>
            <w:tcW w:type="dxa" w:w="11168"/>
            <w:tcBorders>
              <w:top w:val="single" w:sz="6" w:color="D7C9B9"/>
              <w:left w:val="single" w:sz="6" w:color="D7C9B9"/>
              <w:bottom w:val="single" w:sz="6" w:color="D7C9B9"/>
              <w:right w:val="single" w:sz="6" w:color="D7C9B9"/>
            </w:tcBorders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675B52"/>
              </w:rPr>
              <w:t>Состав оборудования и схема подключения согласуются заранее с администратором площадки.</w:t>
            </w:r>
          </w:p>
        </w:tc>
      </w:tr>
    </w:tbl>
    <w:p>
      <w:pPr>
        <w:spacing w:after="40" w:before="20"/>
      </w:pPr>
    </w:p>
    <w:tbl>
      <w:tblPr>
        <w:tblW w:type="dxa" w:w="11200"/>
        <w:jc w:val="center"/>
        <w:tblLook w:firstColumn="1" w:firstRow="1" w:lastColumn="0" w:lastRow="0" w:noHBand="0" w:noVBand="1" w:val="04A0"/>
        <w:tblLayout w:type="fixed"/>
      </w:tblPr>
      <w:tblGrid>
        <w:gridCol w:w="3723"/>
        <w:gridCol w:w="3723"/>
        <w:gridCol w:w="3723"/>
      </w:tblGrid>
      <w:tr>
        <w:trPr>
          <w:trHeight w:val="260" w:hRule="atLeast"/>
        </w:trPr>
        <w:tc>
          <w:tcPr>
            <w:tcW w:type="dxa" w:w="5100"/>
            <w:shd w:fill="8F2432"/>
            <w:tcBorders>
              <w:top w:val="single" w:sz="5" w:color="D7C9B9"/>
              <w:left w:val="single" w:sz="5" w:color="D7C9B9"/>
              <w:bottom w:val="single" w:sz="5" w:color="D7C9B9"/>
              <w:right w:val="single" w:sz="5" w:color="D7C9B9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FFFAF1"/>
              </w:rPr>
              <w:t>Позиция</w:t>
            </w:r>
          </w:p>
        </w:tc>
        <w:tc>
          <w:tcPr>
            <w:tcW w:type="dxa" w:w="1200"/>
            <w:shd w:fill="8F2432"/>
            <w:tcBorders>
              <w:top w:val="single" w:sz="5" w:color="D7C9B9"/>
              <w:left w:val="single" w:sz="5" w:color="D7C9B9"/>
              <w:bottom w:val="single" w:sz="5" w:color="D7C9B9"/>
              <w:right w:val="single" w:sz="5" w:color="D7C9B9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FFFAF1"/>
              </w:rPr>
              <w:t>Кол-во</w:t>
            </w:r>
          </w:p>
        </w:tc>
        <w:tc>
          <w:tcPr>
            <w:tcW w:type="dxa" w:w="4900"/>
            <w:shd w:fill="8F2432"/>
            <w:tcBorders>
              <w:top w:val="single" w:sz="5" w:color="D7C9B9"/>
              <w:left w:val="single" w:sz="5" w:color="D7C9B9"/>
              <w:bottom w:val="single" w:sz="5" w:color="D7C9B9"/>
              <w:right w:val="single" w:sz="5" w:color="D7C9B9"/>
            </w:tcBorders>
            <w:tcMar>
              <w:top w:w="20" w:type="dxa"/>
              <w:start w:w="40" w:type="dxa"/>
              <w:bottom w:w="20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FFFAF1"/>
              </w:rPr>
              <w:t>Характеристики</w:t>
            </w:r>
          </w:p>
        </w:tc>
      </w:tr>
      <w:tr>
        <w:trPr>
          <w:trHeight w:val="260" w:hRule="atLeast"/>
        </w:trPr>
        <w:tc>
          <w:tcPr>
            <w:tcW w:type="dxa" w:w="11200"/>
            <w:gridSpan w:val="3"/>
            <w:tcBorders>
              <w:top w:val="single" w:sz="5" w:color="D7C9B9"/>
              <w:left w:val="single" w:sz="5" w:color="D7C9B9"/>
              <w:bottom w:val="single" w:sz="5" w:color="D7C9B9"/>
              <w:right w:val="single" w:sz="5" w:color="D7C9B9"/>
            </w:tcBorders>
            <w:tcMar>
              <w:top w:w="22" w:type="dxa"/>
              <w:start w:w="50" w:type="dxa"/>
              <w:bottom w:w="22" w:type="dxa"/>
              <w:end w:w="50" w:type="dxa"/>
            </w:tcMar>
            <w:vAlign w:val="center"/>
            <w:shd w:fill="2E6F68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FFFAF1"/>
              </w:rPr>
              <w:t>Базовое концертное оборудование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Микшерный аналоговый пульт Mackie-12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12 каналов; 4 микрофонных предусилителя; 3-полосная регулировка частоты на канал.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Активные акустические системы B-115D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2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Мощность: 1000 Вт.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Вокальные динамические радиомикрофоны AKG-Pro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4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Для вокала и ведущих.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Вокальные динамические микрофоны Behringer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4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Для вокала и ведущих.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Микрофонные стойки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4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Стандартные стойки для выступлений.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Стойки под гитару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2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Для гитар / бас-гитар.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Стойка под клавиши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Для клавишных инструментов.</w:t>
            </w:r>
          </w:p>
        </w:tc>
      </w:tr>
      <w:tr>
        <w:trPr>
          <w:trHeight w:val="260" w:hRule="atLeast"/>
        </w:trPr>
        <w:tc>
          <w:tcPr>
            <w:tcW w:type="dxa" w:w="11200"/>
            <w:gridSpan w:val="3"/>
            <w:tcBorders>
              <w:top w:val="single" w:sz="5" w:color="D7C9B9"/>
              <w:left w:val="single" w:sz="5" w:color="D7C9B9"/>
              <w:bottom w:val="single" w:sz="5" w:color="D7C9B9"/>
              <w:right w:val="single" w:sz="5" w:color="D7C9B9"/>
            </w:tcBorders>
            <w:tcMar>
              <w:top w:w="22" w:type="dxa"/>
              <w:start w:w="50" w:type="dxa"/>
              <w:bottom w:w="22" w:type="dxa"/>
              <w:end w:w="50" w:type="dxa"/>
            </w:tcMar>
            <w:vAlign w:val="center"/>
            <w:shd w:fill="2E6F68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FFFAF1"/>
              </w:rPr>
              <w:t>Оборудование по отдельной договорённости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Барабанная установка акустическая Sonor Smart Force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Полноразмерная акустическая установка.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Барабанная установка электронная Roland TD-1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Электронная ударная установка.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Синтезатор Yamaha PSR 520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2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61 клавиша.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МИДИ-клавиатура Artesia PA-88H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Полноразмерная молоточковая клавиатура.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Цифровой микшерный пульт Soundcraft UI 24 R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Цифровой микшер для расширенной коммутации.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Сабвуферы Leem Proaudio NWX-18B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2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Мощность: 1200 Вт.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Усилитель Behringer NX3000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2 × 1500 Вт.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Гитарный комбоусилитель Hiwatt Maxwatt G100R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Мощность: 100 Вт.</w:t>
            </w:r>
          </w:p>
        </w:tc>
      </w:tr>
      <w:tr>
        <w:trPr>
          <w:trHeight w:val="280" w:hRule="atLeast"/>
        </w:trPr>
        <w:tc>
          <w:tcPr>
            <w:tcW w:type="dxa" w:w="51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Басовый кабинет Hiwatt-Maxwatt B300HD</w:t>
            </w:r>
          </w:p>
        </w:tc>
        <w:tc>
          <w:tcPr>
            <w:tcW w:type="dxa" w:w="12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1 шт.</w:t>
            </w:r>
          </w:p>
        </w:tc>
        <w:tc>
          <w:tcPr>
            <w:tcW w:type="dxa" w:w="4900"/>
            <w:tcBorders>
              <w:top w:val="single" w:sz="4" w:color="D7C9B9"/>
              <w:left w:val="single" w:sz="4" w:color="D7C9B9"/>
              <w:bottom w:val="single" w:sz="4" w:color="D7C9B9"/>
              <w:right w:val="single" w:sz="4" w:color="D7C9B9"/>
            </w:tcBorders>
            <w:tcMar>
              <w:top w:w="18" w:type="dxa"/>
              <w:start w:w="40" w:type="dxa"/>
              <w:bottom w:w="18" w:type="dxa"/>
              <w:end w:w="40" w:type="dxa"/>
            </w:tcMar>
            <w:vAlign w:val="center"/>
          </w:tcPr>
          <w:p>
            <w:pPr>
              <w:spacing w:before="0" w:after="0" w:line="204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4"/>
                <w:color w:val="211B19"/>
              </w:rPr>
              <w:t>Мощность: 300 Вт.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1906" w:h="16838"/>
      <w:pgMar w:top="312" w:right="369" w:bottom="312" w:left="369" w:header="85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4"/>
        <w:color w:val="675B52"/>
      </w:rPr>
      <w:t>Арт-Ресто-Бар «МУХА» • Санкт-Петербург, ул. Пестеля, 3</w:t>
    </w:r>
  </w:p>
</w:ftr>
</file>

<file path=word/header1.xml><?xml version="1.0" encoding="utf-8"?>
<w:hdr xmlns:w="http://schemas.openxmlformats.org/wordprocessingml/2006/main" xmlns:v="urn:schemas-microsoft-com:vml" xmlns:o="urn:schemas-microsoft-com:office:office" xmlns:r="http://schemas.openxmlformats.org/officeDocument/2006/relationships">
  <w:p>
    <w:pPr>
      <w:jc w:val="center"/>
    </w:pPr>
    <w:r>
      <w:pict>
        <v:shape id="MuhaLogoWatermark" o:spid="_x0000_s2049" type="#_x0000_t75" style="position:absolute; margin-left:0; margin-top:80pt; width:360pt; height:360pt; z-index:-251654144; mso-position-horizontal:center; mso-position-horizontal-relative:page; mso-position-vertical:center; mso-position-vertical-relative:page; mso-wrap-edited:f" stroked="f" filled="t">
          <v:imagedata r:id="rId1" o:title="Muha logo watermark"/>
          <v:fill opacity="0.07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