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4BE8" w14:textId="5DFEFF3D" w:rsidR="005578EA" w:rsidRDefault="005578EA" w:rsidP="005578EA">
      <w:pPr>
        <w:jc w:val="center"/>
        <w:rPr>
          <w:b/>
          <w:bCs/>
          <w:sz w:val="28"/>
          <w:szCs w:val="28"/>
        </w:rPr>
      </w:pPr>
      <w:r w:rsidRPr="005578EA">
        <w:rPr>
          <w:b/>
          <w:bCs/>
          <w:sz w:val="28"/>
          <w:szCs w:val="28"/>
        </w:rPr>
        <w:t>Premium Revenue Distribution from 2019 - 2024 (in Million EUR)</w:t>
      </w:r>
      <w:r>
        <w:rPr>
          <w:b/>
          <w:bCs/>
          <w:sz w:val="28"/>
          <w:szCs w:val="28"/>
        </w:rPr>
        <w:t>:</w:t>
      </w:r>
    </w:p>
    <w:p w14:paraId="09030E79" w14:textId="77777777" w:rsidR="005578EA" w:rsidRDefault="005578EA" w:rsidP="005578EA">
      <w:pPr>
        <w:jc w:val="center"/>
        <w:rPr>
          <w:b/>
          <w:bCs/>
          <w:sz w:val="28"/>
          <w:szCs w:val="28"/>
        </w:rPr>
      </w:pPr>
    </w:p>
    <w:p w14:paraId="1475447B" w14:textId="7341B9BD" w:rsidR="005578EA" w:rsidRDefault="005578EA" w:rsidP="005578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7F6C97" wp14:editId="2A9E65AE">
            <wp:extent cx="5074930" cy="3758191"/>
            <wp:effectExtent l="0" t="0" r="0" b="0"/>
            <wp:docPr id="658643452" name="Picture 1" descr="A colorful pie char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3452" name="Picture 1" descr="A colorful pie chart with numbers and numb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30" cy="37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1DE" w14:textId="77777777" w:rsidR="005F16FA" w:rsidRPr="005F16FA" w:rsidRDefault="005F16FA" w:rsidP="005F16FA">
      <w:pPr>
        <w:jc w:val="both"/>
      </w:pPr>
      <w:r w:rsidRPr="005F16FA">
        <w:rPr>
          <w:highlight w:val="yellow"/>
        </w:rPr>
        <w:t>Detailed explanation:</w:t>
      </w:r>
    </w:p>
    <w:p w14:paraId="4BB6F120" w14:textId="75953D17" w:rsidR="005F16FA" w:rsidRPr="005F16FA" w:rsidRDefault="002C7E8D" w:rsidP="005F16FA">
      <w:pPr>
        <w:jc w:val="both"/>
      </w:pPr>
      <w:r w:rsidRPr="002C7E8D">
        <w:t xml:space="preserve">The pie chart displays </w:t>
      </w:r>
      <w:r w:rsidRPr="009553F9">
        <w:rPr>
          <w:b/>
          <w:bCs/>
        </w:rPr>
        <w:t>Spotify’s premium subscription revenue</w:t>
      </w:r>
      <w:r w:rsidRPr="002C7E8D">
        <w:t xml:space="preserve"> between </w:t>
      </w:r>
      <w:r w:rsidRPr="009553F9">
        <w:rPr>
          <w:b/>
          <w:bCs/>
        </w:rPr>
        <w:t>2019</w:t>
      </w:r>
      <w:r w:rsidRPr="002C7E8D">
        <w:t xml:space="preserve"> and </w:t>
      </w:r>
      <w:r w:rsidRPr="009553F9">
        <w:rPr>
          <w:b/>
          <w:bCs/>
        </w:rPr>
        <w:t>2024</w:t>
      </w:r>
      <w:r w:rsidRPr="002C7E8D">
        <w:t xml:space="preserve">. The data shows a consistent rise, highlighting the importance of paid subscriptions to Spotify’s business model. In </w:t>
      </w:r>
      <w:r w:rsidRPr="009553F9">
        <w:rPr>
          <w:b/>
          <w:bCs/>
        </w:rPr>
        <w:t>2019</w:t>
      </w:r>
      <w:r w:rsidRPr="002C7E8D">
        <w:t xml:space="preserve">, revenue </w:t>
      </w:r>
      <w:r w:rsidR="009553F9">
        <w:t>was</w:t>
      </w:r>
      <w:r w:rsidRPr="002C7E8D">
        <w:t xml:space="preserve"> </w:t>
      </w:r>
      <w:r w:rsidRPr="009553F9">
        <w:rPr>
          <w:b/>
          <w:bCs/>
        </w:rPr>
        <w:t>€6,090M</w:t>
      </w:r>
      <w:r w:rsidRPr="002C7E8D">
        <w:t xml:space="preserve">, increasing to </w:t>
      </w:r>
      <w:r w:rsidRPr="008C40C5">
        <w:rPr>
          <w:b/>
          <w:bCs/>
        </w:rPr>
        <w:t>€7,140M</w:t>
      </w:r>
      <w:r w:rsidRPr="002C7E8D">
        <w:t xml:space="preserve"> in </w:t>
      </w:r>
      <w:r w:rsidRPr="008C40C5">
        <w:rPr>
          <w:b/>
          <w:bCs/>
        </w:rPr>
        <w:t>2020</w:t>
      </w:r>
      <w:r w:rsidRPr="002C7E8D">
        <w:t xml:space="preserve"> and </w:t>
      </w:r>
      <w:r w:rsidRPr="008C40C5">
        <w:rPr>
          <w:b/>
          <w:bCs/>
        </w:rPr>
        <w:t>€8,460M</w:t>
      </w:r>
      <w:r w:rsidRPr="002C7E8D">
        <w:t xml:space="preserve"> in </w:t>
      </w:r>
      <w:r w:rsidRPr="008C40C5">
        <w:rPr>
          <w:b/>
          <w:bCs/>
        </w:rPr>
        <w:t>2021</w:t>
      </w:r>
      <w:r w:rsidRPr="002C7E8D">
        <w:t xml:space="preserve">. The trend continued with </w:t>
      </w:r>
      <w:r w:rsidRPr="008C40C5">
        <w:rPr>
          <w:b/>
          <w:bCs/>
        </w:rPr>
        <w:t>€10,250M</w:t>
      </w:r>
      <w:r w:rsidRPr="002C7E8D">
        <w:t xml:space="preserve"> in </w:t>
      </w:r>
      <w:r w:rsidRPr="008C40C5">
        <w:rPr>
          <w:b/>
          <w:bCs/>
        </w:rPr>
        <w:t>2022</w:t>
      </w:r>
      <w:r w:rsidRPr="002C7E8D">
        <w:t xml:space="preserve">, </w:t>
      </w:r>
      <w:r w:rsidRPr="008C40C5">
        <w:rPr>
          <w:b/>
          <w:bCs/>
        </w:rPr>
        <w:t>€11,570M</w:t>
      </w:r>
      <w:r w:rsidRPr="002C7E8D">
        <w:t xml:space="preserve"> in </w:t>
      </w:r>
      <w:r w:rsidRPr="008C40C5">
        <w:rPr>
          <w:b/>
          <w:bCs/>
        </w:rPr>
        <w:t>2023</w:t>
      </w:r>
      <w:r w:rsidRPr="002C7E8D">
        <w:t xml:space="preserve">, and a peak of </w:t>
      </w:r>
      <w:r w:rsidRPr="008C40C5">
        <w:rPr>
          <w:b/>
          <w:bCs/>
        </w:rPr>
        <w:t>€13,820M</w:t>
      </w:r>
      <w:r w:rsidRPr="002C7E8D">
        <w:t xml:space="preserve"> in </w:t>
      </w:r>
      <w:r w:rsidRPr="008C40C5">
        <w:rPr>
          <w:b/>
          <w:bCs/>
        </w:rPr>
        <w:t>2024</w:t>
      </w:r>
      <w:r w:rsidRPr="002C7E8D">
        <w:t xml:space="preserve">. The color-coded </w:t>
      </w:r>
      <w:r w:rsidR="008C40C5">
        <w:t>sections</w:t>
      </w:r>
      <w:r w:rsidRPr="002C7E8D">
        <w:t xml:space="preserve"> distinguish each year’s revenue, making the growth pattern clear.</w:t>
      </w:r>
    </w:p>
    <w:p w14:paraId="444D3948" w14:textId="77777777" w:rsidR="005F16FA" w:rsidRPr="005F16FA" w:rsidRDefault="005F16FA" w:rsidP="005F16FA">
      <w:pPr>
        <w:jc w:val="both"/>
      </w:pPr>
      <w:r w:rsidRPr="005F16FA">
        <w:rPr>
          <w:highlight w:val="yellow"/>
        </w:rPr>
        <w:t>Key statement:</w:t>
      </w:r>
    </w:p>
    <w:p w14:paraId="619B6522" w14:textId="2A5F453F" w:rsidR="005F16FA" w:rsidRDefault="00D67CB6" w:rsidP="005F16FA">
      <w:pPr>
        <w:jc w:val="both"/>
      </w:pPr>
      <w:r w:rsidRPr="00D67CB6">
        <w:t xml:space="preserve">The increasing </w:t>
      </w:r>
      <w:r w:rsidRPr="00930473">
        <w:rPr>
          <w:b/>
          <w:bCs/>
        </w:rPr>
        <w:t xml:space="preserve">premium revenue </w:t>
      </w:r>
      <w:r w:rsidR="00620B90" w:rsidRPr="00930473">
        <w:rPr>
          <w:b/>
          <w:bCs/>
        </w:rPr>
        <w:t>suggests</w:t>
      </w:r>
      <w:r w:rsidRPr="00D67CB6">
        <w:t xml:space="preserve"> that more users </w:t>
      </w:r>
      <w:r w:rsidR="00A73C3A">
        <w:t>are willing to pay for an</w:t>
      </w:r>
      <w:r w:rsidRPr="00D67CB6">
        <w:t xml:space="preserve"> </w:t>
      </w:r>
      <w:r w:rsidR="00620B90">
        <w:t>ad</w:t>
      </w:r>
      <w:r w:rsidRPr="00D67CB6">
        <w:t>-free and enhanced experience. This trend highlights the effectiveness of Spotify’s subscription models, including family and student plans, which encourage paid membership.</w:t>
      </w:r>
    </w:p>
    <w:p w14:paraId="4190997F" w14:textId="77777777" w:rsidR="00D67CB6" w:rsidRPr="005F16FA" w:rsidRDefault="00D67CB6" w:rsidP="005F16FA">
      <w:pPr>
        <w:jc w:val="both"/>
      </w:pPr>
    </w:p>
    <w:p w14:paraId="7AB082DD" w14:textId="77777777" w:rsidR="00064AFF" w:rsidRDefault="00064AFF" w:rsidP="00DB4270">
      <w:pPr>
        <w:jc w:val="both"/>
      </w:pPr>
    </w:p>
    <w:p w14:paraId="69A2F30F" w14:textId="77777777" w:rsidR="00E54760" w:rsidRPr="00DB4270" w:rsidRDefault="00E54760" w:rsidP="00DB4270">
      <w:pPr>
        <w:jc w:val="both"/>
      </w:pPr>
    </w:p>
    <w:sectPr w:rsidR="00E54760" w:rsidRPr="00DB42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EA"/>
    <w:rsid w:val="00064AFF"/>
    <w:rsid w:val="001804B2"/>
    <w:rsid w:val="002C7E8D"/>
    <w:rsid w:val="00385BDC"/>
    <w:rsid w:val="005578EA"/>
    <w:rsid w:val="005F16FA"/>
    <w:rsid w:val="00620B90"/>
    <w:rsid w:val="006F29FD"/>
    <w:rsid w:val="008C40C5"/>
    <w:rsid w:val="00930473"/>
    <w:rsid w:val="009553F9"/>
    <w:rsid w:val="00A73C3A"/>
    <w:rsid w:val="00BD6124"/>
    <w:rsid w:val="00D67CB6"/>
    <w:rsid w:val="00DB4270"/>
    <w:rsid w:val="00E54760"/>
    <w:rsid w:val="00E56734"/>
    <w:rsid w:val="00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4E282"/>
  <w15:chartTrackingRefBased/>
  <w15:docId w15:val="{1F63EBA1-E993-42C7-AD8E-24FE887C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8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E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E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E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E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E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E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E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7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E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57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E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57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E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57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706</Characters>
  <Application>Microsoft Office Word</Application>
  <DocSecurity>0</DocSecurity>
  <Lines>14</Lines>
  <Paragraphs>6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Anahita Tehrani</dc:creator>
  <cp:keywords/>
  <dc:description/>
  <cp:lastModifiedBy>Anahita Tehrani</cp:lastModifiedBy>
  <cp:revision>12</cp:revision>
  <dcterms:created xsi:type="dcterms:W3CDTF">2025-03-23T19:48:00Z</dcterms:created>
  <dcterms:modified xsi:type="dcterms:W3CDTF">2025-03-24T12:51:00Z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73a7338a-7a33-4b09-8b74-cf54473e3291</vt:lpwstr>
  </property>
</Properties>
</file>