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E8522" w14:textId="18EF6813" w:rsidR="001804B2" w:rsidRDefault="00000BC2" w:rsidP="00000BC2">
      <w:pPr>
        <w:jc w:val="center"/>
        <w:rPr>
          <w:b/>
          <w:bCs/>
          <w:sz w:val="28"/>
          <w:szCs w:val="28"/>
        </w:rPr>
      </w:pPr>
      <w:r w:rsidRPr="00000BC2">
        <w:rPr>
          <w:b/>
          <w:bCs/>
          <w:sz w:val="28"/>
          <w:szCs w:val="28"/>
        </w:rPr>
        <w:t>Spotify Revenue Distribution from 2019 - 2024 (in Million EUR)</w:t>
      </w:r>
      <w:r>
        <w:rPr>
          <w:b/>
          <w:bCs/>
          <w:sz w:val="28"/>
          <w:szCs w:val="28"/>
        </w:rPr>
        <w:t>:</w:t>
      </w:r>
    </w:p>
    <w:p w14:paraId="2C9CE424" w14:textId="77777777" w:rsidR="00000BC2" w:rsidRDefault="00000BC2" w:rsidP="00000BC2">
      <w:pPr>
        <w:jc w:val="center"/>
        <w:rPr>
          <w:b/>
          <w:bCs/>
          <w:sz w:val="28"/>
          <w:szCs w:val="28"/>
        </w:rPr>
      </w:pPr>
    </w:p>
    <w:p w14:paraId="1C1A8378" w14:textId="67576870" w:rsidR="00000BC2" w:rsidRDefault="00000BC2" w:rsidP="00CE2A22">
      <w:pPr>
        <w:jc w:val="center"/>
      </w:pPr>
      <w:r>
        <w:rPr>
          <w:noProof/>
        </w:rPr>
        <w:drawing>
          <wp:inline distT="0" distB="0" distL="0" distR="0" wp14:anchorId="1F4E75B1" wp14:editId="7C7A8C1C">
            <wp:extent cx="5029210" cy="3758191"/>
            <wp:effectExtent l="0" t="0" r="0" b="0"/>
            <wp:docPr id="1169885501" name="Picture 1" descr="A colorful pie chart with number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5501" name="Picture 1" descr="A colorful pie chart with numbers and numb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7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DFE" w14:textId="77777777" w:rsidR="00000BC2" w:rsidRDefault="00000BC2" w:rsidP="00000BC2"/>
    <w:p w14:paraId="2C605C21" w14:textId="77777777" w:rsidR="00CE2A22" w:rsidRDefault="00CE2A22" w:rsidP="00CE2A22">
      <w:pPr>
        <w:jc w:val="both"/>
      </w:pPr>
      <w:r w:rsidRPr="00440B55">
        <w:rPr>
          <w:highlight w:val="yellow"/>
        </w:rPr>
        <w:t>Detailed explanation:</w:t>
      </w:r>
    </w:p>
    <w:p w14:paraId="6880F83B" w14:textId="40924B41" w:rsidR="00BF4379" w:rsidRDefault="00D4193C" w:rsidP="00CE2A22">
      <w:pPr>
        <w:jc w:val="both"/>
      </w:pPr>
      <w:r w:rsidRPr="00D4193C">
        <w:t>The</w:t>
      </w:r>
      <w:r>
        <w:t xml:space="preserve"> donut</w:t>
      </w:r>
      <w:r w:rsidRPr="00D4193C">
        <w:t xml:space="preserve"> chart </w:t>
      </w:r>
      <w:r w:rsidR="00BF4379" w:rsidRPr="00D4193C">
        <w:t>shows</w:t>
      </w:r>
      <w:r w:rsidRPr="00D4193C">
        <w:t xml:space="preserve"> </w:t>
      </w:r>
      <w:r w:rsidRPr="00BF4379">
        <w:rPr>
          <w:b/>
          <w:bCs/>
        </w:rPr>
        <w:t>Spotify’s total revenue</w:t>
      </w:r>
      <w:r w:rsidRPr="00D4193C">
        <w:t xml:space="preserve"> from </w:t>
      </w:r>
      <w:r w:rsidRPr="00BF4379">
        <w:rPr>
          <w:b/>
          <w:bCs/>
        </w:rPr>
        <w:t>2019</w:t>
      </w:r>
      <w:r w:rsidRPr="00D4193C">
        <w:t xml:space="preserve"> to </w:t>
      </w:r>
      <w:r w:rsidRPr="00BF4379">
        <w:rPr>
          <w:b/>
          <w:bCs/>
        </w:rPr>
        <w:t>2024</w:t>
      </w:r>
      <w:r w:rsidRPr="00D4193C">
        <w:t xml:space="preserve">, </w:t>
      </w:r>
      <w:r w:rsidR="00BF4379" w:rsidRPr="00D4193C">
        <w:t>combining</w:t>
      </w:r>
      <w:r w:rsidRPr="00D4193C">
        <w:t xml:space="preserve"> earnings from both </w:t>
      </w:r>
      <w:r w:rsidRPr="00BF4379">
        <w:rPr>
          <w:b/>
          <w:bCs/>
        </w:rPr>
        <w:t>ad-supported</w:t>
      </w:r>
      <w:r w:rsidRPr="00D4193C">
        <w:t xml:space="preserve"> and </w:t>
      </w:r>
      <w:r w:rsidRPr="00BF4379">
        <w:rPr>
          <w:b/>
          <w:bCs/>
        </w:rPr>
        <w:t xml:space="preserve">premium </w:t>
      </w:r>
      <w:r w:rsidR="00BF4379" w:rsidRPr="00BF4379">
        <w:rPr>
          <w:b/>
          <w:bCs/>
        </w:rPr>
        <w:t>subscribers</w:t>
      </w:r>
      <w:r w:rsidRPr="00D4193C">
        <w:t xml:space="preserve">. The data highlights an upward revenue trend, with figures rising from </w:t>
      </w:r>
      <w:r w:rsidRPr="00CB30A5">
        <w:rPr>
          <w:b/>
          <w:bCs/>
        </w:rPr>
        <w:t>€6,759M</w:t>
      </w:r>
      <w:r w:rsidRPr="00D4193C">
        <w:t xml:space="preserve"> in </w:t>
      </w:r>
      <w:r w:rsidRPr="00CB30A5">
        <w:rPr>
          <w:b/>
          <w:bCs/>
        </w:rPr>
        <w:t>2019</w:t>
      </w:r>
      <w:r w:rsidRPr="00D4193C">
        <w:t xml:space="preserve"> to </w:t>
      </w:r>
      <w:r w:rsidRPr="00CB30A5">
        <w:rPr>
          <w:b/>
          <w:bCs/>
        </w:rPr>
        <w:t>€7,880M</w:t>
      </w:r>
      <w:r w:rsidRPr="00D4193C">
        <w:t xml:space="preserve"> in </w:t>
      </w:r>
      <w:r w:rsidRPr="00CB30A5">
        <w:rPr>
          <w:b/>
          <w:bCs/>
        </w:rPr>
        <w:t>2020</w:t>
      </w:r>
      <w:r w:rsidRPr="00D4193C">
        <w:t xml:space="preserve">. A significant increase was recorded in </w:t>
      </w:r>
      <w:r w:rsidRPr="00CB30A5">
        <w:rPr>
          <w:b/>
          <w:bCs/>
        </w:rPr>
        <w:t>2021</w:t>
      </w:r>
      <w:r w:rsidRPr="00D4193C">
        <w:t xml:space="preserve"> </w:t>
      </w:r>
      <w:r w:rsidRPr="00CB30A5">
        <w:rPr>
          <w:b/>
          <w:bCs/>
        </w:rPr>
        <w:t>(€9,670M)</w:t>
      </w:r>
      <w:r w:rsidRPr="00D4193C">
        <w:t xml:space="preserve">, followed by </w:t>
      </w:r>
      <w:r w:rsidRPr="00CB30A5">
        <w:rPr>
          <w:b/>
          <w:bCs/>
        </w:rPr>
        <w:t>€11,730M</w:t>
      </w:r>
      <w:r w:rsidRPr="00D4193C">
        <w:t xml:space="preserve"> in </w:t>
      </w:r>
      <w:r w:rsidRPr="00CB30A5">
        <w:rPr>
          <w:b/>
          <w:bCs/>
        </w:rPr>
        <w:t>2022</w:t>
      </w:r>
      <w:r w:rsidRPr="00D4193C">
        <w:t xml:space="preserve"> and </w:t>
      </w:r>
      <w:r w:rsidRPr="00CB30A5">
        <w:rPr>
          <w:b/>
          <w:bCs/>
        </w:rPr>
        <w:t>€13,250M</w:t>
      </w:r>
      <w:r w:rsidRPr="00D4193C">
        <w:t xml:space="preserve"> in </w:t>
      </w:r>
      <w:r w:rsidRPr="00CB30A5">
        <w:rPr>
          <w:b/>
          <w:bCs/>
        </w:rPr>
        <w:t>2023</w:t>
      </w:r>
      <w:r w:rsidRPr="00D4193C">
        <w:t xml:space="preserve">. The highest revenue, </w:t>
      </w:r>
      <w:r w:rsidRPr="00CB30A5">
        <w:rPr>
          <w:b/>
          <w:bCs/>
        </w:rPr>
        <w:t>€15,670M</w:t>
      </w:r>
      <w:r w:rsidRPr="00D4193C">
        <w:t xml:space="preserve">, was achieved in </w:t>
      </w:r>
      <w:r w:rsidRPr="00CB30A5">
        <w:rPr>
          <w:b/>
          <w:bCs/>
        </w:rPr>
        <w:t>2024</w:t>
      </w:r>
      <w:r w:rsidRPr="00D4193C">
        <w:t xml:space="preserve">. The color-coded sections help differentiate each year’s revenue, making </w:t>
      </w:r>
      <w:r w:rsidR="008A753F" w:rsidRPr="00D4193C">
        <w:t>financial</w:t>
      </w:r>
      <w:r w:rsidRPr="00D4193C">
        <w:t xml:space="preserve"> growth easily visible.</w:t>
      </w:r>
    </w:p>
    <w:p w14:paraId="342B93C2" w14:textId="4BD293E8" w:rsidR="00CE2A22" w:rsidRDefault="00CE2A22" w:rsidP="00CE2A22">
      <w:pPr>
        <w:jc w:val="both"/>
      </w:pPr>
      <w:r w:rsidRPr="00440B55">
        <w:rPr>
          <w:highlight w:val="yellow"/>
        </w:rPr>
        <w:t>Key statement:</w:t>
      </w:r>
    </w:p>
    <w:p w14:paraId="49B4A7FF" w14:textId="4B53D1FC" w:rsidR="006F2859" w:rsidRDefault="007304AA" w:rsidP="006F2859">
      <w:pPr>
        <w:jc w:val="both"/>
      </w:pPr>
      <w:r w:rsidRPr="007304AA">
        <w:t>The steady increase in total revenue underscores Spotify’s balanced approach between free and premium users. The consistent rise indicates a successful strategy in expanding its user base while strengthening its revenue streams.</w:t>
      </w:r>
    </w:p>
    <w:p w14:paraId="0E2A0BA6" w14:textId="76EE0E77" w:rsidR="007304AA" w:rsidRDefault="00D35922" w:rsidP="006F2859">
      <w:pPr>
        <w:jc w:val="both"/>
      </w:pPr>
      <w:r w:rsidRPr="00D35922">
        <w:rPr>
          <w:highlight w:val="yellow"/>
        </w:rPr>
        <w:t>Additional input:</w:t>
      </w:r>
    </w:p>
    <w:p w14:paraId="190EB707" w14:textId="3B57C63D" w:rsidR="00D35922" w:rsidRPr="008159DC" w:rsidRDefault="00D35922" w:rsidP="006F2859">
      <w:pPr>
        <w:jc w:val="both"/>
      </w:pPr>
      <w:r w:rsidRPr="008159DC">
        <w:t xml:space="preserve">A possible reason for the sharp rise in revenue between 2020 and 2021 could be the </w:t>
      </w:r>
      <w:r w:rsidRPr="008159DC">
        <w:rPr>
          <w:b/>
          <w:bCs/>
        </w:rPr>
        <w:t>COVID-19 pandemic</w:t>
      </w:r>
      <w:r w:rsidRPr="008159DC">
        <w:t>. During the lockdown periods, people</w:t>
      </w:r>
      <w:r w:rsidRPr="008159DC">
        <w:t xml:space="preserve"> from all over the </w:t>
      </w:r>
      <w:r w:rsidR="00B92E6F" w:rsidRPr="008159DC">
        <w:t>world</w:t>
      </w:r>
      <w:r w:rsidRPr="008159DC">
        <w:t xml:space="preserve"> turned to music streaming platforms </w:t>
      </w:r>
      <w:r w:rsidR="00B92E6F" w:rsidRPr="008159DC">
        <w:t>to</w:t>
      </w:r>
      <w:r w:rsidRPr="008159DC">
        <w:t xml:space="preserve"> cope with </w:t>
      </w:r>
      <w:r w:rsidRPr="008159DC">
        <w:rPr>
          <w:b/>
          <w:bCs/>
        </w:rPr>
        <w:t>isolation</w:t>
      </w:r>
      <w:r w:rsidRPr="008159DC">
        <w:t xml:space="preserve"> and </w:t>
      </w:r>
      <w:r w:rsidRPr="008159DC">
        <w:rPr>
          <w:b/>
          <w:bCs/>
        </w:rPr>
        <w:t>boredom</w:t>
      </w:r>
      <w:r w:rsidRPr="008159DC">
        <w:t>, leading to an increase in both free and premium users.</w:t>
      </w:r>
    </w:p>
    <w:p w14:paraId="5D2BD23C" w14:textId="77777777" w:rsidR="00653D3F" w:rsidRDefault="00653D3F" w:rsidP="006F2859">
      <w:pPr>
        <w:jc w:val="both"/>
      </w:pPr>
    </w:p>
    <w:p w14:paraId="770CFB36" w14:textId="77777777" w:rsidR="00D35922" w:rsidRDefault="00D35922" w:rsidP="006F2859">
      <w:pPr>
        <w:jc w:val="both"/>
      </w:pPr>
    </w:p>
    <w:p w14:paraId="68FCFFAE" w14:textId="77777777" w:rsidR="006F2859" w:rsidRPr="00000BC2" w:rsidRDefault="006F2859" w:rsidP="006F2859">
      <w:pPr>
        <w:jc w:val="both"/>
      </w:pPr>
    </w:p>
    <w:sectPr w:rsidR="006F2859" w:rsidRPr="00000B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C2"/>
    <w:rsid w:val="00000BC2"/>
    <w:rsid w:val="001804B2"/>
    <w:rsid w:val="00385BDC"/>
    <w:rsid w:val="00653D3F"/>
    <w:rsid w:val="006F2859"/>
    <w:rsid w:val="007304AA"/>
    <w:rsid w:val="008159DC"/>
    <w:rsid w:val="008A753F"/>
    <w:rsid w:val="00A54FFA"/>
    <w:rsid w:val="00AB517A"/>
    <w:rsid w:val="00B92E6F"/>
    <w:rsid w:val="00BF4379"/>
    <w:rsid w:val="00CB30A5"/>
    <w:rsid w:val="00CE2A22"/>
    <w:rsid w:val="00D35922"/>
    <w:rsid w:val="00D4193C"/>
    <w:rsid w:val="00DE1523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6268B"/>
  <w15:chartTrackingRefBased/>
  <w15:docId w15:val="{ABC36968-9E17-417B-BC8F-DA217F83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C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C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C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C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C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C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C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0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C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0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C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0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981</Characters>
  <Application>Microsoft Office Word</Application>
  <DocSecurity>0</DocSecurity>
  <Lines>23</Lines>
  <Paragraphs>9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Tehrani</dc:creator>
  <cp:keywords/>
  <dc:description/>
  <cp:lastModifiedBy>Anahita Tehrani</cp:lastModifiedBy>
  <cp:revision>12</cp:revision>
  <dcterms:created xsi:type="dcterms:W3CDTF">2025-03-23T19:52:00Z</dcterms:created>
  <dcterms:modified xsi:type="dcterms:W3CDTF">2025-03-24T13:06:00Z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e872ca1b-0a00-466f-bea3-62fcd4bb5475</vt:lpwstr>
  </property>
</Properties>
</file>