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b57"/>
          <w:sz w:val="56"/>
          <w:szCs w:val="56"/>
        </w:rPr>
        <w:t xml:space="preserve">Name of Product Documentation Flow &amp; PIC Matrix</w:t>
      </w:r>
    </w:p>
    <w:p>
      <w:pPr>
        <w:pBdr>
          <w:bottom w:val="single" w:color="3e92cc" w:sz="10" w:space="10"/>
        </w:pBdr>
        <w:spacing w:after="500"/>
        <w:jc w:val="center"/>
      </w:pPr>
      <w:r>
        <w:rPr>
          <w:rFonts w:ascii="Calibri" w:cs="Calibri" w:eastAsia="Calibri" w:hAnsi="Calibri"/>
          <w:i/>
          <w:iCs/>
          <w:color w:val="2f6690"/>
          <w:sz w:val="24"/>
          <w:szCs w:val="24"/>
        </w:rPr>
        <w:t xml:space="preserve">Creates, checks, and approves each part of the Product Documentation master file</w:t>
      </w:r>
    </w:p>
    <w:tbl>
      <w:tblPr>
        <w:tblW w:type="dxa" w:w="7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Name of Application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Nimbus Expense Tracker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SaaS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Rangga Prasetyo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Product Lead/Manager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Dewi Anggraini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Writer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Rangga Prasetyo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Checker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hyperlink w:history="1" r:id="rIdnymtl6dxybvmcyifzq8_3">
              <w:r>
                <w:rPr>
                  <w:rFonts w:ascii="Calibri" w:cs="Calibri" w:eastAsia="Calibri" w:hAnsi="Calibri"/>
                  <w:color w:val="0000ee"/>
                  <w:sz w:val="20"/>
                  <w:szCs w:val="20"/>
                  <w:u w:val="single"/>
                </w:rPr>
                <w:t xml:space="preserve">Atya Salma</w:t>
              </w:r>
            </w:hyperlink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Approver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hyperlink w:history="1" r:id="rIdvbe9fxw-ypnd_fgsusxn2">
              <w:r>
                <w:rPr>
                  <w:rFonts w:ascii="Calibri" w:cs="Calibri" w:eastAsia="Calibri" w:hAnsi="Calibri"/>
                  <w:color w:val="0000ee"/>
                  <w:sz w:val="20"/>
                  <w:szCs w:val="20"/>
                  <w:u w:val="single"/>
                </w:rPr>
                <w:t xml:space="preserve">Muhammad Iqbal</w:t>
              </w:r>
            </w:hyperlink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2026-08-31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Latest History</w:t>
            </w:r>
          </w:p>
        </w:tc>
        <w:tc>
          <w:tcPr>
            <w:tcW w:type="dxa" w:w="4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Updated onboarding flow documentation, Aug 31, 2026</w:t>
            </w:r>
          </w:p>
        </w:tc>
      </w:tr>
    </w:tbl>
    <w:p>
      <w:pPr>
        <w:spacing w:before="300"/>
      </w:pPr>
    </w:p>
    <w:p>
      <w:pPr>
        <w:pBdr>
          <w:bottom w:val="single" w:color="3e92cc" w:sz="6" w:space="4"/>
        </w:pBdr>
        <w:spacing w:after="200" w:before="200"/>
      </w:pPr>
    </w:p>
    <w:p/>
    <w:p>
      <w:pPr>
        <w:pStyle w:val="Heading1"/>
        <w:pBdr>
          <w:bottom w:val="single" w:color="3e92cc" w:sz="6" w:space="4"/>
        </w:pBdr>
        <w:spacing w:after="200" w:before="400"/>
      </w:pPr>
      <w:r>
        <w:rPr>
          <w:rFonts w:ascii="Calibri" w:cs="Calibri" w:eastAsia="Calibri" w:hAnsi="Calibri"/>
          <w:b w:val="false"/>
          <w:bCs w:val="false"/>
          <w:color w:val="2e74b5"/>
          <w:sz w:val="30"/>
          <w:szCs w:val="30"/>
        </w:rPr>
        <w:t xml:space="preserve">1. Team</w:t>
      </w:r>
    </w:p>
    <w:tbl>
      <w:tblPr>
        <w:tblW w:type="dxa" w:w="952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37"/>
        <w:gridCol w:w="2044"/>
        <w:gridCol w:w="1237"/>
        <w:gridCol w:w="5007"/>
      </w:tblGrid>
      <w:tr>
        <w:trPr>
          <w:tblHeader/>
        </w:trPr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 in this process</w:t>
            </w:r>
          </w:p>
        </w:tc>
      </w:tr>
      <w:tr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PM &amp; Dev Manager</w:t>
            </w:r>
          </w:p>
        </w:tc>
        <w:tc>
          <w:tcPr>
            <w:tcW w:type="dxa" w:w="2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hyperlink w:history="1" r:id="rId8z6ez020khgrjvytbqq0b">
              <w:r>
                <w:rPr>
                  <w:rFonts w:ascii="Calibri" w:cs="Calibri" w:eastAsia="Calibri" w:hAnsi="Calibri"/>
                  <w:color w:val="0000ee"/>
                  <w:sz w:val="20"/>
                  <w:szCs w:val="20"/>
                  <w:u w:val="single"/>
                </w:rPr>
                <w:t xml:space="preserve">Dewi Anggraini</w:t>
              </w:r>
            </w:hyperlink>
          </w:p>
        </w:tc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Approver</w:t>
            </w:r>
          </w:p>
        </w:tc>
        <w:tc>
          <w:tcPr>
            <w:tcW w:type="dxa" w:w="50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individual is responsible for </w:t>
            </w:r>
            <w:r>
              <w:rPr>
                <w:rFonts w:ascii="Calibri" w:cs="Calibri" w:eastAsia="Calibri" w:hAnsi="Calibri"/>
                <w:b/>
                <w:bCs/>
                <w:color w:val="0000ff"/>
                <w:sz w:val="20"/>
                <w:szCs w:val="20"/>
              </w:rPr>
              <w:t xml:space="preserve">final authorisation or approval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product-related tasks or documents.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Conduct a final review to ensure compliance with all relevant company policies and organisational standards.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Authorised to approve or reject the task or document based on the review.</w:t>
            </w:r>
          </w:p>
        </w:tc>
      </w:tr>
      <w:tr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hyperlink w:history="1" r:id="rIdx8eca03mk5rlqjklnuuos">
              <w:r>
                <w:rPr>
                  <w:rFonts w:ascii="Calibri" w:cs="Calibri" w:eastAsia="Calibri" w:hAnsi="Calibri"/>
                  <w:color w:val="0000ee"/>
                  <w:sz w:val="20"/>
                  <w:szCs w:val="20"/>
                  <w:u w:val="single"/>
                </w:rPr>
                <w:t xml:space="preserve">Atya Salma</w:t>
              </w:r>
            </w:hyperlink>
          </w:p>
        </w:tc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Checker</w:t>
            </w:r>
          </w:p>
        </w:tc>
        <w:tc>
          <w:tcPr>
            <w:tcW w:type="dxa" w:w="50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Responsible for </w:t>
            </w:r>
            <w:r>
              <w:rPr>
                <w:rFonts w:ascii="Calibri" w:cs="Calibri" w:eastAsia="Calibri" w:hAnsi="Calibri"/>
                <w:b/>
                <w:bCs/>
                <w:color w:val="0000ff"/>
                <w:sz w:val="20"/>
                <w:szCs w:val="20"/>
              </w:rPr>
              <w:t xml:space="preserve">reviewing and verifying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accuracy and completeness of product-related tasks or documents.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the task or document for correctness, completeness, and adherence to the company policies and procedures.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that all required documentation and information are included.</w:t>
            </w:r>
          </w:p>
        </w:tc>
      </w:tr>
      <w:tr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hyperlink w:history="1" r:id="rId93cocpu-yyh5jkl6jgwup">
              <w:r>
                <w:rPr>
                  <w:rFonts w:ascii="Calibri" w:cs="Calibri" w:eastAsia="Calibri" w:hAnsi="Calibri"/>
                  <w:color w:val="0000ee"/>
                  <w:sz w:val="20"/>
                  <w:szCs w:val="20"/>
                  <w:u w:val="single"/>
                </w:rPr>
                <w:t xml:space="preserve">Rangga Prasetyo</w:t>
              </w:r>
            </w:hyperlink>
          </w:p>
          <w:p>
            <w:hyperlink w:history="1" r:id="rIdibpk2bvxjwsza7l5gqppy">
              <w:r>
                <w:rPr>
                  <w:rFonts w:ascii="Calibri" w:cs="Calibri" w:eastAsia="Calibri" w:hAnsi="Calibri"/>
                  <w:color w:val="0000ee"/>
                  <w:sz w:val="20"/>
                  <w:szCs w:val="20"/>
                  <w:u w:val="single"/>
                </w:rPr>
                <w:t xml:space="preserve">Nabila Putri</w:t>
              </w:r>
            </w:hyperlink>
          </w:p>
        </w:tc>
        <w:tc>
          <w:tcPr>
            <w:tcW w:type="dxa" w:w="12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Maker</w:t>
            </w:r>
          </w:p>
        </w:tc>
        <w:tc>
          <w:tcPr>
            <w:tcW w:type="dxa" w:w="50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4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individual is responsible for </w:t>
            </w:r>
            <w:r>
              <w:rPr>
                <w:rFonts w:ascii="Calibri" w:cs="Calibri" w:eastAsia="Calibri" w:hAnsi="Calibri"/>
                <w:b/>
                <w:bCs/>
                <w:color w:val="0000ff"/>
                <w:sz w:val="20"/>
                <w:szCs w:val="20"/>
              </w:rPr>
              <w:t xml:space="preserve">initiating or creating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product-related tasks or documents.</w:t>
            </w:r>
          </w:p>
          <w:p>
            <w:pPr>
              <w:pStyle w:val="ListParagraph"/>
              <w:numPr>
                <w:ilvl w:val="1"/>
                <w:numId w:val="4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Prepare and initiate administrative tasks or documents in accordance with the company policies.</w:t>
            </w:r>
          </w:p>
          <w:p>
            <w:pPr>
              <w:pStyle w:val="ListParagraph"/>
              <w:numPr>
                <w:ilvl w:val="1"/>
                <w:numId w:val="4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all information is complete and accurate before submission.</w:t>
            </w:r>
          </w:p>
          <w:p>
            <w:pPr>
              <w:pStyle w:val="ListParagraph"/>
              <w:numPr>
                <w:ilvl w:val="1"/>
                <w:numId w:val="4"/>
              </w:numPr>
              <w:spacing w:after="160" w:line="276" w:lineRule="auto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Maker is responsible for completing the document with all the approvers.</w:t>
            </w:r>
          </w:p>
        </w:tc>
      </w:tr>
    </w:tbl>
    <w:p>
      <w:pPr>
        <w:spacing w:before="300"/>
      </w:pPr>
    </w:p>
    <w:p>
      <w:pPr>
        <w:pBdr>
          <w:bottom w:val="single" w:color="3e92cc" w:sz="6" w:space="4"/>
        </w:pBdr>
        <w:spacing w:after="200" w:before="200"/>
      </w:pPr>
    </w:p>
    <w:p/>
    <w:p>
      <w:pPr>
        <w:pStyle w:val="Heading1"/>
        <w:pBdr>
          <w:bottom w:val="single" w:color="3e92cc" w:sz="6" w:space="4"/>
        </w:pBdr>
        <w:spacing w:after="200" w:before="400"/>
      </w:pPr>
      <w:r>
        <w:rPr>
          <w:rFonts w:ascii="Calibri" w:cs="Calibri" w:eastAsia="Calibri" w:hAnsi="Calibri"/>
          <w:b w:val="false"/>
          <w:bCs w:val="false"/>
          <w:color w:val="2e74b5"/>
          <w:sz w:val="30"/>
          <w:szCs w:val="30"/>
        </w:rPr>
        <w:t xml:space="preserve">2. PIC Matrix — Who Does What, Per Document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55"/>
        <w:gridCol w:w="2134"/>
        <w:gridCol w:w="2134"/>
        <w:gridCol w:w="2137"/>
      </w:tblGrid>
      <w:tr>
        <w:trPr>
          <w:tblHeader/>
        </w:trP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of Document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Maker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Checker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Style Guide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Brief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BRD (incl. Business Process &amp; Use Cases)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PRD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Software Requirements Specification (SRS)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Technical Documentation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UI/UX Documentation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UAT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Manual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Changelog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 &amp; 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Glossary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 &amp; 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  <w:tr>
        <w:tc>
          <w:tcPr>
            <w:tcW w:type="dxa" w:w="29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Appendices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 &amp; Application Engineer</w:t>
            </w:r>
          </w:p>
        </w:tc>
        <w:tc>
          <w:tcPr>
            <w:tcW w:type="dxa" w:w="21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Lead</w:t>
            </w:r>
          </w:p>
        </w:tc>
        <w:tc>
          <w:tcPr>
            <w:tcW w:type="dxa" w:w="21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&amp; Dev Manager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e92cc" w:sz="6" w:space="4"/>
        </w:pBdr>
        <w:spacing w:after="200" w:before="400"/>
      </w:pPr>
      <w:r>
        <w:rPr>
          <w:rFonts w:ascii="Calibri" w:cs="Calibri" w:eastAsia="Calibri" w:hAnsi="Calibri"/>
          <w:b w:val="false"/>
          <w:bCs w:val="false"/>
          <w:color w:val="2e74b5"/>
          <w:sz w:val="30"/>
          <w:szCs w:val="30"/>
        </w:rPr>
        <w:t xml:space="preserve">3. Where and How to Store the Documentation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82"/>
        <w:gridCol w:w="7078"/>
      </w:tblGrid>
      <w:tr>
        <w:trPr>
          <w:tblHeader/>
        </w:trPr>
        <w:tc>
          <w:tcPr>
            <w:tcW w:type="dxa" w:w="22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7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b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/ Process</w:t>
            </w:r>
          </w:p>
        </w:tc>
      </w:tr>
      <w:tr>
        <w:tc>
          <w:tcPr>
            <w:tcW w:type="dxa" w:w="22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Shared Drive</w:t>
            </w:r>
          </w:p>
        </w:tc>
        <w:tc>
          <w:tcPr>
            <w:tcW w:type="dxa" w:w="707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Store all documentation in the Product Management and Development Team shared drive.</w:t>
            </w:r>
          </w:p>
        </w:tc>
      </w:tr>
      <w:tr>
        <w:tc>
          <w:tcPr>
            <w:tcW w:type="dxa" w:w="22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Folder Path</w:t>
            </w:r>
          </w:p>
        </w:tc>
        <w:tc>
          <w:tcPr>
            <w:tcW w:type="dxa" w:w="707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Product Management and Development Team → Product List → [App Name] → Documentation</w:t>
            </w:r>
          </w:p>
        </w:tc>
      </w:tr>
      <w:tr>
        <w:tc>
          <w:tcPr>
            <w:tcW w:type="dxa" w:w="22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707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Save all project-related documents inside the Documentation folder of the corresponding application.</w:t>
            </w:r>
          </w:p>
        </w:tc>
      </w:tr>
      <w:tr>
        <w:tc>
          <w:tcPr>
            <w:tcW w:type="dxa" w:w="22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Document Naming Convention</w:t>
            </w:r>
          </w:p>
        </w:tc>
        <w:tc>
          <w:tcPr>
            <w:tcW w:type="dxa" w:w="707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Name every document using the following format: (Product Name) - (Document Name)</w:t>
            </w:r>
          </w:p>
        </w:tc>
      </w:tr>
      <w:tr>
        <w:tc>
          <w:tcPr>
            <w:tcW w:type="dxa" w:w="22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Example File Names</w:t>
            </w:r>
          </w:p>
        </w:tc>
        <w:tc>
          <w:tcPr>
            <w:tcW w:type="dxa" w:w="707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df2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Inventory System - Product Requirements Document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Inventory System - API Documentation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Inventory System - User Guide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Inventory System - Release Notes</w:t>
            </w:r>
          </w:p>
        </w:tc>
      </w:tr>
      <w:tr>
        <w:tc>
          <w:tcPr>
            <w:tcW w:type="dxa" w:w="22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20"/>
                <w:szCs w:val="20"/>
              </w:rPr>
              <w:t xml:space="preserve">Purpose</w:t>
            </w:r>
          </w:p>
        </w:tc>
        <w:tc>
          <w:tcPr>
            <w:tcW w:type="dxa" w:w="707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Following this structure ensures that documents are easy to locate, consistently organised, and searchable across the board.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PointStar 	 </w:t>
    </w:r>
    <w:r>
      <w:rPr>
        <w:rFonts w:ascii="Calibri" w:cs="Calibri" w:eastAsia="Calibri" w:hAnsi="Calibri"/>
        <w:color w:val="6b7280"/>
        <w:sz w:val="16"/>
        <w:szCs w:val="16"/>
      </w:rPr>
      <w:t xml:space="preserve">Product Team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1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Nimbus Expense Tracker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Documentation SOP|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righ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righ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righ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righ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  <w:jc w:val="center"/>
    </w:pPr>
    <w:rPr>
      <w:rFonts w:ascii="Calibri" w:cs="Calibri" w:eastAsia="Calibri" w:hAnsi="Calibri"/>
      <w:b/>
      <w:bCs/>
      <w:color w:val="1f3b5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ymtl6dxybvmcyifzq8_3" Type="http://schemas.openxmlformats.org/officeDocument/2006/relationships/hyperlink" Target="mailto:atya.salma@point-star.com" TargetMode="External"/><Relationship Id="rIdvbe9fxw-ypnd_fgsusxn2" Type="http://schemas.openxmlformats.org/officeDocument/2006/relationships/hyperlink" Target="mailto:iqbal@point-star.com" TargetMode="External"/><Relationship Id="rId8z6ez020khgrjvytbqq0b" Type="http://schemas.openxmlformats.org/officeDocument/2006/relationships/hyperlink" Target="mailto:dewi@point-star.com" TargetMode="External"/><Relationship Id="rIdx8eca03mk5rlqjklnuuos" Type="http://schemas.openxmlformats.org/officeDocument/2006/relationships/hyperlink" Target="mailto:atya.salma@point-star.com" TargetMode="External"/><Relationship Id="rId93cocpu-yyh5jkl6jgwup" Type="http://schemas.openxmlformats.org/officeDocument/2006/relationships/hyperlink" Target="mailto:rangga@point-star.com" TargetMode="External"/><Relationship Id="rIdibpk2bvxjwsza7l5gqppy" Type="http://schemas.openxmlformats.org/officeDocument/2006/relationships/hyperlink" Target="mailto:nabila@point-star.co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2026-08-31T06:35:24.346Z</dcterms:created>
  <dcterms:modified xsi:type="dcterms:W3CDTF">2026-08-31T06:35:24.346Z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