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Business Requirements Document (BRD)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440" w:bottom="1440" w:left="1440" w:header="720" w:footer="720" w:gutter="0"/>
          <w:pgNumType/>
          <w:titlePg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Business Requirements Document (BRD)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6960"/>
      </w:tblGrid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Writer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(Phase )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Last Update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20, 2026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 Purpose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State why this document exists and who should read it. This BRD translates the Project Brief's goals (Part 2) into concrete, verifiable business requirements that Sales/Marketing/Ops and Development agree on, before detailed technical design in the SRS (Part 5).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[One-paragraph purpose statement.]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Business Objectives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Restate objectives from the Project Brief, tied to a business metric where possible (reduce X by Y%, cut process time from A to B).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[e.g. Reduce average process time from X to Y]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[e.g. Achieve Z% adoption by month N post-launch]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 Scope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In scope: [business processes affected]. Out of scope: [processes explicitly excluded].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 Project Roles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One row per person/role named there; explain each responsibility in the project.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[Name]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[Role]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[Responsibility]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 Business Requirements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Numbered from the business's point of view ('the system shall allow...'), each is traceable to an objective above. Use a consistent ID scheme (BR-001, BR-002, ...) — these are referenced later from the SRS (as FR-xxx) and the Test Plan (as TC-xxx).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456"/>
        <w:gridCol w:w="4160"/>
        <w:gridCol w:w="2080"/>
        <w:gridCol w:w="1664"/>
      </w:tblGrid>
      <w:tr>
        <w:trPr>
          <w:tblHeader/>
        </w:trPr>
        <w:tc>
          <w:tcPr>
            <w:tcW w:type="dxa" w:w="145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16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8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Related Objective</w:t>
            </w:r>
          </w:p>
        </w:tc>
        <w:tc>
          <w:tcPr>
            <w:tcW w:type="dxa" w:w="166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BR-001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[The system shall...]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Objective 1</w:t>
            </w:r>
          </w:p>
        </w:tc>
        <w:tc>
          <w:tcPr>
            <w:tcW w:type="dxa" w:w="16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Must-have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6. Business Process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Describes how work actually flows across roles and systems, end to end, to fulfil the requirements above — often spanning several use cases from Section 7 below. Especially useful for spotting handoff problems (a step no one owns, a bottleneck, a manual workaround).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6.1 Process Overview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[Name the process; describe its goal, trigger, and outcome in a short paragraph.]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6.2 Scope &amp; Boundaries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[State exactly where this process starts and stops, since business processes often connect to other processes.]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6.3 Roles &amp; Responsibilities (RACI)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List the business roles, departments, or systems involved in the process—not individual names. Use functional titles (e.g., Customer, Sales Representative, Finance Officer, System Administrator, ERP System). Each role should represent a participant who performs, approves, supports, or is informed about one or more process steps.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829"/>
        <w:gridCol w:w="2176"/>
        <w:gridCol w:w="2176"/>
        <w:gridCol w:w="2179"/>
      </w:tblGrid>
      <w:tr>
        <w:trPr>
          <w:tblHeader/>
        </w:trPr>
        <w:tc>
          <w:tcPr>
            <w:tcW w:type="dxa" w:w="2829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17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[Role A]</w:t>
            </w:r>
          </w:p>
        </w:tc>
        <w:tc>
          <w:tcPr>
            <w:tcW w:type="dxa" w:w="217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[Role B]</w:t>
            </w:r>
          </w:p>
        </w:tc>
        <w:tc>
          <w:tcPr>
            <w:tcW w:type="dxa" w:w="2179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[Role C]</w:t>
            </w:r>
          </w:p>
        </w:tc>
      </w:tr>
      <w:tr>
        <w:tc>
          <w:tcPr>
            <w:tcW w:type="dxa" w:w="28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[Step 1]</w:t>
            </w:r>
          </w:p>
        </w:tc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R/A</w:t>
            </w:r>
          </w:p>
        </w:tc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W w:type="dxa" w:w="21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29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[Step 2]</w:t>
            </w:r>
          </w:p>
        </w:tc>
        <w:tc>
          <w:tcPr>
            <w:tcW w:type="dxa" w:w="217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W w:type="dxa" w:w="217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R/A</w:t>
            </w:r>
          </w:p>
        </w:tc>
        <w:tc>
          <w:tcPr>
            <w:tcW w:type="dxa" w:w="2179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</w:pPr>
      <w:r>
        <w:rPr>
          <w:rFonts w:ascii="Calibri" w:cs="Calibri" w:eastAsia="Calibri" w:hAnsi="Calibri"/>
        </w:rPr>
        <w:t xml:space="preserve">6.4 Process Flow Diagram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 flowchart or swim-lane diagram (one lane per role/system) showing steps, decision points, and handoffs.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[Insert swim-lane diagram here]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6.5 Exceptions &amp; Edge Cases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[What happens when a step is rejected, times out, or has missing information]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 Use Cases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Use cases describe how actors interact with the system to achieve a goal, step by step — they make the requirements in Section 5 and the process in Section 6 concrete, and are the direct source for test scenarios in the Test Plan (Part 11).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7.1 Actors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68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[Actor]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[Description — a human role or another system]</w:t>
            </w:r>
          </w:p>
        </w:tc>
      </w:tr>
    </w:tbl>
    <w:p>
      <w:pPr>
        <w:pStyle w:val="Heading3"/>
      </w:pPr>
      <w:r>
        <w:rPr>
          <w:rFonts w:ascii="Calibri" w:cs="Calibri" w:eastAsia="Calibri" w:hAnsi="Calibri"/>
        </w:rPr>
        <w:t xml:space="preserve">7.2 Use Case Diagram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Insert a UML use case diagram showing actors, use cases, and &lt;&lt;include&gt;&gt;/&lt;&lt;extend&gt;&gt; relationships.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[Insert diagram here]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7.3 Use Case List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248"/>
        <w:gridCol w:w="2704"/>
        <w:gridCol w:w="2080"/>
        <w:gridCol w:w="3328"/>
      </w:tblGrid>
      <w:tr>
        <w:trPr>
          <w:tblHeader/>
        </w:trPr>
        <w:tc>
          <w:tcPr>
            <w:tcW w:type="dxa" w:w="1248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208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3328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UC-01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[Use case name]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[Actor]</w:t>
            </w:r>
          </w:p>
        </w:tc>
        <w:tc>
          <w:tcPr>
            <w:tcW w:type="dxa" w:w="3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[One-line description]</w:t>
            </w:r>
          </w:p>
        </w:tc>
      </w:tr>
    </w:tbl>
    <w:p>
      <w:pPr>
        <w:pStyle w:val="Heading3"/>
      </w:pPr>
      <w:r>
        <w:rPr>
          <w:rFonts w:ascii="Calibri" w:cs="Calibri" w:eastAsia="Calibri" w:hAnsi="Calibri"/>
        </w:rPr>
        <w:t xml:space="preserve">7.4 Detailed Use Case Specifications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Repeat this block for every ID in Section 7.3. Detailed enough that a developer could implement it, and QA could write test cases directly from the flows.</w:t>
      </w:r>
    </w:p>
    <w:p>
      <w:pPr>
        <w:spacing w:after="60" w:before="160" w:line="276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UC-01: [Use Case Name]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Primary Actor: [actor]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Preconditions: [state that must be true before this use case starts]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Postconditions (success): [state after successful completion]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Main Flow: 1. [step] 2. [step] 3. [step]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Alternate Flow (A1): [condition] → [what happens instead]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Exception Flow (E1): [condition] → [error behaviour]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Business Rules: [rule, referencing Section 6.6 above]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Related Requirements: FR-MOD-001 (Part 5)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7.5 Traceability Matrix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24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Requirement(s)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UC-01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FR-MOD-001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8. Assumptions &amp; Dependencies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[Assumption]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[Dependency outside the dev team's control — e.g. another system's API availability, a policy decision, by [date]]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 Risks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The project's one Risk Register lives in the PRD (Part 4, Section 8), which carries Likelihood/Impact/Mitigation for every risk regardless of type. Log business-level risks there directly rather than keeping a second list here; this section exists only to flag, at BRD sign-off time, whether any new business risk needs raising before requirements are approved.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[Business risk to raise before sign-off, if any — otherwise 'None at this stage; see PRD Part 4 §8']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 Approval / Sign-off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Once signed, this BRD becomes the baseline for the SRS (Part 5); changes after sign-off should go through a change-request process.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[name]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[role]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11. Revision History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627"/>
        <w:gridCol w:w="2034"/>
        <w:gridCol w:w="2034"/>
        <w:gridCol w:w="3665"/>
      </w:tblGrid>
      <w:tr>
        <w:trPr>
          <w:tblHeader/>
        </w:trPr>
        <w:tc>
          <w:tcPr>
            <w:tcW w:type="dxa" w:w="1627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3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3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65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6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v0.1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[name]</w:t>
            </w:r>
          </w:p>
        </w:tc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draft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Product Team	</w:t>
    </w:r>
    <w:r>
      <w:rPr>
        <w:rFonts w:ascii="Calibri" w:cs="Calibri" w:eastAsia="Calibri" w:hAnsi="Calibri"/>
        <w:color w:val="6b7280"/>
        <w:sz w:val="16"/>
        <w:szCs w:val="16"/>
      </w:rPr>
      <w:t xml:space="preserve">Internal Only</w:t>
    </w:r>
  </w:p>
  <w:p>
    <w:pPr>
      <w:pBdr>
        <w:top w:val="single" w:color="d0d5dd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Product name/logo	</w:t>
    </w: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BRD</w:t>
    </w:r>
    <w:r>
      <w:rPr>
        <w:rFonts w:ascii="Calibri" w:cs="Calibri" w:eastAsia="Calibri" w:hAnsi="Calibri"/>
        <w:color w:val="6b7280"/>
        <w:sz w:val="16"/>
        <w:szCs w:val="16"/>
      </w:rPr>
      <w:t xml:space="preserve">|</w:t>
    </w:r>
    <w:r>
      <w:rPr>
        <w:rFonts w:ascii="Calibri" w:cs="Calibri" w:eastAsia="Calibri" w:hAnsi="Calibri"/>
        <w:b/>
        <w:bCs/>
        <w:color w:val="99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</w:pPr>
    <w:rPr>
      <w:rFonts w:ascii="Calibri" w:cs="Calibri" w:eastAsia="Calibri" w:hAnsi="Calibri"/>
      <w:b/>
      <w:bCs/>
      <w:color w:val="1f3b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b5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f66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2026-08-31T06:55:48.938Z</dcterms:created>
  <dcterms:modified xsi:type="dcterms:W3CDTF">2026-08-31T06:55:48.938Z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