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</w:rPr>
        <w:t xml:space="preserve">Technical Documentation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2240" w:h="15840" w:orient="portrait"/>
          <w:pgMar w:top="1440" w:right="1440" w:bottom="1440" w:left="1440" w:header="720" w:footer="720" w:gutter="0"/>
          <w:pgNumType/>
          <w:titlePg/>
          <w:docGrid w:linePitch="360"/>
        </w:sectPr>
      </w:pPr>
    </w:p>
    <w:p>
      <w:pPr>
        <w:pStyle w:val="Heading1"/>
      </w:pPr>
      <w:r>
        <w:rPr>
          <w:rFonts w:ascii="Calibri" w:cs="Calibri" w:eastAsia="Calibri" w:hAnsi="Calibri"/>
        </w:rPr>
        <w:t xml:space="preserve">Technical Documentation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0"/>
        <w:gridCol w:w="6960"/>
      </w:tblGrid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Writer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(Phase )</w:t>
            </w:r>
          </w:p>
        </w:tc>
      </w:tr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Last Update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20, 2026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 System Architecture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1.1 Overview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[Summarise the overall architecture style (monolith, microservices, client-server) and the reasoning behind it.]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1.2 Architecture Diagram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[Insert a high-level box-and-arrow diagram showing major components and the direction of data flow between them.]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1.3 Components / Layers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674"/>
        <w:gridCol w:w="6686"/>
      </w:tblGrid>
      <w:tr>
        <w:trPr>
          <w:tblHeader/>
        </w:trPr>
        <w:tc>
          <w:tcPr>
            <w:tcW w:type="dxa" w:w="2674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686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[Frontend]</w:t>
            </w:r>
          </w:p>
        </w:tc>
        <w:tc>
          <w:tcPr>
            <w:tcW w:type="dxa" w:w="66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[UI rendering, client-side routing, form validation]</w:t>
            </w:r>
          </w:p>
        </w:tc>
      </w:tr>
      <w:tr>
        <w:tc>
          <w:tcPr>
            <w:tcW w:type="dxa" w:w="2674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[Backend/API]</w:t>
            </w:r>
          </w:p>
        </w:tc>
        <w:tc>
          <w:tcPr>
            <w:tcW w:type="dxa" w:w="668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[Business logic, authentication, data access]</w:t>
            </w:r>
          </w:p>
        </w:tc>
      </w:tr>
      <w:tr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[Database]</w:t>
            </w:r>
          </w:p>
        </w:tc>
        <w:tc>
          <w:tcPr>
            <w:tcW w:type="dxa" w:w="66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[Persistent data storage]</w:t>
            </w:r>
          </w:p>
        </w:tc>
      </w:tr>
    </w:tbl>
    <w:p>
      <w:pPr>
        <w:spacing w:before="20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1.4 Technology Stack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080"/>
        <w:gridCol w:w="2912"/>
        <w:gridCol w:w="1456"/>
        <w:gridCol w:w="2912"/>
      </w:tblGrid>
      <w:tr>
        <w:trPr>
          <w:tblHeader/>
        </w:trPr>
        <w:tc>
          <w:tcPr>
            <w:tcW w:type="dxa" w:w="208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912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56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912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</w:t>
            </w:r>
          </w:p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[e.g. React, TypeScript]</w:t>
            </w:r>
          </w:p>
        </w:tc>
        <w:tc>
          <w:tcPr>
            <w:tcW w:type="dxa" w:w="1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[ver]</w:t>
            </w:r>
          </w:p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[rationale]</w:t>
            </w:r>
          </w:p>
        </w:tc>
      </w:tr>
      <w:tr>
        <w:tc>
          <w:tcPr>
            <w:tcW w:type="dxa" w:w="208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</w:t>
            </w:r>
          </w:p>
        </w:tc>
        <w:tc>
          <w:tcPr>
            <w:tcW w:type="dxa" w:w="2912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[e.g. Node.js, Go, Java]</w:t>
            </w:r>
          </w:p>
        </w:tc>
        <w:tc>
          <w:tcPr>
            <w:tcW w:type="dxa" w:w="145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[ver]</w:t>
            </w:r>
          </w:p>
        </w:tc>
        <w:tc>
          <w:tcPr>
            <w:tcW w:type="dxa" w:w="2912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[rationale]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</w:t>
            </w:r>
          </w:p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[e.g. PostgreSQL, DynamoDB]</w:t>
            </w:r>
          </w:p>
        </w:tc>
        <w:tc>
          <w:tcPr>
            <w:tcW w:type="dxa" w:w="1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[ver]</w:t>
            </w:r>
          </w:p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[rationale]</w:t>
            </w:r>
          </w:p>
        </w:tc>
      </w:tr>
      <w:tr>
        <w:tc>
          <w:tcPr>
            <w:tcW w:type="dxa" w:w="208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Infrastructure / Hosting</w:t>
            </w:r>
          </w:p>
        </w:tc>
        <w:tc>
          <w:tcPr>
            <w:tcW w:type="dxa" w:w="2912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[e.g. AWS, GCP, Azure]</w:t>
            </w:r>
          </w:p>
        </w:tc>
        <w:tc>
          <w:tcPr>
            <w:tcW w:type="dxa" w:w="145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912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[rationale]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CI/CD</w:t>
            </w:r>
          </w:p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[e.g. GitHub Actions, Jenkins]</w:t>
            </w:r>
          </w:p>
        </w:tc>
        <w:tc>
          <w:tcPr>
            <w:tcW w:type="dxa" w:w="1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[rationale]</w:t>
            </w:r>
          </w:p>
        </w:tc>
      </w:tr>
      <w:tr>
        <w:tc>
          <w:tcPr>
            <w:tcW w:type="dxa" w:w="208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Monitoring &amp; Logging</w:t>
            </w:r>
          </w:p>
        </w:tc>
        <w:tc>
          <w:tcPr>
            <w:tcW w:type="dxa" w:w="2912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[e.g. Datadog, Grafana]</w:t>
            </w:r>
          </w:p>
        </w:tc>
        <w:tc>
          <w:tcPr>
            <w:tcW w:type="dxa" w:w="145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912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[rationale]</w:t>
            </w:r>
          </w:p>
        </w:tc>
      </w:tr>
    </w:tbl>
    <w:p>
      <w:pPr>
        <w:spacing w:before="20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1.5 Codebase Structure</w:t>
      </w: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Repository layout style (monorepo vs separate repos), root-level tree, and naming conventions.</w:t>
      </w:r>
    </w:p>
    <w:p>
      <w:pPr>
        <w:shd w:fill="f5f5f5" w:color="auto" w:val="clear"/>
        <w:spacing w:after="0" w:before="6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project-root/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├── app/              # Frontend application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├── api/              # Backend service</w:t>
      </w:r>
    </w:p>
    <w:p>
      <w:pPr>
        <w:shd w:fill="f5f5f5" w:color="auto" w:val="clear"/>
        <w:spacing w:after="120" w:before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└── docs/             # Project documentation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955"/>
        <w:gridCol w:w="3202"/>
        <w:gridCol w:w="3203"/>
      </w:tblGrid>
      <w:tr>
        <w:trPr>
          <w:tblHeader/>
        </w:trPr>
        <w:tc>
          <w:tcPr>
            <w:tcW w:type="dxa" w:w="2955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202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3203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9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component file</w:t>
            </w:r>
          </w:p>
        </w:tc>
        <w:tc>
          <w:tcPr>
            <w:tcW w:type="dxa" w:w="32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[e.g. PascalCase]</w:t>
            </w:r>
          </w:p>
        </w:tc>
        <w:tc>
          <w:tcPr>
            <w:tcW w:type="dxa" w:w="32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[e.g. LeadCard.jsx]</w:t>
            </w:r>
          </w:p>
        </w:tc>
      </w:tr>
      <w:tr>
        <w:tc>
          <w:tcPr>
            <w:tcW w:type="dxa" w:w="2955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 route file</w:t>
            </w:r>
          </w:p>
        </w:tc>
        <w:tc>
          <w:tcPr>
            <w:tcW w:type="dxa" w:w="3202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[e.g. kebab-case, matches resource]</w:t>
            </w:r>
          </w:p>
        </w:tc>
        <w:tc>
          <w:tcPr>
            <w:tcW w:type="dxa" w:w="3203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[e.g. leads.routes.js]</w:t>
            </w:r>
          </w:p>
        </w:tc>
      </w:tr>
    </w:tbl>
    <w:p>
      <w:pPr>
        <w:spacing w:after="160" w:line="276" w:lineRule="auto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Configuration: [.env holds local secrets, not committed; .env.example documents required variables with no real values].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1.6 Data Flow</w:t>
      </w: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Walk through one or two representative request flows end-to-end, beyond the static component diagram above.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[e.g. When a user submits [action]: Frontend sends [METHOD] [endpoint] → API validates auth + request body → business logic executes → database write → response returned → UI renders success state.]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1.7 Integration Points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96"/>
        <w:gridCol w:w="2912"/>
        <w:gridCol w:w="1872"/>
        <w:gridCol w:w="2080"/>
      </w:tblGrid>
      <w:tr>
        <w:trPr>
          <w:tblHeader/>
        </w:trPr>
        <w:tc>
          <w:tcPr>
            <w:tcW w:type="dxa" w:w="2496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External System</w:t>
            </w:r>
          </w:p>
        </w:tc>
        <w:tc>
          <w:tcPr>
            <w:tcW w:type="dxa" w:w="2912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72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208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Criticality</w:t>
            </w:r>
          </w:p>
        </w:tc>
      </w:tr>
      <w:tr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[Service name]</w:t>
            </w:r>
          </w:p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[Purpose/failure impact]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[Protocol]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[Critical / Non-critical]</w:t>
            </w:r>
          </w:p>
        </w:tc>
      </w:tr>
    </w:tbl>
    <w:p>
      <w:pPr>
        <w:spacing w:before="20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1.8 Scalability &amp; Performance Considerations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Expected load: [current] concurrent users initially; re-evaluate above [threshold]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[Connection pooling / caching notes]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[Known bottlenecks and mitigation plan]</w:t>
      </w:r>
    </w:p>
    <w:p>
      <w:pPr>
        <w:spacing w:before="20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1.9 Deployment Topology</w:t>
      </w: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Where components physically/logically run — complements the step-by-step Deployment Guide (Part 9). Data privacy and security controls are not repeated here — see Section 4 below.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[Insert deployment topology diagram — servers, containers, cloud regions, reverse proxy, etc.]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 Security Requirements</w:t>
      </w: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Specifies the security posture the system must meet — treat every row as a testable requirement, not an aspirational goal. Each should be verifiable during code review, testing, or a security audit.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2.1 Overview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[Scope and purpose; compliance standards targeted (SOC2, ISO 27001, etc.) if any, or state 'None targeted in this phase'.]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2.2 Authentication &amp; Authorization Requirements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2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SEC-AUTH-01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Passwords shall be hashed using bcrypt with a minimum cost factor of 10.</w:t>
            </w:r>
          </w:p>
        </w:tc>
      </w:tr>
      <w:tr>
        <w:tc>
          <w:tcPr>
            <w:tcW w:type="dxa" w:w="234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SEC-AUTH-02</w:t>
            </w:r>
          </w:p>
        </w:tc>
        <w:tc>
          <w:tcPr>
            <w:tcW w:type="dxa" w:w="702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Access tokens shall expire after [1 hour]; refresh tokens after [7 days].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SEC-AUTH-03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Role-based access control shall restrict admin-only endpoints from other roles.</w:t>
            </w:r>
          </w:p>
        </w:tc>
      </w:tr>
    </w:tbl>
    <w:p>
      <w:pPr>
        <w:spacing w:before="20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2.3 Data Protection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2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SEC-DATA-01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traffic shall be served over HTTPS/TLS 1.2+.</w:t>
            </w:r>
          </w:p>
        </w:tc>
      </w:tr>
      <w:tr>
        <w:tc>
          <w:tcPr>
            <w:tcW w:type="dxa" w:w="234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SEC-DATA-02</w:t>
            </w:r>
          </w:p>
        </w:tc>
        <w:tc>
          <w:tcPr>
            <w:tcW w:type="dxa" w:w="702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Credentials shall be stored in environment variables, never committed to source control.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SEC-DATA-03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PII shall not be logged in plaintext in application logs.</w:t>
            </w:r>
          </w:p>
        </w:tc>
      </w:tr>
    </w:tbl>
    <w:p>
      <w:pPr>
        <w:spacing w:before="20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2.4 Input Validation &amp; Sanitisation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2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SEC-INPUT-01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API inputs shall be validated against a schema before reaching business logic.</w:t>
            </w:r>
          </w:p>
        </w:tc>
      </w:tr>
      <w:tr>
        <w:tc>
          <w:tcPr>
            <w:tcW w:type="dxa" w:w="234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SEC-INPUT-02</w:t>
            </w:r>
          </w:p>
        </w:tc>
        <w:tc>
          <w:tcPr>
            <w:tcW w:type="dxa" w:w="702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database queries shall use parameterised queries; string concatenation into SQL is prohibited.</w:t>
            </w:r>
          </w:p>
        </w:tc>
      </w:tr>
    </w:tbl>
    <w:p>
      <w:pPr>
        <w:shd w:fill="f5f5f5" w:color="auto" w:val="clear"/>
        <w:spacing w:after="0" w:before="6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// Good — parameterised</w:t>
      </w:r>
    </w:p>
    <w:p>
      <w:pPr>
        <w:shd w:fill="f5f5f5" w:color="auto" w:val="clear"/>
        <w:spacing w:after="120" w:before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db.query('SELECT * FROM users WHERE email = ?', [email]);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2.5 Session Management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Tokens are stored in memory / httpOnly cookies, not localStorage, to reduce XSS token theft.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Logout invalidates the refresh token server-side.</w:t>
      </w:r>
    </w:p>
    <w:p>
      <w:pPr>
        <w:spacing w:before="20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2.6 Audit Logging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854"/>
        <w:gridCol w:w="5506"/>
      </w:tblGrid>
      <w:tr>
        <w:trPr>
          <w:tblHeader/>
        </w:trPr>
        <w:tc>
          <w:tcPr>
            <w:tcW w:type="dxa" w:w="3854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5506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Logged Fields</w:t>
            </w:r>
          </w:p>
        </w:tc>
      </w:tr>
      <w:tr>
        <w:tc>
          <w:tcPr>
            <w:tcW w:type="dxa" w:w="38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attempt (success/failure)</w:t>
            </w:r>
          </w:p>
        </w:tc>
        <w:tc>
          <w:tcPr>
            <w:tcW w:type="dxa" w:w="5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id/email, timestamp, IP, result</w:t>
            </w:r>
          </w:p>
        </w:tc>
      </w:tr>
      <w:tr>
        <w:tc>
          <w:tcPr>
            <w:tcW w:type="dxa" w:w="3854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export</w:t>
            </w:r>
          </w:p>
        </w:tc>
        <w:tc>
          <w:tcPr>
            <w:tcW w:type="dxa" w:w="550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id, exported entity, timestamp</w:t>
            </w:r>
          </w:p>
        </w:tc>
      </w:tr>
      <w:tr>
        <w:tc>
          <w:tcPr>
            <w:tcW w:type="dxa" w:w="38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Permission-denied access attempt</w:t>
            </w:r>
          </w:p>
        </w:tc>
        <w:tc>
          <w:tcPr>
            <w:tcW w:type="dxa" w:w="5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id, endpoint, timestamp</w:t>
            </w:r>
          </w:p>
        </w:tc>
      </w:tr>
    </w:tbl>
    <w:p>
      <w:pPr>
        <w:spacing w:before="20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2.7 Compliance Requirements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Data retention: [policy — e.g. indefinite while account active; deleted within 30 days of closure request]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[Regulatory scope — e.g. GDPR, HIPAA, PCI-DSS — status/certification date, or 'None in this phase']</w:t>
      </w:r>
    </w:p>
    <w:p>
      <w:pPr>
        <w:spacing w:before="20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2.8 Vulnerability Management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468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Dependency vulnerability scan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release</w:t>
            </w:r>
          </w:p>
        </w:tc>
      </w:tr>
      <w:tr>
        <w:tc>
          <w:tcPr>
            <w:tcW w:type="dxa" w:w="468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penetration test</w:t>
            </w:r>
          </w:p>
        </w:tc>
        <w:tc>
          <w:tcPr>
            <w:tcW w:type="dxa" w:w="468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Annually, or before a major release</w:t>
            </w:r>
          </w:p>
        </w:tc>
      </w:tr>
    </w:tbl>
    <w:p>
      <w:pPr>
        <w:spacing w:before="20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2.9 Security Checklist</w:t>
      </w:r>
    </w:p>
    <w:p>
      <w:pPr>
        <w:spacing w:after="8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☐ </w:t>
      </w:r>
      <w:r>
        <w:rPr>
          <w:rFonts w:ascii="Calibri" w:cs="Calibri" w:eastAsia="Calibri" w:hAnsi="Calibri"/>
          <w:sz w:val="20"/>
          <w:szCs w:val="20"/>
        </w:rPr>
        <w:t xml:space="preserve">No secrets committed to the repository</w:t>
      </w:r>
    </w:p>
    <w:p>
      <w:pPr>
        <w:spacing w:after="8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☐ </w:t>
      </w:r>
      <w:r>
        <w:rPr>
          <w:rFonts w:ascii="Calibri" w:cs="Calibri" w:eastAsia="Calibri" w:hAnsi="Calibri"/>
          <w:sz w:val="20"/>
          <w:szCs w:val="20"/>
        </w:rPr>
        <w:t xml:space="preserve">All endpoints enforce authentication/authorisation as specified</w:t>
      </w:r>
    </w:p>
    <w:p>
      <w:pPr>
        <w:spacing w:after="8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☐ </w:t>
      </w:r>
      <w:r>
        <w:rPr>
          <w:rFonts w:ascii="Calibri" w:cs="Calibri" w:eastAsia="Calibri" w:hAnsi="Calibri"/>
          <w:sz w:val="20"/>
          <w:szCs w:val="20"/>
        </w:rPr>
        <w:t xml:space="preserve">Dependencies scanned with no unresolved high/critical vulnerabilities</w:t>
      </w:r>
    </w:p>
    <w:p>
      <w:pPr>
        <w:spacing w:after="8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☐ </w:t>
      </w:r>
      <w:r>
        <w:rPr>
          <w:rFonts w:ascii="Calibri" w:cs="Calibri" w:eastAsia="Calibri" w:hAnsi="Calibri"/>
          <w:sz w:val="20"/>
          <w:szCs w:val="20"/>
        </w:rPr>
        <w:t xml:space="preserve">HTTPS enforced in production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 Revision History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627"/>
        <w:gridCol w:w="2034"/>
        <w:gridCol w:w="2034"/>
        <w:gridCol w:w="3665"/>
      </w:tblGrid>
      <w:tr>
        <w:trPr>
          <w:tblHeader/>
        </w:trPr>
        <w:tc>
          <w:tcPr>
            <w:tcW w:type="dxa" w:w="1627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34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34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665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6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v0.1</w:t>
            </w:r>
          </w:p>
        </w:tc>
        <w:tc>
          <w:tcPr>
            <w:tcW w:type="dxa" w:w="20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[date]</w:t>
            </w:r>
          </w:p>
        </w:tc>
        <w:tc>
          <w:tcPr>
            <w:tcW w:type="dxa" w:w="20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[name]</w:t>
            </w:r>
          </w:p>
        </w:tc>
        <w:tc>
          <w:tcPr>
            <w:tcW w:type="dxa" w:w="36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Initial draft</w:t>
            </w:r>
          </w:p>
        </w:tc>
      </w:tr>
    </w:tbl>
    <w:p>
      <w:pPr>
        <w:sectPr>
          <w:headerReference w:type="default" r:id="rId11"/>
          <w:footerReference w:type="default" r:id="rId12"/>
          <w:pgSz w:w="12240" w:h="15840" w:orient="portrait"/>
          <w:pgMar w:top="1440" w:right="1440" w:bottom="1440" w:left="1440" w:header="720" w:footer="720" w:gutter="0"/>
          <w:pgNumType/>
          <w:docGrid w:linePitch="360"/>
        </w:sectPr>
      </w:pPr>
    </w:p>
    <w:p>
      <w:pPr>
        <w:pStyle w:val="Heading1"/>
      </w:pPr>
      <w:r>
        <w:rPr>
          <w:rFonts w:ascii="Calibri" w:cs="Calibri" w:eastAsia="Calibri" w:hAnsi="Calibri"/>
        </w:rPr>
        <w:t xml:space="preserve">Data Model (ERD)</w:t>
      </w:r>
    </w:p>
    <w:p>
      <w:pPr>
        <w:sectPr>
          <w:headerReference w:type="default" r:id="rId13"/>
          <w:headerReference w:type="first" r:id="rId14"/>
          <w:footerReference w:type="default" r:id="rId15"/>
          <w:footerReference w:type="first" r:id="rId16"/>
          <w:pgSz w:w="12240" w:h="15840" w:orient="portrait"/>
          <w:pgMar w:top="1440" w:right="1440" w:bottom="1440" w:left="1440" w:header="720" w:footer="720" w:gutter="0"/>
          <w:pgNumType/>
          <w:titlePg/>
          <w:docGrid w:linePitch="360"/>
        </w:sectPr>
      </w:pPr>
    </w:p>
    <w:p>
      <w:pPr>
        <w:pStyle w:val="Heading2"/>
      </w:pPr>
      <w:r>
        <w:rPr>
          <w:rFonts w:ascii="Calibri" w:cs="Calibri" w:eastAsia="Calibri" w:hAnsi="Calibri"/>
        </w:rPr>
        <w:t xml:space="preserve">Data Model (ERD)</w:t>
      </w: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Documents the actual source of truth for what tables exist, what they contain, and how they relate. Keep this in sync with the real database schema — a stale ERD actively misleads.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1. Overview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[What data domain does this ERD cover, and target database engine, e.g. PostgreSQL 16 / MySQL 8?]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2.  Entity List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674"/>
        <w:gridCol w:w="6686"/>
      </w:tblGrid>
      <w:tr>
        <w:trPr>
          <w:tblHeader/>
        </w:trPr>
        <w:tc>
          <w:tcPr>
            <w:tcW w:type="dxa" w:w="2674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686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`[table_name]`</w:t>
            </w:r>
          </w:p>
        </w:tc>
        <w:tc>
          <w:tcPr>
            <w:tcW w:type="dxa" w:w="66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[One-line purpose]</w:t>
            </w:r>
          </w:p>
        </w:tc>
      </w:tr>
    </w:tbl>
    <w:p>
      <w:pPr>
        <w:pStyle w:val="Heading3"/>
      </w:pPr>
      <w:r>
        <w:rPr>
          <w:rFonts w:ascii="Calibri" w:cs="Calibri" w:eastAsia="Calibri" w:hAnsi="Calibri"/>
        </w:rPr>
        <w:t xml:space="preserve">3.  ERD Diagram</w:t>
      </w: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The primary artefact of this section — everything else here supports and explains it.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[Insert ERD diagram — crow's-foot or UML notation, showing entities, key attributes, and relationship cardinality.]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4. Entity Detail</w:t>
      </w: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Repeat per entity — precise enough that a developer could write the CREATE TABLE statement directly from it.</w:t>
      </w:r>
    </w:p>
    <w:p>
      <w:pPr>
        <w:spacing w:after="60" w:before="120" w:line="276" w:lineRule="auto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`[table_name]`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034"/>
        <w:gridCol w:w="1627"/>
        <w:gridCol w:w="2848"/>
        <w:gridCol w:w="2851"/>
      </w:tblGrid>
      <w:tr>
        <w:trPr>
          <w:tblHeader/>
        </w:trPr>
        <w:tc>
          <w:tcPr>
            <w:tcW w:type="dxa" w:w="2034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27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48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51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`id`</w:t>
            </w:r>
          </w:p>
        </w:tc>
        <w:tc>
          <w:tcPr>
            <w:tcW w:type="dxa" w:w="16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BIGINT</w:t>
            </w:r>
          </w:p>
        </w:tc>
        <w:tc>
          <w:tcPr>
            <w:tcW w:type="dxa" w:w="28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PK, auto-increment</w:t>
            </w:r>
          </w:p>
        </w:tc>
        <w:tc>
          <w:tcPr>
            <w:tcW w:type="dxa" w:w="28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034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`[fk]_id`</w:t>
            </w:r>
          </w:p>
        </w:tc>
        <w:tc>
          <w:tcPr>
            <w:tcW w:type="dxa" w:w="1627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BIGINT</w:t>
            </w:r>
          </w:p>
        </w:tc>
        <w:tc>
          <w:tcPr>
            <w:tcW w:type="dxa" w:w="2848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→ `[table].id`, NOT NULL</w:t>
            </w:r>
          </w:p>
        </w:tc>
        <w:tc>
          <w:tcPr>
            <w:tcW w:type="dxa" w:w="2851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[relationship]</w:t>
            </w:r>
          </w:p>
        </w:tc>
      </w:tr>
      <w:tr>
        <w:tc>
          <w:tcPr>
            <w:tcW w:type="dxa" w:w="20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`created_at`</w:t>
            </w:r>
          </w:p>
        </w:tc>
        <w:tc>
          <w:tcPr>
            <w:tcW w:type="dxa" w:w="16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DATETIME</w:t>
            </w:r>
          </w:p>
        </w:tc>
        <w:tc>
          <w:tcPr>
            <w:tcW w:type="dxa" w:w="28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28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Record creation timestamp</w:t>
            </w:r>
          </w:p>
        </w:tc>
      </w:tr>
    </w:tbl>
    <w:p>
      <w:pPr>
        <w:spacing w:before="20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5. Relationships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080"/>
        <w:gridCol w:w="2080"/>
        <w:gridCol w:w="1872"/>
        <w:gridCol w:w="3328"/>
      </w:tblGrid>
      <w:tr>
        <w:trPr>
          <w:tblHeader/>
        </w:trPr>
        <w:tc>
          <w:tcPr>
            <w:tcW w:type="dxa" w:w="208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08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1872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3328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`[table_a]`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`[table_b]`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: 0..*</w:t>
            </w:r>
          </w:p>
        </w:tc>
        <w:tc>
          <w:tcPr>
            <w:tcW w:type="dxa" w:w="33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[Business rule: this represents]</w:t>
            </w:r>
          </w:p>
        </w:tc>
      </w:tr>
    </w:tbl>
    <w:p>
      <w:pPr>
        <w:pStyle w:val="Heading3"/>
      </w:pPr>
      <w:r>
        <w:rPr>
          <w:rFonts w:ascii="Calibri" w:cs="Calibri" w:eastAsia="Calibri" w:hAnsi="Calibri"/>
        </w:rPr>
        <w:t xml:space="preserve">6. Normalisation Notes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[Confirm the schema follows normal form, or explain any deliberate denormalisation and why — heads off review questions.]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7. Indexing Strategy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63"/>
        <w:gridCol w:w="2955"/>
        <w:gridCol w:w="3942"/>
      </w:tblGrid>
      <w:tr>
        <w:trPr>
          <w:tblHeader/>
        </w:trPr>
        <w:tc>
          <w:tcPr>
            <w:tcW w:type="dxa" w:w="2463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955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3942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`[table]`</w:t>
            </w:r>
          </w:p>
        </w:tc>
        <w:tc>
          <w:tcPr>
            <w:tcW w:type="dxa" w:w="29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`([columns])`</w:t>
            </w:r>
          </w:p>
        </w:tc>
        <w:tc>
          <w:tcPr>
            <w:tcW w:type="dxa" w:w="39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[Query pattern this serves]</w:t>
            </w:r>
          </w:p>
        </w:tc>
      </w:tr>
    </w:tbl>
    <w:p>
      <w:pPr>
        <w:sectPr>
          <w:headerReference w:type="default" r:id="rId17"/>
          <w:footerReference w:type="default" r:id="rId18"/>
          <w:pgSz w:w="12240" w:h="15840" w:orient="portrait"/>
          <w:pgMar w:top="1440" w:right="1440" w:bottom="1440" w:left="1440" w:header="720" w:footer="720" w:gutter="0"/>
          <w:pgNumType/>
          <w:docGrid w:linePitch="360"/>
        </w:sectPr>
      </w:pPr>
    </w:p>
    <w:p>
      <w:pPr>
        <w:pStyle w:val="Heading1"/>
      </w:pPr>
      <w:r>
        <w:rPr>
          <w:rFonts w:ascii="Calibri" w:cs="Calibri" w:eastAsia="Calibri" w:hAnsi="Calibri"/>
        </w:rPr>
        <w:t xml:space="preserve">API Specification</w:t>
      </w:r>
    </w:p>
    <w:p>
      <w:pPr>
        <w:sectPr>
          <w:headerReference w:type="default" r:id="rId19"/>
          <w:headerReference w:type="first" r:id="rId20"/>
          <w:footerReference w:type="default" r:id="rId21"/>
          <w:footerReference w:type="first" r:id="rId22"/>
          <w:pgSz w:w="12240" w:h="15840" w:orient="portrait"/>
          <w:pgMar w:top="1440" w:right="1440" w:bottom="1440" w:left="1440" w:header="720" w:footer="720" w:gutter="0"/>
          <w:pgNumType/>
          <w:titlePg/>
          <w:docGrid w:linePitch="360"/>
        </w:sectPr>
      </w:pPr>
    </w:p>
    <w:p>
      <w:pPr>
        <w:pStyle w:val="Heading2"/>
      </w:pPr>
      <w:r>
        <w:rPr>
          <w:rFonts w:ascii="Calibri" w:cs="Calibri" w:eastAsia="Calibri" w:hAnsi="Calibri"/>
        </w:rPr>
        <w:t xml:space="preserve">API Specification</w:t>
      </w: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The contract between the backend and any consumer (frontend, mobile app, third-party integration). Ideally generated from, or kept in lockstep with, an OpenAPI/Swagger spec — this section is the human-readable companion.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1. Overview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[API purpose, style (REST/GraphQL), and intended consumers.]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2. Base URL &amp; Versioning</w:t>
      </w:r>
    </w:p>
    <w:p>
      <w:pPr>
        <w:shd w:fill="f5f5f5" w:color="auto" w:val="clear"/>
        <w:spacing w:after="0" w:before="6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Production: https://api.example.com/v1</w:t>
      </w:r>
    </w:p>
    <w:p>
      <w:pPr>
        <w:shd w:fill="f5f5f5" w:color="auto" w:val="clear"/>
        <w:spacing w:after="120" w:before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Staging:    https://staging-api.example.com/v1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Versioning is via URL path ([/v1], [/v2]); breaking changes require a new version.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3. Authentication &amp; Authorisation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[Auth scheme — JWT/API key/OAuth — and how to obtain a token.]</w:t>
      </w:r>
    </w:p>
    <w:p>
      <w:pPr>
        <w:shd w:fill="f5f5f5" w:color="auto" w:val="clear"/>
        <w:spacing w:after="120" w:before="6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Authorisation: Bearer &lt;token&gt;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Role-based access: [roles]. See per-endpoint Access notes below, and Section 4.2 for the underlying auth requirements.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4. Common Response Format &amp; Error Codes</w:t>
      </w:r>
    </w:p>
    <w:p>
      <w:pPr>
        <w:shd w:fill="f5f5f5" w:color="auto" w:val="clear"/>
        <w:spacing w:after="0" w:before="6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"success": true,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"data": { "...": "..." },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"error": null</w:t>
      </w:r>
    </w:p>
    <w:p>
      <w:pPr>
        <w:shd w:fill="f5f5f5" w:color="auto" w:val="clear"/>
        <w:spacing w:after="120" w:before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674"/>
        <w:gridCol w:w="6686"/>
      </w:tblGrid>
      <w:tr>
        <w:trPr>
          <w:tblHeader/>
        </w:trPr>
        <w:tc>
          <w:tcPr>
            <w:tcW w:type="dxa" w:w="2674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686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</w:t>
            </w:r>
          </w:p>
        </w:tc>
        <w:tc>
          <w:tcPr>
            <w:tcW w:type="dxa" w:w="66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2674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</w:t>
            </w:r>
          </w:p>
        </w:tc>
        <w:tc>
          <w:tcPr>
            <w:tcW w:type="dxa" w:w="668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Validation error (see error.fields)</w:t>
            </w:r>
          </w:p>
        </w:tc>
      </w:tr>
      <w:tr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401</w:t>
            </w:r>
          </w:p>
        </w:tc>
        <w:tc>
          <w:tcPr>
            <w:tcW w:type="dxa" w:w="66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Missing/invalid token</w:t>
            </w:r>
          </w:p>
        </w:tc>
      </w:tr>
      <w:tr>
        <w:tc>
          <w:tcPr>
            <w:tcW w:type="dxa" w:w="2674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403</w:t>
            </w:r>
          </w:p>
        </w:tc>
        <w:tc>
          <w:tcPr>
            <w:tcW w:type="dxa" w:w="668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Authenticated but not authorised for this action</w:t>
            </w:r>
          </w:p>
        </w:tc>
      </w:tr>
      <w:tr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404</w:t>
            </w:r>
          </w:p>
        </w:tc>
        <w:tc>
          <w:tcPr>
            <w:tcW w:type="dxa" w:w="66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 not found</w:t>
            </w:r>
          </w:p>
        </w:tc>
      </w:tr>
    </w:tbl>
    <w:p>
      <w:pPr>
        <w:spacing w:before="20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5. Endpoints</w:t>
      </w: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Repeat this block per endpoint, grouped by resource, mirroring the Data Model structure in Section 2 above.</w:t>
      </w:r>
    </w:p>
    <w:p>
      <w:pPr>
        <w:spacing w:after="60" w:before="120" w:line="276" w:lineRule="auto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`POST /v1/[resource]`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Description: [Create a new resource]. Access: [roles].</w:t>
      </w:r>
    </w:p>
    <w:p>
      <w:pPr>
        <w:shd w:fill="f5f5f5" w:color="auto" w:val="clear"/>
        <w:spacing w:after="0" w:before="6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// Request body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"field": "string, required"</w:t>
      </w:r>
    </w:p>
    <w:p>
      <w:pPr>
        <w:shd w:fill="f5f5f5" w:color="auto" w:val="clear"/>
        <w:spacing w:after="120" w:before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5f5f5" w:color="auto" w:val="clear"/>
        <w:spacing w:after="0" w:before="6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// Response 201 Created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"success": true,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 "data": { "id": 101 }</w:t>
      </w:r>
    </w:p>
    <w:p>
      <w:pPr>
        <w:shd w:fill="f5f5f5" w:color="auto" w:val="clear"/>
        <w:spacing w:after="120" w:before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Errors: 400 if [field] is missing/invalid; 401 if unauthenticated.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6. Pagination, Filtering &amp; Sorting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List endpoints accept ?page=1&amp;limit=20&amp;sort=-created_at&amp;filter[field]=value. Default limit 20, max 100.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7.  Rate Limiting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955"/>
        <w:gridCol w:w="2955"/>
        <w:gridCol w:w="3450"/>
      </w:tblGrid>
      <w:tr>
        <w:trPr>
          <w:tblHeader/>
        </w:trPr>
        <w:tc>
          <w:tcPr>
            <w:tcW w:type="dxa" w:w="2955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2955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345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</w:tr>
      <w:tr>
        <w:tc>
          <w:tcPr>
            <w:tcW w:type="dxa" w:w="29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[N] requests</w:t>
            </w:r>
          </w:p>
        </w:tc>
        <w:tc>
          <w:tcPr>
            <w:tcW w:type="dxa" w:w="29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 minute per token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`X-RateLimit-Remaining`</w:t>
            </w:r>
          </w:p>
        </w:tc>
      </w:tr>
    </w:tbl>
    <w:p>
      <w:pPr>
        <w:spacing w:before="20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8. API Changelog</w:t>
      </w: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The API's own version history (which endpoint changed, when) — distinct from the product-wide Changelog (Part 11), which tracks user-visible features rather than the wire contract.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970"/>
        <w:gridCol w:w="2463"/>
        <w:gridCol w:w="4927"/>
      </w:tblGrid>
      <w:tr>
        <w:trPr>
          <w:tblHeader/>
        </w:trPr>
        <w:tc>
          <w:tcPr>
            <w:tcW w:type="dxa" w:w="197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463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927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19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v1.1</w:t>
            </w:r>
          </w:p>
        </w:tc>
        <w:tc>
          <w:tcPr>
            <w:tcW w:type="dxa" w:w="2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[date]</w:t>
            </w:r>
          </w:p>
        </w:tc>
        <w:tc>
          <w:tcPr>
            <w:tcW w:type="dxa" w:w="4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[Change description]</w:t>
            </w:r>
          </w:p>
        </w:tc>
      </w:tr>
    </w:tbl>
    <w:sectPr>
      <w:headerReference w:type="default" r:id="rId23"/>
      <w:footerReference w:type="default" r:id="rId24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4"/>
      </w:pBdr>
      <w:tabs>
        <w:tab w:val="right" w:pos="9026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Product Team	</w:t>
    </w:r>
    <w:r>
      <w:rPr>
        <w:rFonts w:ascii="Calibri" w:cs="Calibri" w:eastAsia="Calibri" w:hAnsi="Calibri"/>
        <w:color w:val="6b7280"/>
        <w:sz w:val="16"/>
        <w:szCs w:val="16"/>
      </w:rPr>
      <w:t xml:space="preserve">Internal Only</w:t>
    </w:r>
  </w:p>
  <w:p>
    <w:pPr>
      <w:pBdr>
        <w:top w:val="single" w:color="d0d5dd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4"/>
      </w:pBdr>
      <w:tabs>
        <w:tab w:val="right" w:pos="9026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Product Team	</w:t>
    </w:r>
    <w:r>
      <w:rPr>
        <w:rFonts w:ascii="Calibri" w:cs="Calibri" w:eastAsia="Calibri" w:hAnsi="Calibri"/>
        <w:color w:val="6b7280"/>
        <w:sz w:val="16"/>
        <w:szCs w:val="16"/>
      </w:rPr>
      <w:t xml:space="preserve">Internal Only</w:t>
    </w:r>
  </w:p>
  <w:p>
    <w:pPr>
      <w:pBdr>
        <w:top w:val="single" w:color="d0d5dd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4"/>
      </w:pBdr>
      <w:tabs>
        <w:tab w:val="right" w:pos="9026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Product Team	</w:t>
    </w:r>
    <w:r>
      <w:rPr>
        <w:rFonts w:ascii="Calibri" w:cs="Calibri" w:eastAsia="Calibri" w:hAnsi="Calibri"/>
        <w:color w:val="6b7280"/>
        <w:sz w:val="16"/>
        <w:szCs w:val="16"/>
      </w:rPr>
      <w:t xml:space="preserve">Internal Only</w:t>
    </w:r>
  </w:p>
  <w:p>
    <w:pPr>
      <w:pBdr>
        <w:top w:val="single" w:color="d0d5dd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4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f3b57"/>
        <w:sz w:val="16"/>
        <w:szCs w:val="16"/>
      </w:rPr>
      <w:t xml:space="preserve">Product name/logo	</w:t>
    </w:r>
    <w:r>
      <w:rPr>
        <w:rFonts w:ascii="Calibri" w:cs="Calibri" w:eastAsia="Calibri" w:hAnsi="Calibri"/>
        <w:b/>
        <w:bCs/>
        <w:color w:val="1f3b57"/>
        <w:sz w:val="16"/>
        <w:szCs w:val="16"/>
      </w:rPr>
      <w:t xml:space="preserve">Technical Documentation </w:t>
    </w:r>
    <w:r>
      <w:rPr>
        <w:rFonts w:ascii="Calibri" w:cs="Calibri" w:eastAsia="Calibri" w:hAnsi="Calibri"/>
        <w:color w:val="6b7280"/>
        <w:sz w:val="16"/>
        <w:szCs w:val="16"/>
      </w:rPr>
      <w:t xml:space="preserve">|</w:t>
    </w:r>
    <w:r>
      <w:rPr>
        <w:rFonts w:ascii="Calibri" w:cs="Calibri" w:eastAsia="Calibri" w:hAnsi="Calibri"/>
        <w:b/>
        <w:bCs/>
        <w:color w:val="990000"/>
        <w:sz w:val="16"/>
        <w:szCs w:val="16"/>
      </w:rPr>
      <w:t xml:space="preserve">Confidential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4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f3b57"/>
        <w:sz w:val="16"/>
        <w:szCs w:val="16"/>
      </w:rPr>
      <w:t xml:space="preserve">Product name/logo	</w:t>
    </w:r>
    <w:r>
      <w:rPr>
        <w:rFonts w:ascii="Calibri" w:cs="Calibri" w:eastAsia="Calibri" w:hAnsi="Calibri"/>
        <w:b/>
        <w:bCs/>
        <w:color w:val="1f3b57"/>
        <w:sz w:val="16"/>
        <w:szCs w:val="16"/>
      </w:rPr>
      <w:t xml:space="preserve">Technical Documentation </w:t>
    </w:r>
    <w:r>
      <w:rPr>
        <w:rFonts w:ascii="Calibri" w:cs="Calibri" w:eastAsia="Calibri" w:hAnsi="Calibri"/>
        <w:b/>
        <w:bCs/>
        <w:i/>
        <w:iCs/>
        <w:color w:val="1f3b57"/>
        <w:sz w:val="16"/>
        <w:szCs w:val="16"/>
      </w:rPr>
      <w:t xml:space="preserve">[ERD]</w:t>
    </w:r>
    <w:r>
      <w:rPr>
        <w:rFonts w:ascii="Calibri" w:cs="Calibri" w:eastAsia="Calibri" w:hAnsi="Calibri"/>
        <w:color w:val="6b7280"/>
        <w:sz w:val="16"/>
        <w:szCs w:val="16"/>
      </w:rPr>
      <w:t xml:space="preserve">|</w:t>
    </w:r>
    <w:r>
      <w:rPr>
        <w:rFonts w:ascii="Calibri" w:cs="Calibri" w:eastAsia="Calibri" w:hAnsi="Calibri"/>
        <w:b/>
        <w:bCs/>
        <w:color w:val="990000"/>
        <w:sz w:val="16"/>
        <w:szCs w:val="16"/>
      </w:rPr>
      <w:t xml:space="preserve">Confidential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4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f3b57"/>
        <w:sz w:val="16"/>
        <w:szCs w:val="16"/>
      </w:rPr>
      <w:t xml:space="preserve">Product name/logo	</w:t>
    </w:r>
    <w:r>
      <w:rPr>
        <w:rFonts w:ascii="Calibri" w:cs="Calibri" w:eastAsia="Calibri" w:hAnsi="Calibri"/>
        <w:b/>
        <w:bCs/>
        <w:color w:val="1f3b57"/>
        <w:sz w:val="16"/>
        <w:szCs w:val="16"/>
      </w:rPr>
      <w:t xml:space="preserve">Technical Documentation </w:t>
    </w:r>
    <w:r>
      <w:rPr>
        <w:rFonts w:ascii="Calibri" w:cs="Calibri" w:eastAsia="Calibri" w:hAnsi="Calibri"/>
        <w:b/>
        <w:bCs/>
        <w:i/>
        <w:iCs/>
        <w:color w:val="1f3b57"/>
        <w:sz w:val="16"/>
        <w:szCs w:val="16"/>
      </w:rPr>
      <w:t xml:space="preserve">[API]</w:t>
    </w:r>
    <w:r>
      <w:rPr>
        <w:rFonts w:ascii="Calibri" w:cs="Calibri" w:eastAsia="Calibri" w:hAnsi="Calibri"/>
        <w:color w:val="6b7280"/>
        <w:sz w:val="16"/>
        <w:szCs w:val="16"/>
      </w:rPr>
      <w:t xml:space="preserve">|</w:t>
    </w:r>
    <w:r>
      <w:rPr>
        <w:rFonts w:ascii="Calibri" w:cs="Calibri" w:eastAsia="Calibri" w:hAnsi="Calibri"/>
        <w:b/>
        <w:bCs/>
        <w:color w:val="99000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</w:pPr>
    <w:rPr>
      <w:rFonts w:ascii="Calibri" w:cs="Calibri" w:eastAsia="Calibri" w:hAnsi="Calibri"/>
      <w:b/>
      <w:bCs/>
      <w:color w:val="1f3b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3b5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f66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header" Target="header5.xml"/><Relationship Id="rId15" Type="http://schemas.openxmlformats.org/officeDocument/2006/relationships/footer" Target="footer4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header" Target="header8.xml"/><Relationship Id="rId21" Type="http://schemas.openxmlformats.org/officeDocument/2006/relationships/footer" Target="footer7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2026-08-31T07:13:06.301Z</dcterms:created>
  <dcterms:modified xsi:type="dcterms:W3CDTF">2026-08-31T07:13:06.315Z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