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rFonts w:ascii="Arial" w:cs="Arial" w:eastAsia="Arial" w:hAnsi="Arial"/>
          <w:b w:val="1"/>
          <w:bCs w:val="1"/>
          <w:color w:val="1b2a4a"/>
          <w:sz w:val="52"/>
          <w:szCs w:val="52"/>
          <w:rtl w:val="0"/>
        </w:rPr>
        <w:t xml:space="preserve">TEAM DELTA</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color w:val="718096"/>
          <w:sz w:val="24"/>
          <w:szCs w:val="24"/>
          <w:rtl w:val="0"/>
        </w:rPr>
        <w:t xml:space="preserve">2026-CAX-500 Cybersecurity Capstone</w:t>
      </w:r>
      <w:r w:rsidDel="00000000" w:rsidR="00000000" w:rsidRPr="00000000">
        <w:rPr>
          <w:rtl w:val="0"/>
        </w:rPr>
      </w:r>
    </w:p>
    <w:p w:rsidR="00000000" w:rsidDel="00000000" w:rsidP="00000000" w:rsidRDefault="00000000" w:rsidRPr="00000000" w14:paraId="00000003">
      <w:pPr>
        <w:pBdr>
          <w:bottom w:color="2e86ab" w:space="1" w:sz="4" w:val="single"/>
        </w:pBdr>
        <w:spacing w:after="200" w:before="200" w:lineRule="auto"/>
        <w:jc w:val="center"/>
        <w:rPr/>
      </w:pPr>
      <w:r w:rsidDel="00000000" w:rsidR="00000000" w:rsidRPr="00000000">
        <w:rPr>
          <w:rtl w:val="0"/>
        </w:rPr>
      </w:r>
    </w:p>
    <w:p w:rsidR="00000000" w:rsidDel="00000000" w:rsidP="00000000" w:rsidRDefault="00000000" w:rsidRPr="00000000" w14:paraId="00000004">
      <w:pPr>
        <w:spacing w:before="200" w:lineRule="auto"/>
        <w:jc w:val="center"/>
        <w:rPr/>
      </w:pPr>
      <w:r w:rsidDel="00000000" w:rsidR="00000000" w:rsidRPr="00000000">
        <w:rPr>
          <w:rFonts w:ascii="Arial" w:cs="Arial" w:eastAsia="Arial" w:hAnsi="Arial"/>
          <w:b w:val="1"/>
          <w:bCs w:val="1"/>
          <w:color w:val="2e86ab"/>
          <w:sz w:val="36"/>
          <w:szCs w:val="36"/>
          <w:rtl w:val="0"/>
        </w:rPr>
        <w:t xml:space="preserve">TD-10: Racami URL Analysis</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rFonts w:ascii="Arial" w:cs="Arial" w:eastAsia="Arial" w:hAnsi="Arial"/>
          <w:color w:val="1b2a4a"/>
          <w:sz w:val="22"/>
          <w:szCs w:val="22"/>
          <w:rtl w:val="0"/>
        </w:rPr>
        <w:t xml:space="preserve">Technical Reconnaissance and Infrastructure Security Assessment</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color w:val="718096"/>
          <w:sz w:val="20"/>
          <w:szCs w:val="20"/>
          <w:rtl w:val="0"/>
        </w:rPr>
        <w:t xml:space="preserve">Companion to TD-01 (Evidence Summary) and TD-03 (Risk Assessment)</w:t>
      </w:r>
      <w:r w:rsidDel="00000000" w:rsidR="00000000" w:rsidRPr="00000000">
        <w:rPr>
          <w:rtl w:val="0"/>
        </w:rPr>
      </w:r>
    </w:p>
    <w:p w:rsidR="00000000" w:rsidDel="00000000" w:rsidP="00000000" w:rsidRDefault="00000000" w:rsidRPr="00000000" w14:paraId="00000007">
      <w:pPr>
        <w:spacing w:before="240" w:lineRule="auto"/>
        <w:jc w:val="center"/>
        <w:rPr/>
      </w:pPr>
      <w:r w:rsidDel="00000000" w:rsidR="00000000" w:rsidRPr="00000000">
        <w:rPr>
          <w:rFonts w:ascii="Arial" w:cs="Arial" w:eastAsia="Arial" w:hAnsi="Arial"/>
          <w:color w:val="718096"/>
          <w:sz w:val="20"/>
          <w:szCs w:val="20"/>
          <w:rtl w:val="0"/>
        </w:rPr>
        <w:t xml:space="preserve">Document Date: February 12, 2026  |  Classification: CONFIDENTIAL</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200" w:before="360" w:lineRule="auto"/>
        <w:rPr/>
      </w:pPr>
      <w:r w:rsidDel="00000000" w:rsidR="00000000" w:rsidRPr="00000000">
        <w:rPr>
          <w:rFonts w:ascii="Arial" w:cs="Arial" w:eastAsia="Arial" w:hAnsi="Arial"/>
          <w:b w:val="1"/>
          <w:bCs w:val="1"/>
          <w:color w:val="1b2a4a"/>
          <w:sz w:val="32"/>
          <w:szCs w:val="32"/>
          <w:rtl w:val="0"/>
        </w:rPr>
        <w:t xml:space="preserve">1. Architectural Overview</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Arial" w:cs="Arial" w:eastAsia="Arial" w:hAnsi="Arial"/>
          <w:sz w:val="22"/>
          <w:szCs w:val="22"/>
          <w:rtl w:val="0"/>
        </w:rPr>
        <w:t xml:space="preserve">The 13 compromised URLs recovered from the RedLine stealer log reveal Racami’s complete Software Development Life Cycle (SDLC) infrastructure for their flagship Alchem-e Customer Communications Management (CCM) platform. The naming conventions expose a highly segmented environment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860"/>
        <w:tblGridChange w:id="0">
          <w:tblGrid>
            <w:gridCol w:w="2000"/>
            <w:gridCol w:w="2500"/>
            <w:gridCol w:w="4860"/>
          </w:tblGrid>
        </w:tblGridChange>
      </w:tblGrid>
      <w:tr>
        <w:trPr>
          <w:cantSplit w:val="0"/>
          <w:tblHeader w:val="0"/>
        </w:trPr>
        <w:tc>
          <w:tcPr>
            <w:tcBorders>
              <w:top w:color="cbd5e0" w:space="0" w:sz="4" w:val="single"/>
              <w:left w:color="cbd5e0" w:space="0" w:sz="4" w:val="single"/>
              <w:bottom w:color="cbd5e0" w:space="0" w:sz="4" w:val="single"/>
              <w:right w:color="cbd5e0" w:space="0" w:sz="4" w:val="single"/>
            </w:tcBorders>
            <w:shd w:fill="2e86ab"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20"/>
                <w:szCs w:val="20"/>
                <w:rtl w:val="0"/>
              </w:rPr>
              <w:t xml:space="preserve">Environment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2e86ab"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Subdomain(s)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2e86ab"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Production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c</w:t>
            </w:r>
            <w:r w:rsidDel="00000000" w:rsidR="00000000" w:rsidRPr="00000000">
              <w:rPr>
                <w:sz w:val="20"/>
                <w:szCs w:val="20"/>
                <w:rtl w:val="0"/>
              </w:rPr>
              <w:t xml:space="preserve">xxxxxxx</w:t>
            </w: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Live environment processing actual customer data</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Staging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c</w:t>
            </w:r>
            <w:r w:rsidDel="00000000" w:rsidR="00000000" w:rsidRPr="00000000">
              <w:rPr>
                <w:sz w:val="20"/>
                <w:szCs w:val="20"/>
                <w:rtl w:val="0"/>
              </w:rPr>
              <w:t xml:space="preserve">xxxxxx</w:t>
            </w: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Pre-production mirror for final deployment validation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UAT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c</w:t>
            </w:r>
            <w:r w:rsidDel="00000000" w:rsidR="00000000" w:rsidRPr="00000000">
              <w:rPr>
                <w:sz w:val="20"/>
                <w:szCs w:val="20"/>
                <w:rtl w:val="0"/>
              </w:rPr>
              <w:t xml:space="preserve">xxxxxx</w:t>
            </w: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User Acceptance Testing — client/stakeholder feature validation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QA</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c</w:t>
            </w:r>
            <w:r w:rsidDel="00000000" w:rsidR="00000000" w:rsidRPr="00000000">
              <w:rPr>
                <w:sz w:val="20"/>
                <w:szCs w:val="20"/>
                <w:rtl w:val="0"/>
              </w:rPr>
              <w:t xml:space="preserve">xxxxx</w:t>
            </w:r>
            <w:r w:rsidDel="00000000" w:rsidR="00000000" w:rsidRPr="00000000">
              <w:rPr>
                <w:rFonts w:ascii="Arial" w:cs="Arial" w:eastAsia="Arial" w:hAnsi="Arial"/>
                <w:sz w:val="20"/>
                <w:szCs w:val="20"/>
                <w:rtl w:val="0"/>
              </w:rPr>
              <w:t xml:space="preserve">1 – c</w:t>
            </w:r>
            <w:r w:rsidDel="00000000" w:rsidR="00000000" w:rsidRPr="00000000">
              <w:rPr>
                <w:sz w:val="20"/>
                <w:szCs w:val="20"/>
                <w:rtl w:val="0"/>
              </w:rPr>
              <w:t xml:space="preserve">xxxxx</w:t>
            </w: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Internal quality assurance nodes for developers and testers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DevOps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g</w:t>
            </w:r>
            <w:r w:rsidDel="00000000" w:rsidR="00000000" w:rsidRPr="00000000">
              <w:rPr>
                <w:sz w:val="20"/>
                <w:szCs w:val="20"/>
                <w:rtl w:val="0"/>
              </w:rPr>
              <w:t xml:space="preserve">xx.xxxxxx</w:t>
            </w:r>
            <w:r w:rsidDel="00000000" w:rsidR="00000000" w:rsidRPr="00000000">
              <w:rPr>
                <w:rFonts w:ascii="Arial" w:cs="Arial" w:eastAsia="Arial" w:hAnsi="Arial"/>
                <w:sz w:val="20"/>
                <w:szCs w:val="20"/>
                <w:rtl w:val="0"/>
              </w:rPr>
              <w:t xml:space="preserve">.com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Self-hosted GitLab instance — code repository</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Management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w</w:t>
            </w:r>
            <w:r w:rsidDel="00000000" w:rsidR="00000000" w:rsidRPr="00000000">
              <w:rPr>
                <w:sz w:val="20"/>
                <w:szCs w:val="20"/>
                <w:rtl w:val="0"/>
              </w:rPr>
              <w:t xml:space="preserve">xxx.xxxxxxx</w:t>
            </w:r>
            <w:r w:rsidDel="00000000" w:rsidR="00000000" w:rsidRPr="00000000">
              <w:rPr>
                <w:rFonts w:ascii="Arial" w:cs="Arial" w:eastAsia="Arial" w:hAnsi="Arial"/>
                <w:sz w:val="20"/>
                <w:szCs w:val="20"/>
                <w:rtl w:val="0"/>
              </w:rPr>
              <w:t xml:space="preserve">.com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Atlassian Jira instance — project tracking, sprint planning</w:t>
            </w:r>
            <w:r w:rsidDel="00000000" w:rsidR="00000000" w:rsidRPr="00000000">
              <w:rPr>
                <w:rtl w:val="0"/>
              </w:rPr>
            </w:r>
          </w:p>
        </w:tc>
      </w:tr>
    </w:tbl>
    <w:p w:rsidR="00000000" w:rsidDel="00000000" w:rsidP="00000000" w:rsidRDefault="00000000" w:rsidRPr="00000000" w14:paraId="00000020">
      <w:pPr>
        <w:pStyle w:val="Heading1"/>
        <w:spacing w:after="200" w:before="360" w:lineRule="auto"/>
        <w:rPr/>
      </w:pPr>
      <w:r w:rsidDel="00000000" w:rsidR="00000000" w:rsidRPr="00000000">
        <w:rPr>
          <w:rFonts w:ascii="Arial" w:cs="Arial" w:eastAsia="Arial" w:hAnsi="Arial"/>
          <w:b w:val="1"/>
          <w:bCs w:val="1"/>
          <w:color w:val="1b2a4a"/>
          <w:sz w:val="32"/>
          <w:szCs w:val="32"/>
          <w:rtl w:val="0"/>
        </w:rPr>
        <w:t xml:space="preserve">2. Service and Application Identification</w:t>
      </w:r>
      <w:r w:rsidDel="00000000" w:rsidR="00000000" w:rsidRPr="00000000">
        <w:rPr>
          <w:rtl w:val="0"/>
        </w:rPr>
      </w:r>
    </w:p>
    <w:p w:rsidR="00000000" w:rsidDel="00000000" w:rsidP="00000000" w:rsidRDefault="00000000" w:rsidRPr="00000000" w14:paraId="00000021">
      <w:pPr>
        <w:pStyle w:val="Heading2"/>
        <w:spacing w:after="160" w:before="280" w:lineRule="auto"/>
        <w:rPr/>
      </w:pPr>
      <w:r w:rsidDel="00000000" w:rsidR="00000000" w:rsidRPr="00000000">
        <w:rPr>
          <w:rFonts w:ascii="Arial" w:cs="Arial" w:eastAsia="Arial" w:hAnsi="Arial"/>
          <w:b w:val="1"/>
          <w:bCs w:val="1"/>
          <w:color w:val="2e86ab"/>
          <w:sz w:val="26"/>
          <w:szCs w:val="26"/>
          <w:rtl w:val="0"/>
        </w:rPr>
        <w:t xml:space="preserve">2.1 The CIS Application (Alchem-e)</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Arial" w:cs="Arial" w:eastAsia="Arial" w:hAnsi="Arial"/>
          <w:sz w:val="22"/>
          <w:szCs w:val="22"/>
          <w:rtl w:val="0"/>
        </w:rPr>
        <w:t xml:space="preserve">The majority of compromised URLs point to /CIS/login/, which refers to the Customer Information System — the management portal for the Alchem-e platform. This application is used to track print jobs, digital communications, mail tracking (IMb), and workflow automation.</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Arial" w:cs="Arial" w:eastAsia="Arial" w:hAnsi="Arial"/>
          <w:b w:val="1"/>
          <w:bCs w:val="1"/>
          <w:sz w:val="22"/>
          <w:szCs w:val="22"/>
          <w:rtl w:val="0"/>
        </w:rPr>
        <w:t xml:space="preserve">Multi-Tenancy: </w:t>
      </w:r>
      <w:r w:rsidDel="00000000" w:rsidR="00000000" w:rsidRPr="00000000">
        <w:rPr>
          <w:rFonts w:ascii="Arial" w:cs="Arial" w:eastAsia="Arial" w:hAnsi="Arial"/>
          <w:sz w:val="22"/>
          <w:szCs w:val="22"/>
          <w:rtl w:val="0"/>
        </w:rPr>
        <w:t xml:space="preserve">The URLs for “chen co” and “pay+” indicate a multi-tenant architecture where specific clients have their own branded or isolated login paths, exposing client identities through URL structure.</w:t>
      </w:r>
      <w:r w:rsidDel="00000000" w:rsidR="00000000" w:rsidRPr="00000000">
        <w:rPr>
          <w:rtl w:val="0"/>
        </w:rPr>
      </w:r>
    </w:p>
    <w:p w:rsidR="00000000" w:rsidDel="00000000" w:rsidP="00000000" w:rsidRDefault="00000000" w:rsidRPr="00000000" w14:paraId="00000024">
      <w:pPr>
        <w:pStyle w:val="Heading2"/>
        <w:spacing w:after="160" w:before="280" w:lineRule="auto"/>
        <w:rPr/>
      </w:pPr>
      <w:r w:rsidDel="00000000" w:rsidR="00000000" w:rsidRPr="00000000">
        <w:rPr>
          <w:rFonts w:ascii="Arial" w:cs="Arial" w:eastAsia="Arial" w:hAnsi="Arial"/>
          <w:b w:val="1"/>
          <w:bCs w:val="1"/>
          <w:color w:val="2e86ab"/>
          <w:sz w:val="26"/>
          <w:szCs w:val="26"/>
          <w:rtl w:val="0"/>
        </w:rPr>
        <w:t xml:space="preserve">2.2 Infrastructure Tools</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Arial" w:cs="Arial" w:eastAsia="Arial" w:hAnsi="Arial"/>
          <w:b w:val="1"/>
          <w:bCs w:val="1"/>
          <w:sz w:val="22"/>
          <w:szCs w:val="22"/>
          <w:rtl w:val="0"/>
        </w:rPr>
        <w:t xml:space="preserve">GitLab (git.racami.com): </w:t>
      </w:r>
      <w:r w:rsidDel="00000000" w:rsidR="00000000" w:rsidRPr="00000000">
        <w:rPr>
          <w:rFonts w:ascii="Arial" w:cs="Arial" w:eastAsia="Arial" w:hAnsi="Arial"/>
          <w:sz w:val="22"/>
          <w:szCs w:val="22"/>
          <w:rtl w:val="0"/>
        </w:rPr>
        <w:t xml:space="preserve">The /users/sign_in path confirms a self-hosted GitLab instance used by engineering teams to store source code. This is a Tier-0 asset — compromise enables supply-chain attacks against all Racami customers.</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Arial" w:cs="Arial" w:eastAsia="Arial" w:hAnsi="Arial"/>
          <w:b w:val="1"/>
          <w:bCs w:val="1"/>
          <w:sz w:val="22"/>
          <w:szCs w:val="22"/>
          <w:rtl w:val="0"/>
        </w:rPr>
        <w:t xml:space="preserve">Jira (work.racami.com): </w:t>
      </w:r>
      <w:r w:rsidDel="00000000" w:rsidR="00000000" w:rsidRPr="00000000">
        <w:rPr>
          <w:rFonts w:ascii="Arial" w:cs="Arial" w:eastAsia="Arial" w:hAnsi="Arial"/>
          <w:sz w:val="22"/>
          <w:szCs w:val="22"/>
          <w:rtl w:val="0"/>
        </w:rPr>
        <w:t xml:space="preserve">The /secure/Dashboard.jspa path is the signature URL for Atlassian Jira. This system contains project management data, issue tracking, sprint planning, and critically — information about unpatched software vulnerabilities. This is the exact entry point HellCat exploited in the April 2025 breach.</w:t>
      </w:r>
      <w:r w:rsidDel="00000000" w:rsidR="00000000" w:rsidRPr="00000000">
        <w:rPr>
          <w:rtl w:val="0"/>
        </w:rPr>
      </w:r>
    </w:p>
    <w:p w:rsidR="00000000" w:rsidDel="00000000" w:rsidP="00000000" w:rsidRDefault="00000000" w:rsidRPr="00000000" w14:paraId="00000027">
      <w:pPr>
        <w:pStyle w:val="Heading1"/>
        <w:spacing w:after="200" w:before="360" w:lineRule="auto"/>
        <w:rPr/>
      </w:pPr>
      <w:r w:rsidDel="00000000" w:rsidR="00000000" w:rsidRPr="00000000">
        <w:rPr>
          <w:rFonts w:ascii="Arial" w:cs="Arial" w:eastAsia="Arial" w:hAnsi="Arial"/>
          <w:b w:val="1"/>
          <w:bCs w:val="1"/>
          <w:color w:val="1b2a4a"/>
          <w:sz w:val="32"/>
          <w:szCs w:val="32"/>
          <w:rtl w:val="0"/>
        </w:rPr>
        <w:t xml:space="preserve">3. Individual URL Analysis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500"/>
        <w:gridCol w:w="1300"/>
        <w:gridCol w:w="3360"/>
        <w:tblGridChange w:id="0">
          <w:tblGrid>
            <w:gridCol w:w="3200"/>
            <w:gridCol w:w="1500"/>
            <w:gridCol w:w="1300"/>
            <w:gridCol w:w="3360"/>
          </w:tblGrid>
        </w:tblGridChange>
      </w:tblGrid>
      <w:tr>
        <w:trPr>
          <w:cantSplit w:val="0"/>
          <w:tblHeader w:val="0"/>
        </w:trPr>
        <w:tc>
          <w:tcPr>
            <w:tcBorders>
              <w:top w:color="cbd5e0" w:space="0" w:sz="4" w:val="single"/>
              <w:left w:color="cbd5e0" w:space="0" w:sz="4" w:val="single"/>
              <w:bottom w:color="cbd5e0" w:space="0" w:sz="4" w:val="single"/>
              <w:right w:color="cbd5e0" w:space="0" w:sz="4" w:val="single"/>
            </w:tcBorders>
            <w:shd w:fill="2e86a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20"/>
                <w:szCs w:val="20"/>
                <w:rtl w:val="0"/>
              </w:rPr>
              <w:t xml:space="preserve">URL Host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2e86a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Environment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2e86ab"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2e86a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Context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c</w:t>
            </w:r>
            <w:r w:rsidDel="00000000" w:rsidR="00000000" w:rsidRPr="00000000">
              <w:rPr>
                <w:sz w:val="20"/>
                <w:szCs w:val="20"/>
                <w:rtl w:val="0"/>
              </w:rPr>
              <w:t xml:space="preserve">xxxxxxx</w:t>
            </w:r>
            <w:r w:rsidDel="00000000" w:rsidR="00000000" w:rsidRPr="00000000">
              <w:rPr>
                <w:rFonts w:ascii="Arial" w:cs="Arial" w:eastAsia="Arial" w:hAnsi="Arial"/>
                <w:sz w:val="20"/>
                <w:szCs w:val="20"/>
                <w:rtl w:val="0"/>
              </w:rPr>
              <w:t xml:space="preserve">1.racami.com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Production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c53030"/>
                <w:sz w:val="20"/>
                <w:szCs w:val="20"/>
                <w:rtl w:val="0"/>
              </w:rPr>
              <w:t xml:space="preserve">CRITICAL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Live customer-facing Alchem-e CIS login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c</w:t>
            </w:r>
            <w:r w:rsidDel="00000000" w:rsidR="00000000" w:rsidRPr="00000000">
              <w:rPr>
                <w:sz w:val="20"/>
                <w:szCs w:val="20"/>
                <w:rtl w:val="0"/>
              </w:rPr>
              <w:t xml:space="preserve">xxxxxx</w:t>
            </w:r>
            <w:r w:rsidDel="00000000" w:rsidR="00000000" w:rsidRPr="00000000">
              <w:rPr>
                <w:rFonts w:ascii="Arial" w:cs="Arial" w:eastAsia="Arial" w:hAnsi="Arial"/>
                <w:sz w:val="20"/>
                <w:szCs w:val="20"/>
                <w:rtl w:val="0"/>
              </w:rPr>
              <w:t xml:space="preserve">1.racami.com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Staging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dd6b20"/>
                <w:sz w:val="20"/>
                <w:szCs w:val="20"/>
                <w:rtl w:val="0"/>
              </w:rPr>
              <w:t xml:space="preserve">HIGH</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Pre-production mirror for deployment checks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c</w:t>
            </w:r>
            <w:r w:rsidDel="00000000" w:rsidR="00000000" w:rsidRPr="00000000">
              <w:rPr>
                <w:sz w:val="20"/>
                <w:szCs w:val="20"/>
                <w:rtl w:val="0"/>
              </w:rPr>
              <w:t xml:space="preserve">xxxxxx</w:t>
            </w:r>
            <w:r w:rsidDel="00000000" w:rsidR="00000000" w:rsidRPr="00000000">
              <w:rPr>
                <w:rFonts w:ascii="Arial" w:cs="Arial" w:eastAsia="Arial" w:hAnsi="Arial"/>
                <w:sz w:val="20"/>
                <w:szCs w:val="20"/>
                <w:rtl w:val="0"/>
              </w:rPr>
              <w:t xml:space="preserve">3.racami.com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UAT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dd6b20"/>
                <w:sz w:val="20"/>
                <w:szCs w:val="20"/>
                <w:rtl w:val="0"/>
              </w:rPr>
              <w:t xml:space="preserve">HIGH</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Client-facing testing environment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c</w:t>
            </w:r>
            <w:r w:rsidDel="00000000" w:rsidR="00000000" w:rsidRPr="00000000">
              <w:rPr>
                <w:sz w:val="20"/>
                <w:szCs w:val="20"/>
                <w:rtl w:val="0"/>
              </w:rPr>
              <w:t xml:space="preserve">xxxxxxxx</w:t>
            </w:r>
            <w:r w:rsidDel="00000000" w:rsidR="00000000" w:rsidRPr="00000000">
              <w:rPr>
                <w:rFonts w:ascii="Arial" w:cs="Arial" w:eastAsia="Arial" w:hAnsi="Arial"/>
                <w:sz w:val="20"/>
                <w:szCs w:val="20"/>
                <w:rtl w:val="0"/>
              </w:rPr>
              <w:t xml:space="preserve">5.racami.com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QA</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dd6b20"/>
                <w:sz w:val="20"/>
                <w:szCs w:val="20"/>
                <w:rtl w:val="0"/>
              </w:rPr>
              <w:t xml:space="preserve">HIGH</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Internal testing; QA04/QA02 show client paths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g</w:t>
            </w:r>
            <w:r w:rsidDel="00000000" w:rsidR="00000000" w:rsidRPr="00000000">
              <w:rPr>
                <w:sz w:val="20"/>
                <w:szCs w:val="20"/>
                <w:rtl w:val="0"/>
              </w:rPr>
              <w:t xml:space="preserve">xx.xxxxxx</w:t>
            </w:r>
            <w:r w:rsidDel="00000000" w:rsidR="00000000" w:rsidRPr="00000000">
              <w:rPr>
                <w:rFonts w:ascii="Arial" w:cs="Arial" w:eastAsia="Arial" w:hAnsi="Arial"/>
                <w:sz w:val="20"/>
                <w:szCs w:val="20"/>
                <w:rtl w:val="0"/>
              </w:rPr>
              <w:t xml:space="preserve">.com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DevOps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c53030"/>
                <w:sz w:val="20"/>
                <w:szCs w:val="20"/>
                <w:rtl w:val="0"/>
              </w:rPr>
              <w:t xml:space="preserve">CRITICAL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Self-hosted GitLab (code repository)</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w</w:t>
            </w:r>
            <w:r w:rsidDel="00000000" w:rsidR="00000000" w:rsidRPr="00000000">
              <w:rPr>
                <w:sz w:val="20"/>
                <w:szCs w:val="20"/>
                <w:rtl w:val="0"/>
              </w:rPr>
              <w:t xml:space="preserve">xxx.xxxxxx</w:t>
            </w:r>
            <w:r w:rsidDel="00000000" w:rsidR="00000000" w:rsidRPr="00000000">
              <w:rPr>
                <w:rFonts w:ascii="Arial" w:cs="Arial" w:eastAsia="Arial" w:hAnsi="Arial"/>
                <w:sz w:val="20"/>
                <w:szCs w:val="20"/>
                <w:rtl w:val="0"/>
              </w:rPr>
              <w:t xml:space="preserve">.com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Management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c53030"/>
                <w:sz w:val="20"/>
                <w:szCs w:val="20"/>
                <w:rtl w:val="0"/>
              </w:rPr>
              <w:t xml:space="preserve">CRITICAL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Atlassian Jira (project tracking) — HellCat entry point</w:t>
            </w:r>
            <w:r w:rsidDel="00000000" w:rsidR="00000000" w:rsidRPr="00000000">
              <w:rPr>
                <w:rtl w:val="0"/>
              </w:rPr>
            </w:r>
          </w:p>
        </w:tc>
      </w:tr>
    </w:tbl>
    <w:p w:rsidR="00000000" w:rsidDel="00000000" w:rsidP="00000000" w:rsidRDefault="00000000" w:rsidRPr="00000000" w14:paraId="00000044">
      <w:pPr>
        <w:pStyle w:val="Heading1"/>
        <w:spacing w:after="200" w:before="360" w:lineRule="auto"/>
        <w:rPr/>
      </w:pPr>
      <w:r w:rsidDel="00000000" w:rsidR="00000000" w:rsidRPr="00000000">
        <w:rPr>
          <w:rFonts w:ascii="Arial" w:cs="Arial" w:eastAsia="Arial" w:hAnsi="Arial"/>
          <w:b w:val="1"/>
          <w:bCs w:val="1"/>
          <w:color w:val="1b2a4a"/>
          <w:sz w:val="32"/>
          <w:szCs w:val="32"/>
          <w:rtl w:val="0"/>
        </w:rPr>
        <w:t xml:space="preserve">4. Cybersecurity Observations and Risks</w:t>
      </w:r>
      <w:r w:rsidDel="00000000" w:rsidR="00000000" w:rsidRPr="00000000">
        <w:rPr>
          <w:rtl w:val="0"/>
        </w:rPr>
      </w:r>
    </w:p>
    <w:p w:rsidR="00000000" w:rsidDel="00000000" w:rsidP="00000000" w:rsidRDefault="00000000" w:rsidRPr="00000000" w14:paraId="00000045">
      <w:pPr>
        <w:pStyle w:val="Heading2"/>
        <w:spacing w:after="160" w:before="280" w:lineRule="auto"/>
        <w:rPr/>
      </w:pPr>
      <w:r w:rsidDel="00000000" w:rsidR="00000000" w:rsidRPr="00000000">
        <w:rPr>
          <w:rFonts w:ascii="Arial" w:cs="Arial" w:eastAsia="Arial" w:hAnsi="Arial"/>
          <w:b w:val="1"/>
          <w:bCs w:val="1"/>
          <w:color w:val="2e86ab"/>
          <w:sz w:val="26"/>
          <w:szCs w:val="26"/>
          <w:rtl w:val="0"/>
        </w:rPr>
        <w:t xml:space="preserve">4.1 Attack Surface Exposure</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Arial" w:cs="Arial" w:eastAsia="Arial" w:hAnsi="Arial"/>
          <w:sz w:val="22"/>
          <w:szCs w:val="22"/>
          <w:rtl w:val="0"/>
        </w:rPr>
        <w:t xml:space="preserve">The QA, Staging, and UAT environments are publicly resolvable on the internet, significantly expanding the attack surface. Best practice dictates these environments should be restricted to company IP ranges or accessed exclusively via VPN. Non-production environments frequently run debug modes or unpatched code not yet ready for production, making them softer targets for exploitation.</w:t>
      </w:r>
      <w:r w:rsidDel="00000000" w:rsidR="00000000" w:rsidRPr="00000000">
        <w:rPr>
          <w:rtl w:val="0"/>
        </w:rPr>
      </w:r>
    </w:p>
    <w:p w:rsidR="00000000" w:rsidDel="00000000" w:rsidP="00000000" w:rsidRDefault="00000000" w:rsidRPr="00000000" w14:paraId="00000047">
      <w:pPr>
        <w:pStyle w:val="Heading2"/>
        <w:spacing w:after="160" w:before="280" w:lineRule="auto"/>
        <w:rPr/>
      </w:pPr>
      <w:r w:rsidDel="00000000" w:rsidR="00000000" w:rsidRPr="00000000">
        <w:rPr>
          <w:rFonts w:ascii="Arial" w:cs="Arial" w:eastAsia="Arial" w:hAnsi="Arial"/>
          <w:b w:val="1"/>
          <w:bCs w:val="1"/>
          <w:color w:val="2e86ab"/>
          <w:sz w:val="26"/>
          <w:szCs w:val="26"/>
          <w:rtl w:val="0"/>
        </w:rPr>
        <w:t xml:space="preserve">4.2 Information Leakage (Client Names)</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Arial" w:cs="Arial" w:eastAsia="Arial" w:hAnsi="Arial"/>
          <w:sz w:val="22"/>
          <w:szCs w:val="22"/>
          <w:rtl w:val="0"/>
        </w:rPr>
        <w:t xml:space="preserve">The URL paths /login/chen%20co and /login/pay+ reveal client names or test client identifiers. In the competitive Customer Communications Management market, this represents information leakage that could be leveraged for social engineering, competitive intelligence gathering, or targeted phishing campaigns against Racami’s clients.</w:t>
      </w:r>
      <w:r w:rsidDel="00000000" w:rsidR="00000000" w:rsidRPr="00000000">
        <w:rPr>
          <w:rtl w:val="0"/>
        </w:rPr>
      </w:r>
    </w:p>
    <w:p w:rsidR="00000000" w:rsidDel="00000000" w:rsidP="00000000" w:rsidRDefault="00000000" w:rsidRPr="00000000" w14:paraId="00000049">
      <w:pPr>
        <w:pStyle w:val="Heading2"/>
        <w:spacing w:after="160" w:before="280" w:lineRule="auto"/>
        <w:rPr/>
      </w:pPr>
      <w:r w:rsidDel="00000000" w:rsidR="00000000" w:rsidRPr="00000000">
        <w:rPr>
          <w:rFonts w:ascii="Arial" w:cs="Arial" w:eastAsia="Arial" w:hAnsi="Arial"/>
          <w:b w:val="1"/>
          <w:bCs w:val="1"/>
          <w:color w:val="2e86ab"/>
          <w:sz w:val="26"/>
          <w:szCs w:val="26"/>
          <w:rtl w:val="0"/>
        </w:rPr>
        <w:t xml:space="preserve">4.3 High-Value Targets</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Arial" w:cs="Arial" w:eastAsia="Arial" w:hAnsi="Arial"/>
          <w:b w:val="1"/>
          <w:bCs w:val="1"/>
          <w:sz w:val="22"/>
          <w:szCs w:val="22"/>
          <w:rtl w:val="0"/>
        </w:rPr>
        <w:t xml:space="preserve">GitLab (g</w:t>
      </w:r>
      <w:r w:rsidDel="00000000" w:rsidR="00000000" w:rsidRPr="00000000">
        <w:rPr>
          <w:b w:val="1"/>
          <w:bCs w:val="1"/>
          <w:rtl w:val="0"/>
        </w:rPr>
        <w:t xml:space="preserve">xx.xxxxxx</w:t>
      </w:r>
      <w:r w:rsidDel="00000000" w:rsidR="00000000" w:rsidRPr="00000000">
        <w:rPr>
          <w:rFonts w:ascii="Arial" w:cs="Arial" w:eastAsia="Arial" w:hAnsi="Arial"/>
          <w:b w:val="1"/>
          <w:bCs w:val="1"/>
          <w:sz w:val="22"/>
          <w:szCs w:val="22"/>
          <w:rtl w:val="0"/>
        </w:rPr>
        <w:t xml:space="preserve">.com) — Tier-0 Asset: </w:t>
      </w:r>
      <w:r w:rsidDel="00000000" w:rsidR="00000000" w:rsidRPr="00000000">
        <w:rPr>
          <w:rFonts w:ascii="Arial" w:cs="Arial" w:eastAsia="Arial" w:hAnsi="Arial"/>
          <w:sz w:val="22"/>
          <w:szCs w:val="22"/>
          <w:rtl w:val="0"/>
        </w:rPr>
        <w:t xml:space="preserve">Compromise of this system would enable an attacker to inject malicious code into the Alchem-e platform, leading to a supply-chain attack affecting all downstream customers across financial services, healthcare, and insurance sectors.</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Arial" w:cs="Arial" w:eastAsia="Arial" w:hAnsi="Arial"/>
          <w:b w:val="1"/>
          <w:bCs w:val="1"/>
          <w:sz w:val="22"/>
          <w:szCs w:val="22"/>
          <w:rtl w:val="0"/>
        </w:rPr>
        <w:t xml:space="preserve">Jira (w</w:t>
      </w:r>
      <w:r w:rsidDel="00000000" w:rsidR="00000000" w:rsidRPr="00000000">
        <w:rPr>
          <w:b w:val="1"/>
          <w:bCs w:val="1"/>
          <w:rtl w:val="0"/>
        </w:rPr>
        <w:t xml:space="preserve">xxx.xxxxxx</w:t>
      </w:r>
      <w:r w:rsidDel="00000000" w:rsidR="00000000" w:rsidRPr="00000000">
        <w:rPr>
          <w:rFonts w:ascii="Arial" w:cs="Arial" w:eastAsia="Arial" w:hAnsi="Arial"/>
          <w:b w:val="1"/>
          <w:bCs w:val="1"/>
          <w:sz w:val="22"/>
          <w:szCs w:val="22"/>
          <w:rtl w:val="0"/>
        </w:rPr>
        <w:t xml:space="preserve">.com) — Tier-0 Asset: </w:t>
      </w:r>
      <w:r w:rsidDel="00000000" w:rsidR="00000000" w:rsidRPr="00000000">
        <w:rPr>
          <w:rFonts w:ascii="Arial" w:cs="Arial" w:eastAsia="Arial" w:hAnsi="Arial"/>
          <w:sz w:val="22"/>
          <w:szCs w:val="22"/>
          <w:rtl w:val="0"/>
        </w:rPr>
        <w:t xml:space="preserve">Jira instances typically contain sensitive information about unpatched software vulnerabilities, internal network documentation, authentication workflows, and sprint planning data. HellCat’s exploitation of this exact system in April 2025 using the stolen credentials from this stealer log validates this risk assessment.</w:t>
      </w:r>
      <w:r w:rsidDel="00000000" w:rsidR="00000000" w:rsidRPr="00000000">
        <w:rPr>
          <w:rtl w:val="0"/>
        </w:rPr>
      </w:r>
    </w:p>
    <w:p w:rsidR="00000000" w:rsidDel="00000000" w:rsidP="00000000" w:rsidRDefault="00000000" w:rsidRPr="00000000" w14:paraId="0000004C">
      <w:pPr>
        <w:pStyle w:val="Heading2"/>
        <w:spacing w:after="160" w:before="280" w:lineRule="auto"/>
        <w:rPr/>
      </w:pPr>
      <w:r w:rsidDel="00000000" w:rsidR="00000000" w:rsidRPr="00000000">
        <w:rPr>
          <w:rFonts w:ascii="Arial" w:cs="Arial" w:eastAsia="Arial" w:hAnsi="Arial"/>
          <w:b w:val="1"/>
          <w:bCs w:val="1"/>
          <w:color w:val="2e86ab"/>
          <w:sz w:val="26"/>
          <w:szCs w:val="26"/>
          <w:rtl w:val="0"/>
        </w:rPr>
        <w:t xml:space="preserve">4.4 Technology Stack (Inferred)</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Web Server: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Likely Apache or Nginx (reverse proxy)</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 technologies (indicated by .jspa extension and CCM architecture patterns)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Authentication: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portals likely hook into LDAP or Active Directory for internal users; clients use local DB or SSO</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Multi-Tenancy: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URL-path-based tenant isolation (client-specific login endpoints)</w:t>
      </w:r>
    </w:p>
    <w:p w:rsidR="00000000" w:rsidDel="00000000" w:rsidP="00000000" w:rsidRDefault="00000000" w:rsidRPr="00000000" w14:paraId="00000051">
      <w:pPr>
        <w:pStyle w:val="Heading1"/>
        <w:spacing w:after="200" w:before="360" w:lineRule="auto"/>
        <w:rPr/>
      </w:pPr>
      <w:r w:rsidDel="00000000" w:rsidR="00000000" w:rsidRPr="00000000">
        <w:rPr>
          <w:rFonts w:ascii="Arial" w:cs="Arial" w:eastAsia="Arial" w:hAnsi="Arial"/>
          <w:b w:val="1"/>
          <w:bCs w:val="1"/>
          <w:color w:val="1b2a4a"/>
          <w:sz w:val="32"/>
          <w:szCs w:val="32"/>
          <w:rtl w:val="0"/>
        </w:rPr>
        <w:t xml:space="preserve">5. Recommendations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Restrict non-production environments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(QA, STG, UAT) to internal IP ranges or VPN-only access immediately.</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Enforce MFA on git.racami.com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its role as the source code repository and supply-chain attack vector.</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Eliminate superadmin credential reuse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across all 9 CIS environments with unique, per-environment service accounts.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Remove client identifiers from URL paths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prevent information leakage and social engineering targeting.</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 credential rotation policy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maximum 90-day lifetime for all privileged accounts to prevent the 29-month dwell scenario.</w:t>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after="200" w:before="360" w:lineRule="auto"/>
        <w:rPr/>
      </w:pPr>
      <w:r w:rsidDel="00000000" w:rsidR="00000000" w:rsidRPr="00000000">
        <w:rPr>
          <w:rFonts w:ascii="Arial" w:cs="Arial" w:eastAsia="Arial" w:hAnsi="Arial"/>
          <w:b w:val="1"/>
          <w:bCs w:val="1"/>
          <w:color w:val="1b2a4a"/>
          <w:sz w:val="32"/>
          <w:szCs w:val="32"/>
          <w:rtl w:val="0"/>
        </w:rPr>
        <w:t xml:space="preserve">References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Hudson Rock / Cavalier Platform. Stealer Log GH[984304A1DB022880654C9054CBD33F2D] — racami.com. 13 credential pairs. RedLine Stealer.</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Hudson Rock / InfoStealers.com. “HellCat Ransomware Group Strikes Again.” April 5, 2025.</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BleepingComputer. “HellCat hackers go on a worldwide Jira hacking spree.” March 20, 2025.</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MITRE ATT&amp;CK. Enterprise Techniques Matrix (v14). https://attack.mitre.org/</w:t>
      </w:r>
      <w:r w:rsidDel="00000000" w:rsidR="00000000" w:rsidRPr="00000000">
        <w:rPr>
          <w:rtl w:val="0"/>
        </w:rPr>
      </w:r>
    </w:p>
    <w:p w:rsidR="00000000" w:rsidDel="00000000" w:rsidP="00000000" w:rsidRDefault="00000000" w:rsidRPr="00000000" w14:paraId="0000005D">
      <w:pPr>
        <w:pBdr>
          <w:bottom w:color="cbd5e0" w:space="1" w:sz="4" w:val="single"/>
        </w:pBdr>
        <w:spacing w:after="200" w:before="400" w:lineRule="auto"/>
        <w:rPr/>
      </w:pPr>
      <w:r w:rsidDel="00000000" w:rsidR="00000000" w:rsidRPr="00000000">
        <w:rPr>
          <w:rtl w:val="0"/>
        </w:rPr>
      </w:r>
    </w:p>
    <w:p w:rsidR="00000000" w:rsidDel="00000000" w:rsidP="00000000" w:rsidRDefault="00000000" w:rsidRPr="00000000" w14:paraId="0000005E">
      <w:pPr>
        <w:pStyle w:val="Heading1"/>
        <w:spacing w:after="200" w:before="360" w:lineRule="auto"/>
        <w:rPr/>
      </w:pPr>
      <w:r w:rsidDel="00000000" w:rsidR="00000000" w:rsidRPr="00000000">
        <w:rPr>
          <w:rFonts w:ascii="Arial" w:cs="Arial" w:eastAsia="Arial" w:hAnsi="Arial"/>
          <w:b w:val="1"/>
          <w:bCs w:val="1"/>
          <w:color w:val="1b2a4a"/>
          <w:sz w:val="32"/>
          <w:szCs w:val="32"/>
          <w:rtl w:val="0"/>
        </w:rPr>
        <w:t xml:space="preserve">Document Control</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0" w:space="0" w:sz="4" w:val="single"/>
              <w:left w:color="cbd5e0" w:space="0" w:sz="4" w:val="single"/>
              <w:bottom w:color="cbd5e0" w:space="0" w:sz="4" w:val="single"/>
              <w:right w:color="cbd5e0" w:space="0" w:sz="4" w:val="single"/>
            </w:tcBorders>
            <w:shd w:fill="2e86ab"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2e86ab"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Document ID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TD-10</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Title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Racami URL Analysis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Version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Date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February 12, 2026</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Author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Team Delta</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Classification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CONFIDENTIAL</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Related Documents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TD-01 (Evidence), TD-02 (MITRE ATT&amp;CK), TD-03 (Risk Assessment)</w:t>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jc w:val="center"/>
      <w:rPr/>
    </w:pPr>
    <w:r w:rsidDel="00000000" w:rsidR="00000000" w:rsidRPr="00000000">
      <w:rPr>
        <w:rFonts w:ascii="Arial" w:cs="Arial" w:eastAsia="Arial" w:hAnsi="Arial"/>
        <w:color w:val="718096"/>
        <w:sz w:val="16"/>
        <w:szCs w:val="16"/>
        <w:rtl w:val="0"/>
      </w:rPr>
      <w:t xml:space="preserve">Page </w:t>
    </w:r>
    <w:r w:rsidDel="00000000" w:rsidR="00000000" w:rsidRPr="00000000">
      <w:rPr>
        <w:rFonts w:ascii="Arial" w:cs="Arial" w:eastAsia="Arial" w:hAnsi="Arial"/>
        <w:color w:val="71809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jc w:val="right"/>
      <w:rPr/>
    </w:pPr>
    <w:r w:rsidDel="00000000" w:rsidR="00000000" w:rsidRPr="00000000">
      <w:rPr>
        <w:rFonts w:ascii="Arial" w:cs="Arial" w:eastAsia="Arial" w:hAnsi="Arial"/>
        <w:b w:val="1"/>
        <w:bCs w:val="1"/>
        <w:color w:val="1b2a4a"/>
        <w:sz w:val="16"/>
        <w:szCs w:val="16"/>
        <w:rtl w:val="0"/>
      </w:rPr>
      <w:t xml:space="preserve">TEAM DELTA</w:t>
    </w:r>
    <w:r w:rsidDel="00000000" w:rsidR="00000000" w:rsidRPr="00000000">
      <w:rPr>
        <w:rFonts w:ascii="Arial" w:cs="Arial" w:eastAsia="Arial" w:hAnsi="Arial"/>
        <w:color w:val="718096"/>
        <w:sz w:val="16"/>
        <w:szCs w:val="16"/>
        <w:rtl w:val="0"/>
      </w:rPr>
      <w:t xml:space="preserve">  |  TD-10 Racami URL Analysis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2a4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86a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yxSM971+T54HS0ToUVC5FOd3ww==">CgMxLjA4AHIhMUFTTl9XZE1WRHNzcTh2dTdFbUFqNnFidWhra2h5eXNZ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2026-02-13T00:09:11.150Z</dcterms:created>
  <dc:creator>Un-named</dc:creator>
</cp:coreProperties>
</file>

<file path=docProps/custom.xml><?xml version="1.0" encoding="utf-8"?>
<Properties xmlns="http://schemas.openxmlformats.org/officeDocument/2006/custom-properties" xmlns:vt="http://schemas.openxmlformats.org/officeDocument/2006/docPropsVTypes"/>
</file>