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0"/>
      </w:pPr>
    </w:p>
    <w:p>
      <w:pPr>
        <w:spacing w:after="0"/>
      </w:pPr>
    </w:p>
    <w:p>
      <w:pPr>
        <w:spacing w:after="80"/>
        <w:jc w:val="center"/>
      </w:pPr>
      <w:r>
        <w:rPr>
          <w:rFonts w:ascii="Arial" w:cs="Arial" w:eastAsia="Arial" w:hAnsi="Arial"/>
          <w:b/>
          <w:bCs/>
          <w:color w:val="1B2A4A"/>
          <w:sz w:val="56"/>
          <w:szCs w:val="56"/>
        </w:rPr>
        <w:t xml:space="preserve">TEAM DELTA</w:t>
      </w:r>
    </w:p>
    <w:p>
      <w:pPr>
        <w:spacing w:after="40"/>
        <w:jc w:val="center"/>
      </w:pPr>
      <w:r>
        <w:rPr>
          <w:rFonts w:ascii="Arial" w:cs="Arial" w:eastAsia="Arial" w:hAnsi="Arial"/>
          <w:color w:val="78909C"/>
          <w:sz w:val="24"/>
          <w:szCs w:val="24"/>
        </w:rPr>
        <w:t xml:space="preserve">2026-CAX-500 Cybersecurity Capstone</w:t>
      </w:r>
    </w:p>
    <w:p>
      <w:pPr>
        <w:pBdr>
          <w:bottom w:val="single" w:color="2E86AB" w:sz="2"/>
        </w:pBdr>
        <w:spacing w:before="200" w:after="200"/>
      </w:pPr>
      <w:r>
        <w:rPr>
          <w:sz w:val="2"/>
          <w:szCs w:val="2"/>
        </w:rPr>
        <w:t xml:space="preserve"/>
      </w:r>
    </w:p>
    <w:p>
      <w:pPr>
        <w:spacing w:after="200"/>
        <w:jc w:val="center"/>
      </w:pPr>
      <w:r>
        <w:rPr>
          <w:rFonts w:ascii="Arial" w:cs="Arial" w:eastAsia="Arial" w:hAnsi="Arial"/>
          <w:b/>
          <w:bCs/>
          <w:color w:val="2E86AB"/>
          <w:sz w:val="40"/>
          <w:szCs w:val="40"/>
        </w:rPr>
        <w:t xml:space="preserve">OSINT Analysis Report</w:t>
      </w:r>
    </w:p>
    <w:p>
      <w:pPr>
        <w:spacing w:after="60"/>
        <w:jc w:val="center"/>
      </w:pPr>
      <w:r>
        <w:rPr>
          <w:rFonts w:ascii="Arial" w:cs="Arial" w:eastAsia="Arial" w:hAnsi="Arial"/>
          <w:color w:val="1B2A4A"/>
          <w:sz w:val="28"/>
          <w:szCs w:val="28"/>
        </w:rPr>
        <w:t xml:space="preserve">Racami, LLC — Open-Source Intelligence Assessment</w:t>
      </w:r>
    </w:p>
    <w:p>
      <w:pPr>
        <w:spacing w:after="60"/>
        <w:jc w:val="center"/>
      </w:pPr>
      <w:r>
        <w:rPr>
          <w:rFonts w:ascii="Arial" w:cs="Arial" w:eastAsia="Arial" w:hAnsi="Arial"/>
          <w:color w:val="78909C"/>
          <w:sz w:val="22"/>
          <w:szCs w:val="22"/>
        </w:rPr>
        <w:t xml:space="preserve">Original Analysis: Google Gemini  |  Reformatted: Team Delta</w:t>
      </w:r>
    </w:p>
    <w:p>
      <w:pPr>
        <w:spacing w:after="400"/>
        <w:jc w:val="center"/>
      </w:pPr>
      <w:r>
        <w:rPr>
          <w:rFonts w:ascii="Arial" w:cs="Arial" w:eastAsia="Arial" w:hAnsi="Arial"/>
          <w:color w:val="78909C"/>
          <w:sz w:val="20"/>
          <w:szCs w:val="20"/>
        </w:rPr>
        <w:t xml:space="preserve">Document Date: February 12, 2026  |  Classification: CONFIDENTIAL</w:t>
      </w:r>
    </w:p>
    <w:p>
      <w:r>
        <w:br w:type="page"/>
      </w:r>
    </w:p>
    <w:p>
      <w:pPr>
        <w:pStyle w:val="Heading1"/>
      </w:pPr>
      <w:r>
        <w:t xml:space="preserve">1. Company Overview — Racami, LLC</w:t>
      </w:r>
    </w:p>
    <w:p>
      <w:pPr>
        <w:spacing w:after="120"/>
      </w:pPr>
      <w:r>
        <w:rPr>
          <w:rFonts w:ascii="Arial" w:cs="Arial" w:eastAsia="Arial" w:hAnsi="Arial"/>
          <w:color w:val="1B2A4A"/>
          <w:sz w:val="22"/>
          <w:szCs w:val="22"/>
        </w:rPr>
        <w:t xml:space="preserve">Racami, LLC is a private information technology and software services provider headquartered in Norcross, Georgia, with additional operations in Atlanta. The company specializes in Customer Communications Management (CCM) solutions, workflow automation, and SaaS offerings supporting high-volume transactional communications.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702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Founded</w:t>
            </w:r>
          </w:p>
        </w:tc>
        <w:tc>
          <w:tcPr>
            <w:tcW w:type="dxa" w:w="70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2008</w:t>
            </w:r>
          </w:p>
        </w:tc>
      </w:tr>
      <w:tr>
        <w:tc>
          <w:tcPr>
            <w:tcW w:type="dxa" w:w="23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Headquarters</w:t>
            </w:r>
          </w:p>
        </w:tc>
        <w:tc>
          <w:tcPr>
            <w:tcW w:type="dxa" w:w="70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Norcross, Georgia, USA</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Industry</w:t>
            </w:r>
          </w:p>
        </w:tc>
        <w:tc>
          <w:tcPr>
            <w:tcW w:type="dxa" w:w="70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Information Technology / Software Services</w:t>
            </w:r>
          </w:p>
        </w:tc>
      </w:tr>
      <w:tr>
        <w:tc>
          <w:tcPr>
            <w:tcW w:type="dxa" w:w="23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Specialization</w:t>
            </w:r>
          </w:p>
        </w:tc>
        <w:tc>
          <w:tcPr>
            <w:tcW w:type="dxa" w:w="70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Customer Communications Management (CCM), workflow automation, SaaS</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Flagship Platform</w:t>
            </w:r>
          </w:p>
        </w:tc>
        <w:tc>
          <w:tcPr>
            <w:tcW w:type="dxa" w:w="70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Alchem-e™ (modules: Pay, Proof, Doc Creator, Batch, Edge)</w:t>
            </w:r>
          </w:p>
        </w:tc>
      </w:tr>
      <w:tr>
        <w:tc>
          <w:tcPr>
            <w:tcW w:type="dxa" w:w="23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Core Services</w:t>
            </w:r>
          </w:p>
        </w:tc>
        <w:tc>
          <w:tcPr>
            <w:tcW w:type="dxa" w:w="70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Managed IT expertise, database hosting, document lifecycle automation</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Key Sectors</w:t>
            </w:r>
          </w:p>
        </w:tc>
        <w:tc>
          <w:tcPr>
            <w:tcW w:type="dxa" w:w="70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Financial services, healthcare, insurance</w:t>
            </w:r>
          </w:p>
        </w:tc>
      </w:tr>
      <w:tr>
        <w:tc>
          <w:tcPr>
            <w:tcW w:type="dxa" w:w="23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Company Type</w:t>
            </w:r>
          </w:p>
        </w:tc>
        <w:tc>
          <w:tcPr>
            <w:tcW w:type="dxa" w:w="70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Private (LLC)</w:t>
            </w:r>
          </w:p>
        </w:tc>
      </w:tr>
    </w:tbl>
    <w:p>
      <w:pPr>
        <w:pBdr>
          <w:bottom w:val="single" w:color="2E86AB" w:sz="2"/>
        </w:pBdr>
        <w:spacing w:before="200" w:after="200"/>
      </w:pPr>
      <w:r>
        <w:rPr>
          <w:sz w:val="2"/>
          <w:szCs w:val="2"/>
        </w:rPr>
        <w:t xml:space="preserve"/>
      </w:r>
    </w:p>
    <w:p>
      <w:pPr>
        <w:pStyle w:val="Heading1"/>
      </w:pPr>
      <w:r>
        <w:t xml:space="preserve">2. Executive Summary</w:t>
      </w:r>
    </w:p>
    <w:p>
      <w:pPr>
        <w:spacing w:after="120"/>
      </w:pPr>
      <w:r>
        <w:rPr>
          <w:rFonts w:ascii="Arial" w:cs="Arial" w:eastAsia="Arial" w:hAnsi="Arial"/>
          <w:b w:val="false"/>
          <w:bCs w:val="false"/>
          <w:i w:val="false"/>
          <w:iCs w:val="false"/>
          <w:color w:val="1B2A4A"/>
          <w:sz w:val="22"/>
          <w:szCs w:val="22"/>
        </w:rPr>
        <w:t xml:space="preserve">In November 2022, an endpoint within Racami’s environment was infected with RedLine Stealer malware. The malware exfiltrated stored browser credentials and session cookies, including login credentials for Racami’s Atlassian Jira instance </w:t>
      </w:r>
      <w:r>
        <w:rPr>
          <w:rFonts w:ascii="Arial" w:cs="Arial" w:eastAsia="Arial" w:hAnsi="Arial"/>
          <w:b/>
          <w:bCs/>
          <w:i w:val="false"/>
          <w:iCs w:val="false"/>
          <w:color w:val="1B2A4A"/>
          <w:sz w:val="22"/>
          <w:szCs w:val="22"/>
        </w:rPr>
        <w:t xml:space="preserve">[1]</w:t>
      </w:r>
      <w:r>
        <w:rPr>
          <w:rFonts w:ascii="Arial" w:cs="Arial" w:eastAsia="Arial" w:hAnsi="Arial"/>
          <w:b w:val="false"/>
          <w:bCs w:val="false"/>
          <w:i w:val="false"/>
          <w:iCs w:val="false"/>
          <w:color w:val="1B2A4A"/>
          <w:sz w:val="22"/>
          <w:szCs w:val="22"/>
        </w:rPr>
        <w:t xml:space="preserve">.</w:t>
      </w:r>
    </w:p>
    <w:p>
      <w:pPr>
        <w:spacing w:after="120"/>
      </w:pPr>
      <w:r>
        <w:rPr>
          <w:rFonts w:ascii="Arial" w:cs="Arial" w:eastAsia="Arial" w:hAnsi="Arial"/>
          <w:b w:val="false"/>
          <w:bCs w:val="false"/>
          <w:i w:val="false"/>
          <w:iCs w:val="false"/>
          <w:color w:val="1B2A4A"/>
          <w:sz w:val="22"/>
          <w:szCs w:val="22"/>
        </w:rPr>
        <w:t xml:space="preserve">These stolen credentials remained in the cybercrime supply chain (dark web log shops) until April 2025, when they were weaponized by the HellCat ransomware group to bypass perimeter security and exfiltrate internal data </w:t>
      </w:r>
      <w:r>
        <w:rPr>
          <w:rFonts w:ascii="Arial" w:cs="Arial" w:eastAsia="Arial" w:hAnsi="Arial"/>
          <w:b/>
          <w:bCs/>
          <w:i w:val="false"/>
          <w:iCs w:val="false"/>
          <w:color w:val="1B2A4A"/>
          <w:sz w:val="22"/>
          <w:szCs w:val="22"/>
        </w:rPr>
        <w:t xml:space="preserve">[2][3]</w:t>
      </w:r>
      <w:r>
        <w:rPr>
          <w:rFonts w:ascii="Arial" w:cs="Arial" w:eastAsia="Arial" w:hAnsi="Arial"/>
          <w:b w:val="false"/>
          <w:bCs w:val="false"/>
          <w:i w:val="false"/>
          <w:iCs w:val="false"/>
          <w:color w:val="1B2A4A"/>
          <w:sz w:val="22"/>
          <w:szCs w:val="22"/>
        </w:rPr>
        <w:t xml:space="preserve">.</w:t>
      </w:r>
    </w:p>
    <w:p>
      <w:pPr>
        <w:spacing w:after="120"/>
      </w:pPr>
      <w:r>
        <w:rPr>
          <w:rFonts w:ascii="Arial" w:cs="Arial" w:eastAsia="Arial" w:hAnsi="Arial"/>
          <w:b w:val="false"/>
          <w:bCs w:val="false"/>
          <w:i w:val="false"/>
          <w:iCs w:val="false"/>
          <w:color w:val="1B2A4A"/>
          <w:sz w:val="22"/>
          <w:szCs w:val="22"/>
        </w:rPr>
        <w:t xml:space="preserve">The OSINT for this incident is derived from forensic links established following the 2025 ransomware event. The primary intelligence resource is Hudson Rock, a cybercrime intelligence firm that identified the exact timestamp and malware type by cross-referencing stolen credentials found on the dark web with the 2025 breach </w:t>
      </w:r>
      <w:r>
        <w:rPr>
          <w:rFonts w:ascii="Arial" w:cs="Arial" w:eastAsia="Arial" w:hAnsi="Arial"/>
          <w:b/>
          <w:bCs/>
          <w:i w:val="false"/>
          <w:iCs w:val="false"/>
          <w:color w:val="1B2A4A"/>
          <w:sz w:val="22"/>
          <w:szCs w:val="22"/>
        </w:rPr>
        <w:t xml:space="preserve">[2]</w:t>
      </w:r>
      <w:r>
        <w:rPr>
          <w:rFonts w:ascii="Arial" w:cs="Arial" w:eastAsia="Arial" w:hAnsi="Arial"/>
          <w:b w:val="false"/>
          <w:bCs w:val="false"/>
          <w:i w:val="false"/>
          <w:iCs w:val="false"/>
          <w:color w:val="1B2A4A"/>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Classification</w:t>
            </w:r>
          </w:p>
        </w:tc>
        <w:tc>
          <w:tcPr>
            <w:tcW w:type="dxa" w:w="702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Event Date</w:t>
            </w:r>
          </w:p>
        </w:tc>
        <w:tc>
          <w:tcPr>
            <w:tcW w:type="dxa" w:w="70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November 5, 2022 (initial compromise)</w:t>
            </w:r>
          </w:p>
        </w:tc>
      </w:tr>
      <w:tr>
        <w:tc>
          <w:tcPr>
            <w:tcW w:type="dxa" w:w="23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Malware Family</w:t>
            </w:r>
          </w:p>
        </w:tc>
        <w:tc>
          <w:tcPr>
            <w:tcW w:type="dxa" w:w="70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RedLine Stealer</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Stealer Log ID</w:t>
            </w:r>
          </w:p>
        </w:tc>
        <w:tc>
          <w:tcPr>
            <w:tcW w:type="dxa" w:w="70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GH[984304A1DB022880654C9054CBD33F2D]</w:t>
            </w:r>
          </w:p>
        </w:tc>
      </w:tr>
      <w:tr>
        <w:tc>
          <w:tcPr>
            <w:tcW w:type="dxa" w:w="23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Impact Level</w:t>
            </w:r>
          </w:p>
        </w:tc>
        <w:tc>
          <w:tcPr>
            <w:tcW w:type="dxa" w:w="70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CRITICAL — led to full ransomware breach in April 2025</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Exploitation Date</w:t>
            </w:r>
          </w:p>
        </w:tc>
        <w:tc>
          <w:tcPr>
            <w:tcW w:type="dxa" w:w="70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April 5, 2025 (HellCat ransomware)</w:t>
            </w:r>
          </w:p>
        </w:tc>
      </w:tr>
      <w:tr>
        <w:tc>
          <w:tcPr>
            <w:tcW w:type="dxa" w:w="23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Dwell Time</w:t>
            </w:r>
          </w:p>
        </w:tc>
        <w:tc>
          <w:tcPr>
            <w:tcW w:type="dxa" w:w="70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~29 months (Nov 2022 – Apr 2025)</w:t>
            </w:r>
          </w:p>
        </w:tc>
      </w:tr>
    </w:tbl>
    <w:p>
      <w:r>
        <w:br w:type="page"/>
      </w:r>
    </w:p>
    <w:p>
      <w:pPr>
        <w:pStyle w:val="Heading1"/>
      </w:pPr>
      <w:r>
        <w:t xml:space="preserve">3. Threat Actor Tactics &amp; Initial Entry (2022)</w:t>
      </w:r>
    </w:p>
    <w:p>
      <w:pPr>
        <w:spacing w:after="120"/>
      </w:pPr>
      <w:r>
        <w:rPr>
          <w:rFonts w:ascii="Arial" w:cs="Arial" w:eastAsia="Arial" w:hAnsi="Arial"/>
          <w:b w:val="false"/>
          <w:bCs w:val="false"/>
          <w:i w:val="false"/>
          <w:iCs w:val="false"/>
          <w:color w:val="1B2A4A"/>
          <w:sz w:val="22"/>
          <w:szCs w:val="22"/>
        </w:rPr>
        <w:t xml:space="preserve">The 2022 infection was likely part of a broad Malware-as-a-Service (MaaS) campaign. RedLine Stealer is one of the most widely distributed infostealers, available on underground forums for approximately $150–200/month </w:t>
      </w:r>
      <w:r>
        <w:rPr>
          <w:rFonts w:ascii="Arial" w:cs="Arial" w:eastAsia="Arial" w:hAnsi="Arial"/>
          <w:b/>
          <w:bCs/>
          <w:i w:val="false"/>
          <w:iCs w:val="false"/>
          <w:color w:val="1B2A4A"/>
          <w:sz w:val="22"/>
          <w:szCs w:val="22"/>
        </w:rPr>
        <w:t xml:space="preserve">[5]</w:t>
      </w:r>
      <w:r>
        <w:rPr>
          <w:rFonts w:ascii="Arial" w:cs="Arial" w:eastAsia="Arial" w:hAnsi="Arial"/>
          <w:b w:val="false"/>
          <w:bCs w:val="false"/>
          <w:i w:val="false"/>
          <w:iCs w:val="false"/>
          <w:color w:val="1B2A4A"/>
          <w:sz w:val="22"/>
          <w:szCs w:val="22"/>
        </w:rPr>
        <w:t xml:space="preserve">.</w:t>
      </w:r>
    </w:p>
    <w:p>
      <w:pPr>
        <w:pStyle w:val="Heading2"/>
      </w:pPr>
      <w:r>
        <w:t xml:space="preserve">3.1 Initial Vector</w:t>
      </w:r>
    </w:p>
    <w:p>
      <w:pPr>
        <w:spacing w:after="120"/>
      </w:pPr>
      <w:r>
        <w:rPr>
          <w:rFonts w:ascii="Arial" w:cs="Arial" w:eastAsia="Arial" w:hAnsi="Arial"/>
          <w:color w:val="1B2A4A"/>
          <w:sz w:val="22"/>
          <w:szCs w:val="22"/>
        </w:rPr>
        <w:t xml:space="preserve">RedLine is typically delivered via:</w:t>
      </w:r>
    </w:p>
    <w:p>
      <w:pPr>
        <w:pStyle w:val="ListParagraph"/>
        <w:numPr>
          <w:ilvl w:val="0"/>
          <w:numId w:val="2"/>
        </w:numPr>
      </w:pPr>
      <w:r>
        <w:rPr>
          <w:rFonts w:ascii="Arial" w:cs="Arial" w:eastAsia="Arial" w:hAnsi="Arial"/>
          <w:color w:val="1B2A4A"/>
          <w:sz w:val="22"/>
          <w:szCs w:val="22"/>
        </w:rPr>
        <w:t xml:space="preserve">"ClickFix" campaigns: Malicious fake CAPTCHAs that execute clipboard-injected PowerShell commands.</w:t>
      </w:r>
    </w:p>
    <w:p>
      <w:pPr>
        <w:pStyle w:val="ListParagraph"/>
        <w:numPr>
          <w:ilvl w:val="0"/>
          <w:numId w:val="2"/>
        </w:numPr>
      </w:pPr>
      <w:r>
        <w:rPr>
          <w:rFonts w:ascii="Arial" w:cs="Arial" w:eastAsia="Arial" w:hAnsi="Arial"/>
          <w:color w:val="1B2A4A"/>
          <w:sz w:val="22"/>
          <w:szCs w:val="22"/>
        </w:rPr>
        <w:t xml:space="preserve">Cracked software downloads: Trojanized application installers distributed via file-sharing sites.</w:t>
      </w:r>
    </w:p>
    <w:p>
      <w:pPr>
        <w:pStyle w:val="ListParagraph"/>
        <w:numPr>
          <w:ilvl w:val="0"/>
          <w:numId w:val="2"/>
        </w:numPr>
      </w:pPr>
      <w:r>
        <w:rPr>
          <w:rFonts w:ascii="Arial" w:cs="Arial" w:eastAsia="Arial" w:hAnsi="Arial"/>
          <w:color w:val="1B2A4A"/>
          <w:sz w:val="22"/>
          <w:szCs w:val="22"/>
        </w:rPr>
        <w:t xml:space="preserve">Spear-phishing emails: Targeted emails with malicious attachments or links.</w:t>
      </w:r>
    </w:p>
    <w:p>
      <w:pPr>
        <w:spacing w:after="120"/>
      </w:pPr>
      <w:r>
        <w:rPr>
          <w:rFonts w:ascii="Arial" w:cs="Arial" w:eastAsia="Arial" w:hAnsi="Arial"/>
          <w:b w:val="false"/>
          <w:bCs w:val="false"/>
          <w:i w:val="false"/>
          <w:iCs w:val="false"/>
          <w:color w:val="1B2A4A"/>
          <w:sz w:val="22"/>
          <w:szCs w:val="22"/>
        </w:rPr>
        <w:t xml:space="preserve">In the Racami case, the malware executed from C:\Users\r****\AppData\Local\Temp\1000001001\bre.exe, which is consistent with a phishing or malvertising delivery chain </w:t>
      </w:r>
      <w:r>
        <w:rPr>
          <w:rFonts w:ascii="Arial" w:cs="Arial" w:eastAsia="Arial" w:hAnsi="Arial"/>
          <w:b/>
          <w:bCs/>
          <w:i w:val="false"/>
          <w:iCs w:val="false"/>
          <w:color w:val="1B2A4A"/>
          <w:sz w:val="22"/>
          <w:szCs w:val="22"/>
        </w:rPr>
        <w:t xml:space="preserve">[1]</w:t>
      </w:r>
      <w:r>
        <w:rPr>
          <w:rFonts w:ascii="Arial" w:cs="Arial" w:eastAsia="Arial" w:hAnsi="Arial"/>
          <w:b w:val="false"/>
          <w:bCs w:val="false"/>
          <w:i w:val="false"/>
          <w:iCs w:val="false"/>
          <w:color w:val="1B2A4A"/>
          <w:sz w:val="22"/>
          <w:szCs w:val="22"/>
        </w:rPr>
        <w:t xml:space="preserve">.</w:t>
      </w:r>
    </w:p>
    <w:p>
      <w:pPr>
        <w:pStyle w:val="Heading2"/>
      </w:pPr>
      <w:r>
        <w:t xml:space="preserve">3.2 Credential Harvesting</w:t>
      </w:r>
    </w:p>
    <w:p>
      <w:pPr>
        <w:pStyle w:val="ListParagraph"/>
        <w:numPr>
          <w:ilvl w:val="0"/>
          <w:numId w:val="2"/>
        </w:numPr>
      </w:pPr>
      <w:r>
        <w:rPr>
          <w:rFonts w:ascii="Arial" w:cs="Arial" w:eastAsia="Arial" w:hAnsi="Arial"/>
          <w:color w:val="1B2A4A"/>
          <w:sz w:val="22"/>
          <w:szCs w:val="22"/>
        </w:rPr>
        <w:t xml:space="preserve">The malware targeted browser credential stores: Chrome, Edge, and Firefox SQLite databases containing saved passwords and active session tokens [1].</w:t>
      </w:r>
    </w:p>
    <w:p>
      <w:pPr>
        <w:pStyle w:val="ListParagraph"/>
        <w:numPr>
          <w:ilvl w:val="0"/>
          <w:numId w:val="2"/>
        </w:numPr>
      </w:pPr>
      <w:r>
        <w:rPr>
          <w:rFonts w:ascii="Arial" w:cs="Arial" w:eastAsia="Arial" w:hAnsi="Arial"/>
          <w:color w:val="1B2A4A"/>
          <w:sz w:val="22"/>
          <w:szCs w:val="22"/>
        </w:rPr>
        <w:t xml:space="preserve">Specific target: The RedLine log for Racami contained credentials for the cloud-based Jira instance (work.racami.com) plus 12 additional credential pairs across production, staging, QA, and source code systems [1].</w:t>
      </w:r>
    </w:p>
    <w:p>
      <w:pPr>
        <w:pStyle w:val="ListParagraph"/>
        <w:numPr>
          <w:ilvl w:val="0"/>
          <w:numId w:val="2"/>
        </w:numPr>
      </w:pPr>
      <w:r>
        <w:rPr>
          <w:rFonts w:ascii="Arial" w:cs="Arial" w:eastAsia="Arial" w:hAnsi="Arial"/>
          <w:color w:val="1B2A4A"/>
          <w:sz w:val="22"/>
          <w:szCs w:val="22"/>
        </w:rPr>
        <w:t xml:space="preserve">Additional data: Browser autofill, Telegram desktop data, and system fingerprint information were also exfiltrated.</w:t>
      </w:r>
    </w:p>
    <w:p>
      <w:pPr>
        <w:pBdr>
          <w:bottom w:val="single" w:color="2E86AB" w:sz="2"/>
        </w:pBdr>
        <w:spacing w:before="200" w:after="200"/>
      </w:pPr>
      <w:r>
        <w:rPr>
          <w:sz w:val="2"/>
          <w:szCs w:val="2"/>
        </w:rPr>
        <w:t xml:space="preserve"/>
      </w:r>
    </w:p>
    <w:p>
      <w:pPr>
        <w:pStyle w:val="Heading1"/>
      </w:pPr>
      <w:r>
        <w:t xml:space="preserve">4. The Infostealer Lag (2022–2025)</w:t>
      </w:r>
    </w:p>
    <w:p>
      <w:pPr>
        <w:spacing w:after="120"/>
      </w:pPr>
      <w:r>
        <w:rPr>
          <w:rFonts w:ascii="Arial" w:cs="Arial" w:eastAsia="Arial" w:hAnsi="Arial"/>
          <w:color w:val="1B2A4A"/>
          <w:sz w:val="22"/>
          <w:szCs w:val="22"/>
        </w:rPr>
        <w:t xml:space="preserve">The Racami incident is a textbook example of delayed exploitation — the gap between credential theft and weaponization: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736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0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Harvesting (Nov 2022)</w:t>
            </w:r>
          </w:p>
        </w:tc>
        <w:tc>
          <w:tcPr>
            <w:tcW w:type="dxa" w:w="73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RedLine harvests 13 credential pairs from developer workstation. Log uploaded to attacker infrastructure within hours [1].</w:t>
            </w:r>
          </w:p>
        </w:tc>
      </w:tr>
      <w:tr>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Distribution (Nov 2022)</w:t>
            </w:r>
          </w:p>
        </w:tc>
        <w:tc>
          <w:tcPr>
            <w:tcW w:type="dxa" w:w="73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Stealer log detected 14 times on Hudson Rock/Cavalier by November 12, 2022, indicating distribution to multiple dark web marketplaces [1].</w:t>
            </w:r>
          </w:p>
        </w:tc>
      </w:tr>
      <w:tr>
        <w:tc>
          <w:tcPr>
            <w:tcW w:type="dxa" w:w="20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Dormancy (2022–2025)</w:t>
            </w:r>
          </w:p>
        </w:tc>
        <w:tc>
          <w:tcPr>
            <w:tcW w:type="dxa" w:w="73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Stolen credentials circulate in automated log shops (Russian Market, Genesis Market) for over two years. No credential rotation, no MFA, no dark web monitoring at Racami.</w:t>
            </w:r>
          </w:p>
        </w:tc>
      </w:tr>
      <w:tr>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Weaponization (Apr 2025)</w:t>
            </w:r>
          </w:p>
        </w:tc>
        <w:tc>
          <w:tcPr>
            <w:tcW w:type="dxa" w:w="73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HellCat ransomware group purchases old infostealer logs and tests them against corporate Jira instances lacking MFA [2][3].</w:t>
            </w:r>
          </w:p>
        </w:tc>
      </w:tr>
      <w:tr>
        <w:tc>
          <w:tcPr>
            <w:tcW w:type="dxa" w:w="20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Exploitation (Apr 5, 2025)</w:t>
            </w:r>
          </w:p>
        </w:tc>
        <w:tc>
          <w:tcPr>
            <w:tcW w:type="dxa" w:w="73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HellCat gains access to Racami’s Jira instance using the 2022 credentials. Data exfiltrated; extortion demands issued [2].</w:t>
            </w:r>
          </w:p>
        </w:tc>
      </w:tr>
    </w:tbl>
    <w:p>
      <w:r>
        <w:br w:type="page"/>
      </w:r>
    </w:p>
    <w:p>
      <w:pPr>
        <w:pStyle w:val="Heading1"/>
      </w:pPr>
      <w:r>
        <w:t xml:space="preserve">5. Technical Indicators of Compromise (IoCs)</w:t>
      </w:r>
    </w:p>
    <w:p>
      <w:pPr>
        <w:spacing w:after="120"/>
      </w:pPr>
      <w:r>
        <w:rPr>
          <w:rFonts w:ascii="Arial" w:cs="Arial" w:eastAsia="Arial" w:hAnsi="Arial"/>
          <w:color w:val="1B2A4A"/>
          <w:sz w:val="22"/>
          <w:szCs w:val="22"/>
        </w:rPr>
        <w:t xml:space="preserve">The following indicators are associated with RedLine Stealer campaigns active during the November 2022 timeframe. These should be used for retrospective log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Indicator Type</w:t>
            </w:r>
          </w:p>
        </w:tc>
        <w:tc>
          <w:tcPr>
            <w:tcW w:type="dxa" w:w="30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456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Significance</w:t>
            </w:r>
          </w:p>
        </w:tc>
      </w:tr>
      <w:tr>
        <w:tc>
          <w:tcPr>
            <w:tcW w:type="dxa" w:w="1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IP Address</w:t>
            </w:r>
          </w:p>
        </w:tc>
        <w:tc>
          <w:tcPr>
            <w:tcW w:type="dxa" w:w="30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95.179.163.157 [UNVERIFIED — per Gemini OSINT; not independently confirmed]</w:t>
            </w:r>
          </w:p>
        </w:tc>
        <w:tc>
          <w:tcPr>
            <w:tcW w:type="dxa" w:w="45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Known RedLine C2 server active in late 2022</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Domain</w:t>
            </w:r>
          </w:p>
        </w:tc>
        <w:tc>
          <w:tcPr>
            <w:tcW w:type="dxa" w:w="3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api.ipify.org (also api.ip.sb/ip, ip-api.com — varies by variant)</w:t>
            </w:r>
          </w:p>
        </w:tc>
        <w:tc>
          <w:tcPr>
            <w:tcW w:type="dxa" w:w="4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Used by malware to fingerprint victim’s public IP address</w:t>
            </w:r>
          </w:p>
        </w:tc>
      </w:tr>
      <w:tr>
        <w:tc>
          <w:tcPr>
            <w:tcW w:type="dxa" w:w="1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Process</w:t>
            </w:r>
          </w:p>
        </w:tc>
        <w:tc>
          <w:tcPr>
            <w:tcW w:type="dxa" w:w="30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Regsvcs.exe</w:t>
            </w:r>
          </w:p>
        </w:tc>
        <w:tc>
          <w:tcPr>
            <w:tcW w:type="dxa" w:w="45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Common process hollowing target for RedLine injection</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User Agent</w:t>
            </w:r>
          </w:p>
        </w:tc>
        <w:tc>
          <w:tcPr>
            <w:tcW w:type="dxa" w:w="3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Mozilla/4.0 (compatible; MSIE 6.0; Windows NT 5.1; SV1) [UNVERIFIED — not confirmed in RedLine-specific literature]</w:t>
            </w:r>
          </w:p>
        </w:tc>
        <w:tc>
          <w:tcPr>
            <w:tcW w:type="dxa" w:w="4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Hardcoded user-agent string used for C2 communication</w:t>
            </w:r>
          </w:p>
        </w:tc>
      </w:tr>
      <w:tr>
        <w:tc>
          <w:tcPr>
            <w:tcW w:type="dxa" w:w="18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File Path</w:t>
            </w:r>
          </w:p>
        </w:tc>
        <w:tc>
          <w:tcPr>
            <w:tcW w:type="dxa" w:w="30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%TEMP%\1000001001\bre.exe</w:t>
            </w:r>
          </w:p>
        </w:tc>
        <w:tc>
          <w:tcPr>
            <w:tcW w:type="dxa" w:w="45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Malware execution path observed in Racami stealer log [1]</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Credential Stores</w:t>
            </w:r>
          </w:p>
        </w:tc>
        <w:tc>
          <w:tcPr>
            <w:tcW w:type="dxa" w:w="3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Chrome, Edge, Firefox SQLite DBs</w:t>
            </w:r>
          </w:p>
        </w:tc>
        <w:tc>
          <w:tcPr>
            <w:tcW w:type="dxa" w:w="4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Browser credential databases targeted for harvesting [1]</w:t>
            </w:r>
          </w:p>
        </w:tc>
      </w:tr>
    </w:tbl>
    <w:p>
      <w:pPr>
        <w:pBdr>
          <w:bottom w:val="single" w:color="2E86AB" w:sz="2"/>
        </w:pBdr>
        <w:spacing w:before="200" w:after="200"/>
      </w:pPr>
      <w:r>
        <w:rPr>
          <w:sz w:val="2"/>
          <w:szCs w:val="2"/>
        </w:rPr>
        <w:t xml:space="preserve"/>
      </w:r>
    </w:p>
    <w:p>
      <w:pPr>
        <w:pStyle w:val="Heading1"/>
      </w:pPr>
      <w:r>
        <w:t xml:space="preserve">6. Exfiltrated Data Claims (2025 Leak)</w:t>
      </w:r>
    </w:p>
    <w:p>
      <w:pPr>
        <w:spacing w:after="120"/>
      </w:pPr>
      <w:r>
        <w:rPr>
          <w:rFonts w:ascii="Arial" w:cs="Arial" w:eastAsia="Arial" w:hAnsi="Arial"/>
          <w:b w:val="false"/>
          <w:bCs w:val="false"/>
          <w:i w:val="false"/>
          <w:iCs w:val="false"/>
          <w:color w:val="1B2A4A"/>
          <w:sz w:val="22"/>
          <w:szCs w:val="22"/>
        </w:rPr>
        <w:t xml:space="preserve">Following exploitation of the 2022 credentials, the HellCat group claimed to have stolen the following from Racami </w:t>
      </w:r>
      <w:r>
        <w:rPr>
          <w:rFonts w:ascii="Arial" w:cs="Arial" w:eastAsia="Arial" w:hAnsi="Arial"/>
          <w:b/>
          <w:bCs/>
          <w:i w:val="false"/>
          <w:iCs w:val="false"/>
          <w:color w:val="1B2A4A"/>
          <w:sz w:val="22"/>
          <w:szCs w:val="22"/>
        </w:rPr>
        <w:t xml:space="preserve">[2][4]</w:t>
      </w:r>
      <w:r>
        <w:rPr>
          <w:rFonts w:ascii="Arial" w:cs="Arial" w:eastAsia="Arial" w:hAnsi="Arial"/>
          <w:b w:val="false"/>
          <w:bCs w:val="false"/>
          <w:i w:val="false"/>
          <w:iCs w:val="false"/>
          <w:color w:val="1B2A4A"/>
          <w:sz w:val="22"/>
          <w:szCs w:val="22"/>
        </w:rPr>
        <w:t xml:space="preserve">:</w:t>
      </w:r>
    </w:p>
    <w:p>
      <w:pPr>
        <w:pStyle w:val="ListParagraph"/>
        <w:numPr>
          <w:ilvl w:val="0"/>
          <w:numId w:val="2"/>
        </w:numPr>
      </w:pPr>
      <w:r>
        <w:rPr>
          <w:rFonts w:ascii="Arial" w:cs="Arial" w:eastAsia="Arial" w:hAnsi="Arial"/>
          <w:color w:val="1B2A4A"/>
          <w:sz w:val="22"/>
          <w:szCs w:val="22"/>
        </w:rPr>
        <w:t xml:space="preserve">Internal financial records: Invoices and billing data.</w:t>
      </w:r>
    </w:p>
    <w:p>
      <w:pPr>
        <w:pStyle w:val="ListParagraph"/>
        <w:numPr>
          <w:ilvl w:val="0"/>
          <w:numId w:val="2"/>
        </w:numPr>
      </w:pPr>
      <w:r>
        <w:rPr>
          <w:rFonts w:ascii="Arial" w:cs="Arial" w:eastAsia="Arial" w:hAnsi="Arial"/>
          <w:color w:val="1B2A4A"/>
          <w:sz w:val="22"/>
          <w:szCs w:val="22"/>
        </w:rPr>
        <w:t xml:space="preserve">Project documentation: Proprietary software maps and CCM workflow configurations related to the Alchem-e platform.</w:t>
      </w:r>
    </w:p>
    <w:p>
      <w:pPr>
        <w:pStyle w:val="ListParagraph"/>
        <w:numPr>
          <w:ilvl w:val="0"/>
          <w:numId w:val="2"/>
        </w:numPr>
      </w:pPr>
      <w:r>
        <w:rPr>
          <w:rFonts w:ascii="Arial" w:cs="Arial" w:eastAsia="Arial" w:hAnsi="Arial"/>
          <w:color w:val="1B2A4A"/>
          <w:sz w:val="22"/>
          <w:szCs w:val="22"/>
        </w:rPr>
        <w:t xml:space="preserve">Employee communications: Internal ticketing history and developer notes containing potential system vulnerability information.</w:t>
      </w:r>
    </w:p>
    <w:p>
      <w:pPr>
        <w:spacing w:after="120"/>
      </w:pPr>
      <w:r>
        <w:rPr>
          <w:rFonts w:ascii="Arial" w:cs="Arial" w:eastAsia="Arial" w:hAnsi="Arial"/>
          <w:b w:val="false"/>
          <w:bCs w:val="false"/>
          <w:i w:val="false"/>
          <w:iCs w:val="false"/>
          <w:color w:val="1B2A4A"/>
          <w:sz w:val="22"/>
          <w:szCs w:val="22"/>
        </w:rPr>
        <w:t xml:space="preserve">HellCat posted these claims on its leak site with a countdown timer and the signature “Jiraware &lt;&lt;3!!” </w:t>
      </w:r>
      <w:r>
        <w:rPr>
          <w:rFonts w:ascii="Arial" w:cs="Arial" w:eastAsia="Arial" w:hAnsi="Arial"/>
          <w:b/>
          <w:bCs/>
          <w:i w:val="false"/>
          <w:iCs w:val="false"/>
          <w:color w:val="1B2A4A"/>
          <w:sz w:val="22"/>
          <w:szCs w:val="22"/>
        </w:rPr>
        <w:t xml:space="preserve">[4]</w:t>
      </w:r>
      <w:r>
        <w:rPr>
          <w:rFonts w:ascii="Arial" w:cs="Arial" w:eastAsia="Arial" w:hAnsi="Arial"/>
          <w:b w:val="false"/>
          <w:bCs w:val="false"/>
          <w:i w:val="false"/>
          <w:iCs w:val="false"/>
          <w:color w:val="1B2A4A"/>
          <w:sz w:val="22"/>
          <w:szCs w:val="22"/>
        </w:rPr>
        <w:t xml:space="preserve">. The group had previously used this same Jira credential technique against Jaguar Land Rover, Schneider Electric, Orange Group, and Telefonica </w:t>
      </w:r>
      <w:r>
        <w:rPr>
          <w:rFonts w:ascii="Arial" w:cs="Arial" w:eastAsia="Arial" w:hAnsi="Arial"/>
          <w:b/>
          <w:bCs/>
          <w:i w:val="false"/>
          <w:iCs w:val="false"/>
          <w:color w:val="1B2A4A"/>
          <w:sz w:val="22"/>
          <w:szCs w:val="22"/>
        </w:rPr>
        <w:t xml:space="preserve">[3][6]</w:t>
      </w:r>
      <w:r>
        <w:rPr>
          <w:rFonts w:ascii="Arial" w:cs="Arial" w:eastAsia="Arial" w:hAnsi="Arial"/>
          <w:b w:val="false"/>
          <w:bCs w:val="false"/>
          <w:i w:val="false"/>
          <w:iCs w:val="false"/>
          <w:color w:val="1B2A4A"/>
          <w:sz w:val="22"/>
          <w:szCs w:val="22"/>
        </w:rPr>
        <w:t xml:space="preserve">.</w:t>
      </w:r>
    </w:p>
    <w:p>
      <w:r>
        <w:br w:type="page"/>
      </w:r>
    </w:p>
    <w:p>
      <w:pPr>
        <w:pStyle w:val="Heading1"/>
      </w:pPr>
      <w:r>
        <w:t xml:space="preserve">7. Remediation Strategy</w:t>
      </w:r>
    </w:p>
    <w:p>
      <w:pPr>
        <w:spacing w:after="120"/>
      </w:pPr>
      <w:r>
        <w:rPr>
          <w:rFonts w:ascii="Arial" w:cs="Arial" w:eastAsia="Arial" w:hAnsi="Arial"/>
          <w:color w:val="1B2A4A"/>
          <w:sz w:val="22"/>
          <w:szCs w:val="22"/>
        </w:rPr>
        <w:t xml:space="preserve">Based on the OSINT findings, the following remediation priorities are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4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636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6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1</w:t>
            </w:r>
          </w:p>
        </w:tc>
        <w:tc>
          <w:tcPr>
            <w:tcW w:type="dxa" w:w="24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Credential Rotation</w:t>
            </w:r>
          </w:p>
        </w:tc>
        <w:tc>
          <w:tcPr>
            <w:tcW w:type="dxa" w:w="63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Invalidate all service and user passwords that have not been changed since November 2022. Include service accounts, API tokens, SSH keys, and database credentials.</w:t>
            </w:r>
          </w:p>
        </w:tc>
      </w:tr>
      <w:tr>
        <w:tc>
          <w:tcPr>
            <w:tcW w:type="dxa" w:w="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2</w:t>
            </w:r>
          </w:p>
        </w:tc>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MFA Enforcement</w:t>
            </w:r>
          </w:p>
        </w:tc>
        <w:tc>
          <w:tcPr>
            <w:tcW w:type="dxa" w:w="63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Deploy FIDO2/WebAuthn hardware keys on all Atlassian/Jira instances. Session cookie theft (T1539) bypasses TOTP-based MFA; hardware-bound keys are required for admin accounts.</w:t>
            </w:r>
          </w:p>
        </w:tc>
      </w:tr>
      <w:tr>
        <w:tc>
          <w:tcPr>
            <w:tcW w:type="dxa" w:w="6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3</w:t>
            </w:r>
          </w:p>
        </w:tc>
        <w:tc>
          <w:tcPr>
            <w:tcW w:type="dxa" w:w="24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Dark Web Monitoring</w:t>
            </w:r>
          </w:p>
        </w:tc>
        <w:tc>
          <w:tcPr>
            <w:tcW w:type="dxa" w:w="63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Establish continuous monitoring via Hudson Rock, Flare.io, or SpyCloud to alert when corporate domain credentials appear in stealer log dumps.</w:t>
            </w:r>
          </w:p>
        </w:tc>
      </w:tr>
      <w:tr>
        <w:tc>
          <w:tcPr>
            <w:tcW w:type="dxa" w:w="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4</w:t>
            </w:r>
          </w:p>
        </w:tc>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Retrospective Log Audit</w:t>
            </w:r>
          </w:p>
        </w:tc>
        <w:tc>
          <w:tcPr>
            <w:tcW w:type="dxa" w:w="63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Search network and endpoint logs from late 2022 for the IoCs listed in Section 5. Focus on C2 communication patterns and process hollowing indicators.</w:t>
            </w:r>
          </w:p>
        </w:tc>
      </w:tr>
      <w:tr>
        <w:tc>
          <w:tcPr>
            <w:tcW w:type="dxa" w:w="6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5</w:t>
            </w:r>
          </w:p>
        </w:tc>
        <w:tc>
          <w:tcPr>
            <w:tcW w:type="dxa" w:w="240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Endpoint Hardening</w:t>
            </w:r>
          </w:p>
        </w:tc>
        <w:tc>
          <w:tcPr>
            <w:tcW w:type="dxa" w:w="636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Deploy EDR, block %TEMP% execution via AppLocker, remove unauthorized remote access tools (AnyDesk), and disable browser password storage.</w:t>
            </w:r>
          </w:p>
        </w:tc>
      </w:tr>
      <w:tr>
        <w:tc>
          <w:tcPr>
            <w:tcW w:type="dxa" w:w="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6</w:t>
            </w:r>
          </w:p>
        </w:tc>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Supply Chain Audit</w:t>
            </w:r>
          </w:p>
        </w:tc>
        <w:tc>
          <w:tcPr>
            <w:tcW w:type="dxa" w:w="63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Review all Git commits and CI/CD pipeline configurations from 2022-11-05 forward for unauthorized modifications or injected backdoors.</w:t>
            </w:r>
          </w:p>
        </w:tc>
      </w:tr>
    </w:tbl>
    <w:p>
      <w:pPr>
        <w:pBdr>
          <w:bottom w:val="single" w:color="2E86AB" w:sz="2"/>
        </w:pBdr>
        <w:spacing w:before="200" w:after="200"/>
      </w:pPr>
      <w:r>
        <w:rPr>
          <w:sz w:val="2"/>
          <w:szCs w:val="2"/>
        </w:rPr>
        <w:t xml:space="preserve"/>
      </w:r>
    </w:p>
    <w:p>
      <w:pPr>
        <w:pStyle w:val="Heading1"/>
      </w:pPr>
      <w:r>
        <w:t xml:space="preserve">References</w:t>
      </w:r>
    </w:p>
    <w:p>
      <w:pPr>
        <w:pStyle w:val="ListParagraph"/>
        <w:numPr>
          <w:ilvl w:val="0"/>
          <w:numId w:val="3"/>
        </w:numPr>
        <w:spacing w:after="80"/>
      </w:pPr>
      <w:r>
        <w:rPr>
          <w:rFonts w:ascii="Arial" w:cs="Arial" w:eastAsia="Arial" w:hAnsi="Arial"/>
          <w:color w:val="1B2A4A"/>
          <w:sz w:val="20"/>
          <w:szCs w:val="20"/>
        </w:rPr>
        <w:t xml:space="preserve">Hudson Rock / Cavalier Platform. Stealer Log GH[984304A1DB022880654C9054CBD33F2D] — racami.com. Date Compromised: 2022-11-05. Stealer Family: RedLine. 13 credential pairs across 10 systems.</w:t>
      </w:r>
    </w:p>
    <w:p>
      <w:pPr>
        <w:pStyle w:val="ListParagraph"/>
        <w:numPr>
          <w:ilvl w:val="0"/>
          <w:numId w:val="3"/>
        </w:numPr>
        <w:spacing w:after="80"/>
      </w:pPr>
      <w:r>
        <w:rPr>
          <w:rFonts w:ascii="Arial" w:cs="Arial" w:eastAsia="Arial" w:hAnsi="Arial"/>
          <w:color w:val="1B2A4A"/>
          <w:sz w:val="20"/>
          <w:szCs w:val="20"/>
        </w:rPr>
        <w:t xml:space="preserve">Gal, A. (2025, April 5). “HELLCAT Ransomware Group Strikes Again: Four New Victims Breached via Jira Credentials from Infostealer Logs.” Infostealers.com / Hudson Rock. https://www.infostealers.com/article/hellcat-ransomware-group-strikes-again/</w:t>
      </w:r>
    </w:p>
    <w:p>
      <w:pPr>
        <w:pStyle w:val="ListParagraph"/>
        <w:numPr>
          <w:ilvl w:val="0"/>
          <w:numId w:val="3"/>
        </w:numPr>
        <w:spacing w:after="80"/>
      </w:pPr>
      <w:r>
        <w:rPr>
          <w:rFonts w:ascii="Arial" w:cs="Arial" w:eastAsia="Arial" w:hAnsi="Arial"/>
          <w:color w:val="1B2A4A"/>
          <w:sz w:val="20"/>
          <w:szCs w:val="20"/>
        </w:rPr>
        <w:t xml:space="preserve">SC Media. (2025, April 9). “Pilfered Jira credentials leveraged in HellCat ransomware attacks.” SC World. https://www.scworld.com/brief/pilfered-jira-credentials-leveraged-in-hellcat-ransomware-attacks</w:t>
      </w:r>
    </w:p>
    <w:p>
      <w:pPr>
        <w:pStyle w:val="ListParagraph"/>
        <w:numPr>
          <w:ilvl w:val="0"/>
          <w:numId w:val="3"/>
        </w:numPr>
        <w:spacing w:after="80"/>
      </w:pPr>
      <w:r>
        <w:rPr>
          <w:rFonts w:ascii="Arial" w:cs="Arial" w:eastAsia="Arial" w:hAnsi="Arial"/>
          <w:color w:val="1B2A4A"/>
          <w:sz w:val="20"/>
          <w:szCs w:val="20"/>
        </w:rPr>
        <w:t xml:space="preserve">Ransomware.live. HellCat Group Profile — Racami entry. https://www.ransomware.live/group/hellcat</w:t>
      </w:r>
    </w:p>
    <w:p>
      <w:pPr>
        <w:pStyle w:val="ListParagraph"/>
        <w:numPr>
          <w:ilvl w:val="0"/>
          <w:numId w:val="3"/>
        </w:numPr>
        <w:spacing w:after="80"/>
      </w:pPr>
      <w:r>
        <w:rPr>
          <w:rFonts w:ascii="Arial" w:cs="Arial" w:eastAsia="Arial" w:hAnsi="Arial"/>
          <w:color w:val="1B2A4A"/>
          <w:sz w:val="20"/>
          <w:szCs w:val="20"/>
        </w:rPr>
        <w:t xml:space="preserve">Sekoia.io. (2024). “Infostealer Ecosystem Analysis: Redline, Raccoon, Vidar, and the MaaS Supply Chain.” Sekoia Threat Detection &amp; Research.</w:t>
      </w:r>
    </w:p>
    <w:p>
      <w:pPr>
        <w:pStyle w:val="ListParagraph"/>
        <w:numPr>
          <w:ilvl w:val="0"/>
          <w:numId w:val="3"/>
        </w:numPr>
        <w:spacing w:after="80"/>
      </w:pPr>
      <w:r>
        <w:rPr>
          <w:rFonts w:ascii="Arial" w:cs="Arial" w:eastAsia="Arial" w:hAnsi="Arial"/>
          <w:color w:val="1B2A4A"/>
          <w:sz w:val="20"/>
          <w:szCs w:val="20"/>
        </w:rPr>
        <w:t xml:space="preserve">KELA Cyber. (2025, March 27). “Hellcat Hacking Group Unmasked: Investigating Rey and Pryx.” https://www.kelacyber.com/blog/hellcat-hacking-group-unmasked-rey-and-pryx/</w:t>
      </w:r>
    </w:p>
    <w:p>
      <w:pPr>
        <w:pStyle w:val="ListParagraph"/>
        <w:numPr>
          <w:ilvl w:val="0"/>
          <w:numId w:val="3"/>
        </w:numPr>
        <w:spacing w:after="80"/>
      </w:pPr>
      <w:r>
        <w:rPr>
          <w:rFonts w:ascii="Arial" w:cs="Arial" w:eastAsia="Arial" w:hAnsi="Arial"/>
          <w:color w:val="1B2A4A"/>
          <w:sz w:val="20"/>
          <w:szCs w:val="20"/>
        </w:rPr>
        <w:t xml:space="preserve">Push Security. (2025). “Why Attackers Target Jira: Credential Reuse and the Infostealer Pipeline.” Push Security Research Blog.</w:t>
      </w:r>
    </w:p>
    <w:p>
      <w:pPr>
        <w:pBdr>
          <w:bottom w:val="single" w:color="2E86AB" w:sz="2"/>
        </w:pBdr>
        <w:spacing w:before="200" w:after="200"/>
      </w:pPr>
      <w:r>
        <w:rPr>
          <w:sz w:val="2"/>
          <w:szCs w:val="2"/>
        </w:rPr>
        <w:t xml:space="preserve"/>
      </w:r>
    </w:p>
    <w:p>
      <w:pPr>
        <w:pStyle w:val="Heading1"/>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702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Document ID</w:t>
            </w:r>
          </w:p>
        </w:tc>
        <w:tc>
          <w:tcPr>
            <w:tcW w:type="dxa" w:w="70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TD-OSINT</w:t>
            </w:r>
          </w:p>
        </w:tc>
      </w:tr>
      <w:tr>
        <w:tc>
          <w:tcPr>
            <w:tcW w:type="dxa" w:w="23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Title</w:t>
            </w:r>
          </w:p>
        </w:tc>
        <w:tc>
          <w:tcPr>
            <w:tcW w:type="dxa" w:w="70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OSINT Analysis Report</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Original Source</w:t>
            </w:r>
          </w:p>
        </w:tc>
        <w:tc>
          <w:tcPr>
            <w:tcW w:type="dxa" w:w="70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Google Gemini OSINT Analysis</w:t>
            </w:r>
          </w:p>
        </w:tc>
      </w:tr>
      <w:tr>
        <w:tc>
          <w:tcPr>
            <w:tcW w:type="dxa" w:w="23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Version</w:t>
            </w:r>
          </w:p>
        </w:tc>
        <w:tc>
          <w:tcPr>
            <w:tcW w:type="dxa" w:w="70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2.0 (Reformatted — Team Delta)</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Date</w:t>
            </w:r>
          </w:p>
        </w:tc>
        <w:tc>
          <w:tcPr>
            <w:tcW w:type="dxa" w:w="70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February 12, 2026</w:t>
            </w:r>
          </w:p>
        </w:tc>
      </w:tr>
      <w:tr>
        <w:tc>
          <w:tcPr>
            <w:tcW w:type="dxa" w:w="23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Author</w:t>
            </w:r>
          </w:p>
        </w:tc>
        <w:tc>
          <w:tcPr>
            <w:tcW w:type="dxa" w:w="70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Team Delta</w:t>
            </w:r>
          </w:p>
        </w:tc>
      </w:tr>
      <w:tr>
        <w:tc>
          <w:tcPr>
            <w:tcW w:type="dxa" w:w="234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bCs/>
                <w:color w:val="1B2A4A"/>
                <w:sz w:val="20"/>
                <w:szCs w:val="20"/>
              </w:rPr>
              <w:t xml:space="preserve">Classification</w:t>
            </w:r>
          </w:p>
        </w:tc>
        <w:tc>
          <w:tcPr>
            <w:tcW w:type="dxa" w:w="70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CONFIDENTIAL</w:t>
            </w:r>
          </w:p>
        </w:tc>
      </w:tr>
      <w:tr>
        <w:tc>
          <w:tcPr>
            <w:tcW w:type="dxa" w:w="234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bCs/>
                <w:color w:val="1B2A4A"/>
                <w:sz w:val="20"/>
                <w:szCs w:val="20"/>
              </w:rPr>
              <w:t xml:space="preserve">Related Documents</w:t>
            </w:r>
          </w:p>
        </w:tc>
        <w:tc>
          <w:tcPr>
            <w:tcW w:type="dxa" w:w="702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r>
              <w:rPr>
                <w:rFonts w:ascii="Arial" w:cs="Arial" w:eastAsia="Arial" w:hAnsi="Arial"/>
                <w:b w:val="false"/>
                <w:bCs w:val="false"/>
                <w:color w:val="1B2A4A"/>
                <w:sz w:val="20"/>
                <w:szCs w:val="20"/>
              </w:rPr>
              <w:t xml:space="preserve">TD-01 (Evidence), TD-02 (MITRE ATT&amp;CK), TD-06 (Executive Brief)</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8909C"/>
        <w:sz w:val="16"/>
        <w:szCs w:val="16"/>
      </w:rPr>
      <w:t xml:space="preserve">Page </w:t>
    </w:r>
    <w:r>
      <w:rPr>
        <w:rFonts w:ascii="Arial" w:cs="Arial" w:eastAsia="Arial" w:hAnsi="Arial"/>
        <w:color w:val="78909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1B2A4A"/>
        <w:sz w:val="16"/>
        <w:szCs w:val="16"/>
      </w:rPr>
      <w:t xml:space="preserve">TEAM DELTA</w:t>
    </w:r>
    <w:r>
      <w:rPr>
        <w:rFonts w:ascii="Arial" w:cs="Arial" w:eastAsia="Arial" w:hAnsi="Arial"/>
        <w:color w:val="78909C"/>
        <w:sz w:val="16"/>
        <w:szCs w:val="16"/>
      </w:rPr>
      <w:t xml:space="preserve">  |  OSINT Analysis Report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54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2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86AB"/>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2026-02-12T17:03:13.031Z</dcterms:created>
  <dcterms:modified xsi:type="dcterms:W3CDTF">2026-02-12T17:03:13.032Z</dcterms:modified>
</cp:coreProperties>
</file>

<file path=docProps/custom.xml><?xml version="1.0" encoding="utf-8"?>
<Properties xmlns="http://schemas.openxmlformats.org/officeDocument/2006/custom-properties" xmlns:vt="http://schemas.openxmlformats.org/officeDocument/2006/docPropsVTypes"/>
</file>