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0"/>
      </w:pPr>
    </w:p>
    <w:p>
      <w:pPr>
        <w:spacing w:after="0"/>
      </w:pPr>
    </w:p>
    <w:p>
      <w:pPr>
        <w:spacing w:after="80"/>
        <w:jc w:val="center"/>
      </w:pPr>
      <w:r>
        <w:rPr>
          <w:rFonts w:ascii="Arial" w:cs="Arial" w:eastAsia="Arial" w:hAnsi="Arial"/>
          <w:b/>
          <w:bCs/>
          <w:color w:val="1B2A4A"/>
          <w:sz w:val="56"/>
          <w:szCs w:val="56"/>
        </w:rPr>
        <w:t xml:space="preserve">TEAM DELTA</w:t>
      </w:r>
    </w:p>
    <w:p>
      <w:pPr>
        <w:spacing w:after="40"/>
        <w:jc w:val="center"/>
      </w:pPr>
      <w:r>
        <w:rPr>
          <w:rFonts w:ascii="Arial" w:cs="Arial" w:eastAsia="Arial" w:hAnsi="Arial"/>
          <w:color w:val="78909C"/>
          <w:sz w:val="24"/>
          <w:szCs w:val="24"/>
        </w:rPr>
        <w:t xml:space="preserve">2026-CAX-500 Cybersecurity Capstone</w:t>
      </w:r>
    </w:p>
    <w:p>
      <w:pPr>
        <w:pBdr>
          <w:bottom w:val="single" w:color="2E86AB" w:sz="2"/>
        </w:pBdr>
        <w:spacing w:before="200" w:after="200"/>
      </w:pPr>
      <w:r>
        <w:rPr>
          <w:sz w:val="2"/>
          <w:szCs w:val="2"/>
        </w:rPr>
        <w:t xml:space="preserve"/>
      </w:r>
    </w:p>
    <w:p>
      <w:pPr>
        <w:spacing w:after="200"/>
        <w:jc w:val="center"/>
      </w:pPr>
      <w:r>
        <w:rPr>
          <w:rFonts w:ascii="Arial" w:cs="Arial" w:eastAsia="Arial" w:hAnsi="Arial"/>
          <w:b/>
          <w:bCs/>
          <w:color w:val="2E86AB"/>
          <w:sz w:val="40"/>
          <w:szCs w:val="40"/>
        </w:rPr>
        <w:t xml:space="preserve">TD-02: MITRE ATT&amp;CK Threat Intelligence Report</w:t>
      </w:r>
    </w:p>
    <w:p>
      <w:pPr>
        <w:spacing w:after="60"/>
        <w:jc w:val="center"/>
      </w:pPr>
      <w:r>
        <w:rPr>
          <w:rFonts w:ascii="Arial" w:cs="Arial" w:eastAsia="Arial" w:hAnsi="Arial"/>
          <w:color w:val="1B2A4A"/>
          <w:sz w:val="28"/>
          <w:szCs w:val="28"/>
        </w:rPr>
        <w:t xml:space="preserve">Racami, LLC — Infostealer Incident Technique Mapping</w:t>
      </w:r>
    </w:p>
    <w:p>
      <w:pPr>
        <w:spacing w:after="400"/>
        <w:jc w:val="center"/>
      </w:pPr>
      <w:r>
        <w:rPr>
          <w:rFonts w:ascii="Arial" w:cs="Arial" w:eastAsia="Arial" w:hAnsi="Arial"/>
          <w:color w:val="78909C"/>
          <w:sz w:val="20"/>
          <w:szCs w:val="20"/>
        </w:rPr>
        <w:t xml:space="preserve">Document Date: February 12, 2026  |  Classification: CONFIDENTIAL</w:t>
      </w:r>
    </w:p>
    <w:p>
      <w:r>
        <w:br w:type="page"/>
      </w:r>
    </w:p>
    <w:p>
      <w:pPr>
        <w:pStyle w:val="Heading1"/>
      </w:pPr>
      <w:r>
        <w:t xml:space="preserve">1. Purpose and Scope</w:t>
      </w:r>
    </w:p>
    <w:p>
      <w:pPr>
        <w:spacing w:after="120"/>
      </w:pPr>
      <w:r>
        <w:rPr>
          <w:rFonts w:ascii="Arial" w:cs="Arial" w:eastAsia="Arial" w:hAnsi="Arial"/>
          <w:b w:val="false"/>
          <w:bCs w:val="false"/>
          <w:i w:val="false"/>
          <w:iCs w:val="false"/>
          <w:color w:val="1B2A4A"/>
          <w:sz w:val="22"/>
          <w:szCs w:val="22"/>
        </w:rPr>
        <w:t xml:space="preserve">This report maps the observed and inferred attacker techniques from the November 2022 Racami infostealer incident to the MITRE ATT&amp;CK Enterprise framework (v14) [1][2]. Each technique is supported by specific evidence from the forensic artifacts documented in TD-01 (Evidence Summary) and graded by confidence level.</w:t>
      </w:r>
    </w:p>
    <w:p>
      <w:pPr>
        <w:spacing w:after="120"/>
      </w:pPr>
      <w:r>
        <w:rPr>
          <w:rFonts w:ascii="Arial" w:cs="Arial" w:eastAsia="Arial" w:hAnsi="Arial"/>
          <w:b w:val="false"/>
          <w:bCs w:val="false"/>
          <w:i w:val="false"/>
          <w:iCs w:val="false"/>
          <w:color w:val="1B2A4A"/>
          <w:sz w:val="22"/>
          <w:szCs w:val="22"/>
        </w:rPr>
        <w:t xml:space="preserve">The mapping covers the full attack lifecycle from initial access through exfiltration, and includes the confirmed exploitation of stolen credentials by the HellCat ransomware group in April 2025 under the Valid Accounts (T1078) technique [3][4].</w:t>
      </w:r>
    </w:p>
    <w:p>
      <w:pPr>
        <w:pStyle w:val="Heading2"/>
      </w:pPr>
      <w:r>
        <w:t xml:space="preserve">1.1 Confidence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w:t>
            </w:r>
          </w:p>
        </w:tc>
        <w:tc>
          <w:tcPr>
            <w:tcW w:type="dxa" w:w="736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Confirmed</w:t>
            </w:r>
          </w:p>
        </w:tc>
        <w:tc>
          <w:tcPr>
            <w:tcW w:type="dxa" w:w="73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Direct forensic evidence exists in stealer log artifacts or verified open-source reporting.</w:t>
            </w:r>
          </w:p>
        </w:tc>
      </w:tr>
      <w:tr>
        <w:tc>
          <w:tcPr>
            <w:tcW w:type="dxa" w:w="20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High (inferred)</w:t>
            </w:r>
          </w:p>
        </w:tc>
        <w:tc>
          <w:tcPr>
            <w:tcW w:type="dxa" w:w="73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Strong circumstantial evidence and consistency with known RedLine behavior, but no direct artifact for this specific technique.</w:t>
            </w:r>
          </w:p>
        </w:tc>
      </w:tr>
      <w:tr>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Medium (inferred)</w:t>
            </w:r>
          </w:p>
        </w:tc>
        <w:tc>
          <w:tcPr>
            <w:tcW w:type="dxa" w:w="73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Technique is consistent with the attack pattern and tooling but evidence is indirect or based on environmental indicators.</w:t>
            </w:r>
          </w:p>
        </w:tc>
      </w:tr>
    </w:tbl>
    <w:p>
      <w:pPr>
        <w:spacing w:after="200"/>
      </w:pPr>
    </w:p>
    <w:p>
      <w:pPr>
        <w:pStyle w:val="Heading1"/>
      </w:pPr>
      <w:r>
        <w:t xml:space="preserve">2. Attack Flow Summary</w:t>
      </w:r>
    </w:p>
    <w:p>
      <w:pPr>
        <w:spacing w:after="120"/>
      </w:pPr>
      <w:r>
        <w:rPr>
          <w:rFonts w:ascii="Arial" w:cs="Arial" w:eastAsia="Arial" w:hAnsi="Arial"/>
          <w:b w:val="false"/>
          <w:bCs w:val="false"/>
          <w:i w:val="false"/>
          <w:iCs w:val="false"/>
          <w:color w:val="1B2A4A"/>
          <w:sz w:val="22"/>
          <w:szCs w:val="22"/>
        </w:rPr>
        <w:t xml:space="preserve">The Racami infostealer incident follows a well-documented attack pattern characteristic of commodity infostealer campaigns. The attack progresses through six distinct phases, each mapping to specific MITRE ATT&amp;CK tactics: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2200"/>
        <w:gridCol w:w="4760"/>
      </w:tblGrid>
      <w:tr>
        <w:tc>
          <w:tcPr>
            <w:tcW w:type="dxa" w:w="6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18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22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ATT&amp;CK Tactic</w:t>
            </w:r>
          </w:p>
        </w:tc>
        <w:tc>
          <w:tcPr>
            <w:tcW w:type="dxa" w:w="476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Summary</w:t>
            </w:r>
          </w:p>
        </w:tc>
      </w:tr>
      <w:tr>
        <w:tc>
          <w:tcPr>
            <w:tcW w:type="dxa" w:w="6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1</w:t>
            </w:r>
          </w:p>
        </w:tc>
        <w:tc>
          <w:tcPr>
            <w:tcW w:type="dxa" w:w="18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Delivery</w:t>
            </w:r>
          </w:p>
        </w:tc>
        <w:tc>
          <w:tcPr>
            <w:tcW w:type="dxa" w:w="2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Initial Access</w:t>
            </w:r>
          </w:p>
        </w:tc>
        <w:tc>
          <w:tcPr>
            <w:tcW w:type="dxa" w:w="47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Phishing email or malicious download delivers RedLine payload to developer workstation. Foxit Reader and browser presence support multiple delivery vectors.</w:t>
            </w:r>
          </w:p>
        </w:tc>
      </w:tr>
      <w:tr>
        <w:tc>
          <w:tcPr>
            <w:tcW w:type="dxa" w:w="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2</w:t>
            </w:r>
          </w:p>
        </w:tc>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Execution</w:t>
            </w:r>
          </w:p>
        </w:tc>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Execution</w:t>
            </w:r>
          </w:p>
        </w:tc>
        <w:tc>
          <w:tcPr>
            <w:tcW w:type="dxa" w:w="4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User executes bre.exe from %TEMP%\1000001001\ directory. Windows Defender fails to detect. RedLine initializes automated credential harvesting routines.</w:t>
            </w:r>
          </w:p>
        </w:tc>
      </w:tr>
      <w:tr>
        <w:tc>
          <w:tcPr>
            <w:tcW w:type="dxa" w:w="6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3</w:t>
            </w:r>
          </w:p>
        </w:tc>
        <w:tc>
          <w:tcPr>
            <w:tcW w:type="dxa" w:w="18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Harvesting</w:t>
            </w:r>
          </w:p>
        </w:tc>
        <w:tc>
          <w:tcPr>
            <w:tcW w:type="dxa" w:w="2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Credential Access + Collection</w:t>
            </w:r>
          </w:p>
        </w:tc>
        <w:tc>
          <w:tcPr>
            <w:tcW w:type="dxa" w:w="47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RedLine systematically extracts browser credentials (13 pairs), session cookies, autofill data, Telegram data, and system information in under 60 seconds.</w:t>
            </w:r>
          </w:p>
        </w:tc>
      </w:tr>
      <w:tr>
        <w:tc>
          <w:tcPr>
            <w:tcW w:type="dxa" w:w="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4</w:t>
            </w:r>
          </w:p>
        </w:tc>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Profiling</w:t>
            </w:r>
          </w:p>
        </w:tc>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Discovery</w:t>
            </w:r>
          </w:p>
        </w:tc>
        <w:tc>
          <w:tcPr>
            <w:tcW w:type="dxa" w:w="4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Installed software inventory, running processes, domain detections, and user profile data collected to assess target value and map the environment.</w:t>
            </w:r>
          </w:p>
        </w:tc>
      </w:tr>
      <w:tr>
        <w:tc>
          <w:tcPr>
            <w:tcW w:type="dxa" w:w="6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5</w:t>
            </w:r>
          </w:p>
        </w:tc>
        <w:tc>
          <w:tcPr>
            <w:tcW w:type="dxa" w:w="18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Exfiltration</w:t>
            </w:r>
          </w:p>
        </w:tc>
        <w:tc>
          <w:tcPr>
            <w:tcW w:type="dxa" w:w="2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Exfiltration</w:t>
            </w:r>
          </w:p>
        </w:tc>
        <w:tc>
          <w:tcPr>
            <w:tcW w:type="dxa" w:w="47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Complete stealer log transmitted to attacker C2. Log appears on Hudson Rock platform by November 12, detected 14 times indicating marketplace distribution.</w:t>
            </w:r>
          </w:p>
        </w:tc>
      </w:tr>
      <w:tr>
        <w:tc>
          <w:tcPr>
            <w:tcW w:type="dxa" w:w="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6</w:t>
            </w:r>
          </w:p>
        </w:tc>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Exploitation</w:t>
            </w:r>
          </w:p>
        </w:tc>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Impact</w:t>
            </w:r>
          </w:p>
        </w:tc>
        <w:tc>
          <w:tcPr>
            <w:tcW w:type="dxa" w:w="4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Stolen Jira credentials (work.racami.com) exploited by HellCat ransomware group on April 5, 2025 — over two years after initial harvest. Data exfiltrated; extortion demands issued.</w:t>
            </w:r>
          </w:p>
        </w:tc>
      </w:tr>
    </w:tbl>
    <w:p>
      <w:r>
        <w:br w:type="page"/>
      </w:r>
    </w:p>
    <w:p>
      <w:pPr>
        <w:pStyle w:val="Heading1"/>
      </w:pPr>
      <w:r>
        <w:t xml:space="preserve">3. Detailed Technique Mapping</w:t>
      </w:r>
    </w:p>
    <w:p>
      <w:pPr>
        <w:spacing w:after="120"/>
      </w:pPr>
      <w:r>
        <w:rPr>
          <w:rFonts w:ascii="Arial" w:cs="Arial" w:eastAsia="Arial" w:hAnsi="Arial"/>
          <w:b w:val="false"/>
          <w:bCs w:val="false"/>
          <w:i w:val="false"/>
          <w:iCs w:val="false"/>
          <w:color w:val="1B2A4A"/>
          <w:sz w:val="22"/>
          <w:szCs w:val="22"/>
        </w:rPr>
        <w:t xml:space="preserve">Each technique below is mapped with its ATT&amp;CK tactic, technique ID, specific evidence from the Racami incident, and confidence assessment. Techniques are ordered by kill chain phase.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9360"/>
            <w:gridSpan w:val="2"/>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T1566 — Phishing</w:t>
            </w:r>
          </w:p>
        </w:tc>
      </w:tr>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Tactic</w:t>
            </w:r>
          </w:p>
        </w:tc>
        <w:tc>
          <w:tcPr>
            <w:tcW w:type="dxa" w:w="70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Initial Access</w:t>
            </w:r>
          </w:p>
        </w:tc>
      </w:tr>
      <w:tr>
        <w:tc>
          <w:tcPr>
            <w:tcW w:type="dxa" w:w="23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Technique ID</w:t>
            </w:r>
          </w:p>
        </w:tc>
        <w:tc>
          <w:tcPr>
            <w:tcW w:type="dxa" w:w="70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T1566</w:t>
            </w:r>
          </w:p>
        </w:tc>
      </w:tr>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Technique Name</w:t>
            </w:r>
          </w:p>
        </w:tc>
        <w:tc>
          <w:tcPr>
            <w:tcW w:type="dxa" w:w="70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Phishing</w:t>
            </w:r>
          </w:p>
        </w:tc>
      </w:tr>
      <w:tr>
        <w:tc>
          <w:tcPr>
            <w:tcW w:type="dxa" w:w="23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Evidence</w:t>
            </w:r>
          </w:p>
        </w:tc>
        <w:tc>
          <w:tcPr>
            <w:tcW w:type="dxa" w:w="70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Malware executed from %TEMP%\1000001001\bre.exe. Nested temp subdirectory is consistent with phishing attachment extraction (e.g., ZIP/RAR containing executable). Foxit Reader 9.4 installed on workstation supports PDF-based phishing delivery. No direct evidence of the delivery email was recovered.</w:t>
            </w:r>
          </w:p>
        </w:tc>
      </w:tr>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Confidence</w:t>
            </w:r>
          </w:p>
        </w:tc>
        <w:tc>
          <w:tcPr>
            <w:tcW w:type="dxa" w:w="70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High (inferred)</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9360"/>
            <w:gridSpan w:val="2"/>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T1204.002 — User Execution: Malicious File</w:t>
            </w:r>
          </w:p>
        </w:tc>
      </w:tr>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Tactic</w:t>
            </w:r>
          </w:p>
        </w:tc>
        <w:tc>
          <w:tcPr>
            <w:tcW w:type="dxa" w:w="70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Execution</w:t>
            </w:r>
          </w:p>
        </w:tc>
      </w:tr>
      <w:tr>
        <w:tc>
          <w:tcPr>
            <w:tcW w:type="dxa" w:w="23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Technique ID</w:t>
            </w:r>
          </w:p>
        </w:tc>
        <w:tc>
          <w:tcPr>
            <w:tcW w:type="dxa" w:w="70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T1204.002</w:t>
            </w:r>
          </w:p>
        </w:tc>
      </w:tr>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Technique Name</w:t>
            </w:r>
          </w:p>
        </w:tc>
        <w:tc>
          <w:tcPr>
            <w:tcW w:type="dxa" w:w="70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User Execution: Malicious File</w:t>
            </w:r>
          </w:p>
        </w:tc>
      </w:tr>
      <w:tr>
        <w:tc>
          <w:tcPr>
            <w:tcW w:type="dxa" w:w="23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Evidence</w:t>
            </w:r>
          </w:p>
        </w:tc>
        <w:tc>
          <w:tcPr>
            <w:tcW w:type="dxa" w:w="70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User executed bre.exe, a binary with a generic, non-descriptive filename. Execution timestamp: 2022-11-05 23:13:29 UTC. Execution from user-writable temp directory confirms user-initiated launch rather than system-level exploit.</w:t>
            </w:r>
          </w:p>
        </w:tc>
      </w:tr>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Confidence</w:t>
            </w:r>
          </w:p>
        </w:tc>
        <w:tc>
          <w:tcPr>
            <w:tcW w:type="dxa" w:w="70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Confirmed</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9360"/>
            <w:gridSpan w:val="2"/>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T1059 — Command and Scripting Interpreter</w:t>
            </w:r>
          </w:p>
        </w:tc>
      </w:tr>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Tactic</w:t>
            </w:r>
          </w:p>
        </w:tc>
        <w:tc>
          <w:tcPr>
            <w:tcW w:type="dxa" w:w="70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Execution</w:t>
            </w:r>
          </w:p>
        </w:tc>
      </w:tr>
      <w:tr>
        <w:tc>
          <w:tcPr>
            <w:tcW w:type="dxa" w:w="23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Technique ID</w:t>
            </w:r>
          </w:p>
        </w:tc>
        <w:tc>
          <w:tcPr>
            <w:tcW w:type="dxa" w:w="70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T1059</w:t>
            </w:r>
          </w:p>
        </w:tc>
      </w:tr>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Technique Name</w:t>
            </w:r>
          </w:p>
        </w:tc>
        <w:tc>
          <w:tcPr>
            <w:tcW w:type="dxa" w:w="70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Command and Scripting Interpreter</w:t>
            </w:r>
          </w:p>
        </w:tc>
      </w:tr>
      <w:tr>
        <w:tc>
          <w:tcPr>
            <w:tcW w:type="dxa" w:w="23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Evidence</w:t>
            </w:r>
          </w:p>
        </w:tc>
        <w:tc>
          <w:tcPr>
            <w:tcW w:type="dxa" w:w="70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Python Launcher 3.9, PowerShell (native), and Visual Studio present on workstation. RedLine is known to leverage scripting interpreters for post-execution data collection. Developer workstation provides rich scripting environment for secondary payload execution.</w:t>
            </w:r>
          </w:p>
        </w:tc>
      </w:tr>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Confidence</w:t>
            </w:r>
          </w:p>
        </w:tc>
        <w:tc>
          <w:tcPr>
            <w:tcW w:type="dxa" w:w="70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Medium (inferred)</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9360"/>
            <w:gridSpan w:val="2"/>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T1547.001 — Boot or Logon Autostart Execution: Registry Run Keys / Startup Folder</w:t>
            </w:r>
          </w:p>
        </w:tc>
      </w:tr>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Tactic</w:t>
            </w:r>
          </w:p>
        </w:tc>
        <w:tc>
          <w:tcPr>
            <w:tcW w:type="dxa" w:w="70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Persistence</w:t>
            </w:r>
          </w:p>
        </w:tc>
      </w:tr>
      <w:tr>
        <w:tc>
          <w:tcPr>
            <w:tcW w:type="dxa" w:w="23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Technique ID</w:t>
            </w:r>
          </w:p>
        </w:tc>
        <w:tc>
          <w:tcPr>
            <w:tcW w:type="dxa" w:w="70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T1547.001</w:t>
            </w:r>
          </w:p>
        </w:tc>
      </w:tr>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Technique Name</w:t>
            </w:r>
          </w:p>
        </w:tc>
        <w:tc>
          <w:tcPr>
            <w:tcW w:type="dxa" w:w="70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Boot or Logon Autostart Execution: Registry Run Keys</w:t>
            </w:r>
          </w:p>
        </w:tc>
      </w:tr>
      <w:tr>
        <w:tc>
          <w:tcPr>
            <w:tcW w:type="dxa" w:w="23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Evidence</w:t>
            </w:r>
          </w:p>
        </w:tc>
        <w:tc>
          <w:tcPr>
            <w:tcW w:type="dxa" w:w="70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Staged directory structure (\1000001001\) within %TEMP% is consistent with RedLine's known behavior of creating numbered subdirectories for payload staging. RedLine typically writes Run key entries to maintain persistence across reboots. No direct registry evidence was recovered.</w:t>
            </w:r>
          </w:p>
        </w:tc>
      </w:tr>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Confidence</w:t>
            </w:r>
          </w:p>
        </w:tc>
        <w:tc>
          <w:tcPr>
            <w:tcW w:type="dxa" w:w="70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Medium (inferred)</w:t>
            </w:r>
          </w:p>
        </w:tc>
      </w:tr>
    </w:tbl>
    <w:p>
      <w:pPr>
        <w:spacing w:after="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9360"/>
            <w:gridSpan w:val="2"/>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T1562.001 — Impair Defenses: Disable or Modify Tools</w:t>
            </w:r>
          </w:p>
        </w:tc>
      </w:tr>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Tactic</w:t>
            </w:r>
          </w:p>
        </w:tc>
        <w:tc>
          <w:tcPr>
            <w:tcW w:type="dxa" w:w="70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Defense Evasion</w:t>
            </w:r>
          </w:p>
        </w:tc>
      </w:tr>
      <w:tr>
        <w:tc>
          <w:tcPr>
            <w:tcW w:type="dxa" w:w="23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Technique ID</w:t>
            </w:r>
          </w:p>
        </w:tc>
        <w:tc>
          <w:tcPr>
            <w:tcW w:type="dxa" w:w="70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T1562.001</w:t>
            </w:r>
          </w:p>
        </w:tc>
      </w:tr>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Technique Name</w:t>
            </w:r>
          </w:p>
        </w:tc>
        <w:tc>
          <w:tcPr>
            <w:tcW w:type="dxa" w:w="70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Impair Defenses: Disable or Modify Tools</w:t>
            </w:r>
          </w:p>
        </w:tc>
      </w:tr>
      <w:tr>
        <w:tc>
          <w:tcPr>
            <w:tcW w:type="dxa" w:w="23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Evidence</w:t>
            </w:r>
          </w:p>
        </w:tc>
        <w:tc>
          <w:tcPr>
            <w:tcW w:type="dxa" w:w="70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Windows Defender was the sole endpoint protection and failed to detect or prevent RedLine execution. No EDR, XDR, or application whitelisting solution was present. RedLine variants commonly disable or evade Windows Defender through exclusion paths or AMSI bypass.</w:t>
            </w:r>
          </w:p>
        </w:tc>
      </w:tr>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Confidence</w:t>
            </w:r>
          </w:p>
        </w:tc>
        <w:tc>
          <w:tcPr>
            <w:tcW w:type="dxa" w:w="70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High (inferred)</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9360"/>
            <w:gridSpan w:val="2"/>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T1036 — Masquerading</w:t>
            </w:r>
          </w:p>
        </w:tc>
      </w:tr>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Tactic</w:t>
            </w:r>
          </w:p>
        </w:tc>
        <w:tc>
          <w:tcPr>
            <w:tcW w:type="dxa" w:w="70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Defense Evasion</w:t>
            </w:r>
          </w:p>
        </w:tc>
      </w:tr>
      <w:tr>
        <w:tc>
          <w:tcPr>
            <w:tcW w:type="dxa" w:w="23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Technique ID</w:t>
            </w:r>
          </w:p>
        </w:tc>
        <w:tc>
          <w:tcPr>
            <w:tcW w:type="dxa" w:w="70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T1036</w:t>
            </w:r>
          </w:p>
        </w:tc>
      </w:tr>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Technique Name</w:t>
            </w:r>
          </w:p>
        </w:tc>
        <w:tc>
          <w:tcPr>
            <w:tcW w:type="dxa" w:w="70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Masquerading</w:t>
            </w:r>
          </w:p>
        </w:tc>
      </w:tr>
      <w:tr>
        <w:tc>
          <w:tcPr>
            <w:tcW w:type="dxa" w:w="23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Evidence</w:t>
            </w:r>
          </w:p>
        </w:tc>
        <w:tc>
          <w:tcPr>
            <w:tcW w:type="dxa" w:w="70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Malware binary named "bre.exe" — a short, generic filename designed to avoid suspicion in process listings. Not mimicking a legitimate system binary, but sufficiently nondescript to evade casual user or analyst review.</w:t>
            </w:r>
          </w:p>
        </w:tc>
      </w:tr>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Confidence</w:t>
            </w:r>
          </w:p>
        </w:tc>
        <w:tc>
          <w:tcPr>
            <w:tcW w:type="dxa" w:w="70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Confirmed</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9360"/>
            <w:gridSpan w:val="2"/>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T1555.003 — Credentials from Password Stores: Web Browsers</w:t>
            </w:r>
          </w:p>
        </w:tc>
      </w:tr>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Tactic</w:t>
            </w:r>
          </w:p>
        </w:tc>
        <w:tc>
          <w:tcPr>
            <w:tcW w:type="dxa" w:w="70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Credential Access</w:t>
            </w:r>
          </w:p>
        </w:tc>
      </w:tr>
      <w:tr>
        <w:tc>
          <w:tcPr>
            <w:tcW w:type="dxa" w:w="23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Technique ID</w:t>
            </w:r>
          </w:p>
        </w:tc>
        <w:tc>
          <w:tcPr>
            <w:tcW w:type="dxa" w:w="70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T1555.003</w:t>
            </w:r>
          </w:p>
        </w:tc>
      </w:tr>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Technique Name</w:t>
            </w:r>
          </w:p>
        </w:tc>
        <w:tc>
          <w:tcPr>
            <w:tcW w:type="dxa" w:w="70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Credentials from Password Stores: Web Browsers</w:t>
            </w:r>
          </w:p>
        </w:tc>
      </w:tr>
      <w:tr>
        <w:tc>
          <w:tcPr>
            <w:tcW w:type="dxa" w:w="23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Evidence</w:t>
            </w:r>
          </w:p>
        </w:tc>
        <w:tc>
          <w:tcPr>
            <w:tcW w:type="dxa" w:w="70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Passwords.txt artifact contains plaintext credentials harvested from Chrome, Edge, and Firefox browser credential stores. All 13 corporate credential pairs were extracted via this technique. This is RedLine's primary credential harvesting mechanism.</w:t>
            </w:r>
          </w:p>
        </w:tc>
      </w:tr>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Confidence</w:t>
            </w:r>
          </w:p>
        </w:tc>
        <w:tc>
          <w:tcPr>
            <w:tcW w:type="dxa" w:w="70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Confirmed</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9360"/>
            <w:gridSpan w:val="2"/>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T1539 — Steal Web Session Cookie</w:t>
            </w:r>
          </w:p>
        </w:tc>
      </w:tr>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Tactic</w:t>
            </w:r>
          </w:p>
        </w:tc>
        <w:tc>
          <w:tcPr>
            <w:tcW w:type="dxa" w:w="70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Credential Access</w:t>
            </w:r>
          </w:p>
        </w:tc>
      </w:tr>
      <w:tr>
        <w:tc>
          <w:tcPr>
            <w:tcW w:type="dxa" w:w="23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Technique ID</w:t>
            </w:r>
          </w:p>
        </w:tc>
        <w:tc>
          <w:tcPr>
            <w:tcW w:type="dxa" w:w="70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T1539</w:t>
            </w:r>
          </w:p>
        </w:tc>
      </w:tr>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Technique Name</w:t>
            </w:r>
          </w:p>
        </w:tc>
        <w:tc>
          <w:tcPr>
            <w:tcW w:type="dxa" w:w="70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Steal Web Session Cookie</w:t>
            </w:r>
          </w:p>
        </w:tc>
      </w:tr>
      <w:tr>
        <w:tc>
          <w:tcPr>
            <w:tcW w:type="dxa" w:w="23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Evidence</w:t>
            </w:r>
          </w:p>
        </w:tc>
        <w:tc>
          <w:tcPr>
            <w:tcW w:type="dxa" w:w="70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Cookie directories present in stealer log for all three browsers. Session cookies enable authentication bypass without credentials — attacker can impersonate active user sessions. Cookies for Jira, Git, staging, and QA environments were all accessible.</w:t>
            </w:r>
          </w:p>
        </w:tc>
      </w:tr>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Confidence</w:t>
            </w:r>
          </w:p>
        </w:tc>
        <w:tc>
          <w:tcPr>
            <w:tcW w:type="dxa" w:w="70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Confirmed</w:t>
            </w:r>
          </w:p>
        </w:tc>
      </w:tr>
    </w:tbl>
    <w:p>
      <w:pPr>
        <w:spacing w:after="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9360"/>
            <w:gridSpan w:val="2"/>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T1552.001 — Unsecured Credentials: Credentials in Files</w:t>
            </w:r>
          </w:p>
        </w:tc>
      </w:tr>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Tactic</w:t>
            </w:r>
          </w:p>
        </w:tc>
        <w:tc>
          <w:tcPr>
            <w:tcW w:type="dxa" w:w="70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Credential Access</w:t>
            </w:r>
          </w:p>
        </w:tc>
      </w:tr>
      <w:tr>
        <w:tc>
          <w:tcPr>
            <w:tcW w:type="dxa" w:w="23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Technique ID</w:t>
            </w:r>
          </w:p>
        </w:tc>
        <w:tc>
          <w:tcPr>
            <w:tcW w:type="dxa" w:w="70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T1552.001</w:t>
            </w:r>
          </w:p>
        </w:tc>
      </w:tr>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Technique Name</w:t>
            </w:r>
          </w:p>
        </w:tc>
        <w:tc>
          <w:tcPr>
            <w:tcW w:type="dxa" w:w="70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Unsecured Credentials: Credentials in Files</w:t>
            </w:r>
          </w:p>
        </w:tc>
      </w:tr>
      <w:tr>
        <w:tc>
          <w:tcPr>
            <w:tcW w:type="dxa" w:w="23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Evidence</w:t>
            </w:r>
          </w:p>
        </w:tc>
        <w:tc>
          <w:tcPr>
            <w:tcW w:type="dxa" w:w="70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Browser-stored passwords were in effectively plaintext storage (encrypted with user DPAPI key, trivially decrypted by local malware). No enterprise password manager detected. mRemoteNG stores connection credentials in local XML files with reversible encryption.</w:t>
            </w:r>
          </w:p>
        </w:tc>
      </w:tr>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Confidence</w:t>
            </w:r>
          </w:p>
        </w:tc>
        <w:tc>
          <w:tcPr>
            <w:tcW w:type="dxa" w:w="70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Confirmed</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9360"/>
            <w:gridSpan w:val="2"/>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T1518 — Software Discovery</w:t>
            </w:r>
          </w:p>
        </w:tc>
      </w:tr>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Tactic</w:t>
            </w:r>
          </w:p>
        </w:tc>
        <w:tc>
          <w:tcPr>
            <w:tcW w:type="dxa" w:w="70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Discovery</w:t>
            </w:r>
          </w:p>
        </w:tc>
      </w:tr>
      <w:tr>
        <w:tc>
          <w:tcPr>
            <w:tcW w:type="dxa" w:w="23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Technique ID</w:t>
            </w:r>
          </w:p>
        </w:tc>
        <w:tc>
          <w:tcPr>
            <w:tcW w:type="dxa" w:w="70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T1518</w:t>
            </w:r>
          </w:p>
        </w:tc>
      </w:tr>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Technique Name</w:t>
            </w:r>
          </w:p>
        </w:tc>
        <w:tc>
          <w:tcPr>
            <w:tcW w:type="dxa" w:w="70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Software Discovery</w:t>
            </w:r>
          </w:p>
        </w:tc>
      </w:tr>
      <w:tr>
        <w:tc>
          <w:tcPr>
            <w:tcW w:type="dxa" w:w="23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Evidence</w:t>
            </w:r>
          </w:p>
        </w:tc>
        <w:tc>
          <w:tcPr>
            <w:tcW w:type="dxa" w:w="70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InstalledSoftware.txt artifact contains complete inventory of 120+ installed programs with version numbers. This data reveals development tools, database access capabilities, remote access software, and security posture of the endpoint.</w:t>
            </w:r>
          </w:p>
        </w:tc>
      </w:tr>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Confidence</w:t>
            </w:r>
          </w:p>
        </w:tc>
        <w:tc>
          <w:tcPr>
            <w:tcW w:type="dxa" w:w="70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Confirmed</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9360"/>
            <w:gridSpan w:val="2"/>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T1082 — System Information Discovery</w:t>
            </w:r>
          </w:p>
        </w:tc>
      </w:tr>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Tactic</w:t>
            </w:r>
          </w:p>
        </w:tc>
        <w:tc>
          <w:tcPr>
            <w:tcW w:type="dxa" w:w="70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Discovery</w:t>
            </w:r>
          </w:p>
        </w:tc>
      </w:tr>
      <w:tr>
        <w:tc>
          <w:tcPr>
            <w:tcW w:type="dxa" w:w="23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Technique ID</w:t>
            </w:r>
          </w:p>
        </w:tc>
        <w:tc>
          <w:tcPr>
            <w:tcW w:type="dxa" w:w="70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T1082</w:t>
            </w:r>
          </w:p>
        </w:tc>
      </w:tr>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Technique Name</w:t>
            </w:r>
          </w:p>
        </w:tc>
        <w:tc>
          <w:tcPr>
            <w:tcW w:type="dxa" w:w="70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System Information Discovery</w:t>
            </w:r>
          </w:p>
        </w:tc>
      </w:tr>
      <w:tr>
        <w:tc>
          <w:tcPr>
            <w:tcW w:type="dxa" w:w="23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Evidence</w:t>
            </w:r>
          </w:p>
        </w:tc>
        <w:tc>
          <w:tcPr>
            <w:tcW w:type="dxa" w:w="70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UserInformation.txt contains system user profile data and machine identifiers. DomainDetects.txt maps domains accessed by the user. Combined data provides attacker with full profile of the compromised environment.</w:t>
            </w:r>
          </w:p>
        </w:tc>
      </w:tr>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Confidence</w:t>
            </w:r>
          </w:p>
        </w:tc>
        <w:tc>
          <w:tcPr>
            <w:tcW w:type="dxa" w:w="70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Confirmed</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9360"/>
            <w:gridSpan w:val="2"/>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T1087 — Account Discovery</w:t>
            </w:r>
          </w:p>
        </w:tc>
      </w:tr>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Tactic</w:t>
            </w:r>
          </w:p>
        </w:tc>
        <w:tc>
          <w:tcPr>
            <w:tcW w:type="dxa" w:w="70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Discovery</w:t>
            </w:r>
          </w:p>
        </w:tc>
      </w:tr>
      <w:tr>
        <w:tc>
          <w:tcPr>
            <w:tcW w:type="dxa" w:w="23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Technique ID</w:t>
            </w:r>
          </w:p>
        </w:tc>
        <w:tc>
          <w:tcPr>
            <w:tcW w:type="dxa" w:w="70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T1087</w:t>
            </w:r>
          </w:p>
        </w:tc>
      </w:tr>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Technique Name</w:t>
            </w:r>
          </w:p>
        </w:tc>
        <w:tc>
          <w:tcPr>
            <w:tcW w:type="dxa" w:w="70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Account Discovery</w:t>
            </w:r>
          </w:p>
        </w:tc>
      </w:tr>
      <w:tr>
        <w:tc>
          <w:tcPr>
            <w:tcW w:type="dxa" w:w="23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Evidence</w:t>
            </w:r>
          </w:p>
        </w:tc>
        <w:tc>
          <w:tcPr>
            <w:tcW w:type="dxa" w:w="70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Multiple user accounts enumerated across 13 URLs — superadmin, c****o_superadmin, r***n***, rn***@racami.com. Account names, login URLs, and access patterns mapped by the stealer.</w:t>
            </w:r>
          </w:p>
        </w:tc>
      </w:tr>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Confidence</w:t>
            </w:r>
          </w:p>
        </w:tc>
        <w:tc>
          <w:tcPr>
            <w:tcW w:type="dxa" w:w="70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Confirmed</w:t>
            </w:r>
          </w:p>
        </w:tc>
      </w:tr>
    </w:tbl>
    <w:p>
      <w:pPr>
        <w:spacing w:after="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9360"/>
            <w:gridSpan w:val="2"/>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T1005 — Data from Local System</w:t>
            </w:r>
          </w:p>
        </w:tc>
      </w:tr>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Tactic</w:t>
            </w:r>
          </w:p>
        </w:tc>
        <w:tc>
          <w:tcPr>
            <w:tcW w:type="dxa" w:w="70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Collection</w:t>
            </w:r>
          </w:p>
        </w:tc>
      </w:tr>
      <w:tr>
        <w:tc>
          <w:tcPr>
            <w:tcW w:type="dxa" w:w="23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Technique ID</w:t>
            </w:r>
          </w:p>
        </w:tc>
        <w:tc>
          <w:tcPr>
            <w:tcW w:type="dxa" w:w="70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T1005</w:t>
            </w:r>
          </w:p>
        </w:tc>
      </w:tr>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Technique Name</w:t>
            </w:r>
          </w:p>
        </w:tc>
        <w:tc>
          <w:tcPr>
            <w:tcW w:type="dxa" w:w="70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Data from Local System</w:t>
            </w:r>
          </w:p>
        </w:tc>
      </w:tr>
      <w:tr>
        <w:tc>
          <w:tcPr>
            <w:tcW w:type="dxa" w:w="23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Evidence</w:t>
            </w:r>
          </w:p>
        </w:tc>
        <w:tc>
          <w:tcPr>
            <w:tcW w:type="dxa" w:w="70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Comprehensive local data collection: browser credentials, cookies, autofill data, Telegram desktop application data (messages, contacts, session keys, configs), installed software inventory, process list, and system profile information.</w:t>
            </w:r>
          </w:p>
        </w:tc>
      </w:tr>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Confidence</w:t>
            </w:r>
          </w:p>
        </w:tc>
        <w:tc>
          <w:tcPr>
            <w:tcW w:type="dxa" w:w="70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Confirmed</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9360"/>
            <w:gridSpan w:val="2"/>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T1119 — Automated Collection</w:t>
            </w:r>
          </w:p>
        </w:tc>
      </w:tr>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Tactic</w:t>
            </w:r>
          </w:p>
        </w:tc>
        <w:tc>
          <w:tcPr>
            <w:tcW w:type="dxa" w:w="70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Collection</w:t>
            </w:r>
          </w:p>
        </w:tc>
      </w:tr>
      <w:tr>
        <w:tc>
          <w:tcPr>
            <w:tcW w:type="dxa" w:w="23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Technique ID</w:t>
            </w:r>
          </w:p>
        </w:tc>
        <w:tc>
          <w:tcPr>
            <w:tcW w:type="dxa" w:w="70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T1119</w:t>
            </w:r>
          </w:p>
        </w:tc>
      </w:tr>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Technique Name</w:t>
            </w:r>
          </w:p>
        </w:tc>
        <w:tc>
          <w:tcPr>
            <w:tcW w:type="dxa" w:w="70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Automated Collection</w:t>
            </w:r>
          </w:p>
        </w:tc>
      </w:tr>
      <w:tr>
        <w:tc>
          <w:tcPr>
            <w:tcW w:type="dxa" w:w="23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Evidence</w:t>
            </w:r>
          </w:p>
        </w:tc>
        <w:tc>
          <w:tcPr>
            <w:tcW w:type="dxa" w:w="70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RedLine performs fully automated data harvesting — execution to exfiltration completes in under 60 seconds. No manual operator interaction required. Stealer log structure (standardized directories, consistent naming) confirms automated tooling.</w:t>
            </w:r>
          </w:p>
        </w:tc>
      </w:tr>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Confidence</w:t>
            </w:r>
          </w:p>
        </w:tc>
        <w:tc>
          <w:tcPr>
            <w:tcW w:type="dxa" w:w="70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Confirmed</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9360"/>
            <w:gridSpan w:val="2"/>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T1041 — Exfiltration Over C2 Channel</w:t>
            </w:r>
          </w:p>
        </w:tc>
      </w:tr>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Tactic</w:t>
            </w:r>
          </w:p>
        </w:tc>
        <w:tc>
          <w:tcPr>
            <w:tcW w:type="dxa" w:w="70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Exfiltration</w:t>
            </w:r>
          </w:p>
        </w:tc>
      </w:tr>
      <w:tr>
        <w:tc>
          <w:tcPr>
            <w:tcW w:type="dxa" w:w="23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Technique ID</w:t>
            </w:r>
          </w:p>
        </w:tc>
        <w:tc>
          <w:tcPr>
            <w:tcW w:type="dxa" w:w="70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T1041</w:t>
            </w:r>
          </w:p>
        </w:tc>
      </w:tr>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Technique Name</w:t>
            </w:r>
          </w:p>
        </w:tc>
        <w:tc>
          <w:tcPr>
            <w:tcW w:type="dxa" w:w="70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Exfiltration Over C2 Channel</w:t>
            </w:r>
          </w:p>
        </w:tc>
      </w:tr>
      <w:tr>
        <w:tc>
          <w:tcPr>
            <w:tcW w:type="dxa" w:w="23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Evidence</w:t>
            </w:r>
          </w:p>
        </w:tc>
        <w:tc>
          <w:tcPr>
            <w:tcW w:type="dxa" w:w="70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Stealer log appeared on Hudson Rock platform by November 12, 2022, confirming successful exfiltration to attacker infrastructure. Log detected 14 times, indicating redistribution across multiple dark web marketplaces and threat intelligence feeds.</w:t>
            </w:r>
          </w:p>
        </w:tc>
      </w:tr>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Confidence</w:t>
            </w:r>
          </w:p>
        </w:tc>
        <w:tc>
          <w:tcPr>
            <w:tcW w:type="dxa" w:w="70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Confirmed</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9360"/>
            <w:gridSpan w:val="2"/>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T1078 — Valid Accounts</w:t>
            </w:r>
          </w:p>
        </w:tc>
      </w:tr>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Tactic</w:t>
            </w:r>
          </w:p>
        </w:tc>
        <w:tc>
          <w:tcPr>
            <w:tcW w:type="dxa" w:w="70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Impact</w:t>
            </w:r>
          </w:p>
        </w:tc>
      </w:tr>
      <w:tr>
        <w:tc>
          <w:tcPr>
            <w:tcW w:type="dxa" w:w="23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Technique ID</w:t>
            </w:r>
          </w:p>
        </w:tc>
        <w:tc>
          <w:tcPr>
            <w:tcW w:type="dxa" w:w="70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T1078</w:t>
            </w:r>
          </w:p>
        </w:tc>
      </w:tr>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Technique Name</w:t>
            </w:r>
          </w:p>
        </w:tc>
        <w:tc>
          <w:tcPr>
            <w:tcW w:type="dxa" w:w="70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Valid Accounts</w:t>
            </w:r>
          </w:p>
        </w:tc>
      </w:tr>
      <w:tr>
        <w:tc>
          <w:tcPr>
            <w:tcW w:type="dxa" w:w="23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Evidence</w:t>
            </w:r>
          </w:p>
        </w:tc>
        <w:tc>
          <w:tcPr>
            <w:tcW w:type="dxa" w:w="70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Stolen superadmin credentials provide legitimate authentication to production, staging, QA, UAT, Git, and Jira systems. Valid account usage is extremely difficult to distinguish from legitimate user activity. Confirmed exploited by HellCat in April 2025 via Jira credentials.</w:t>
            </w:r>
          </w:p>
        </w:tc>
      </w:tr>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Confidence</w:t>
            </w:r>
          </w:p>
        </w:tc>
        <w:tc>
          <w:tcPr>
            <w:tcW w:type="dxa" w:w="70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Confirmed (exploited)</w:t>
            </w:r>
          </w:p>
        </w:tc>
      </w:tr>
    </w:tbl>
    <w:p>
      <w:pPr>
        <w:spacing w:after="200"/>
      </w:pPr>
    </w:p>
    <w:p>
      <w:r>
        <w:br w:type="page"/>
      </w:r>
    </w:p>
    <w:p>
      <w:pPr>
        <w:pStyle w:val="Heading1"/>
      </w:pPr>
      <w:r>
        <w:t xml:space="preserve">4. ATT&amp;CK Coverage Summary</w:t>
      </w:r>
    </w:p>
    <w:p>
      <w:pPr>
        <w:spacing w:after="120"/>
      </w:pPr>
      <w:r>
        <w:rPr>
          <w:rFonts w:ascii="Arial" w:cs="Arial" w:eastAsia="Arial" w:hAnsi="Arial"/>
          <w:b w:val="false"/>
          <w:bCs w:val="false"/>
          <w:i w:val="false"/>
          <w:iCs w:val="false"/>
          <w:color w:val="1B2A4A"/>
          <w:sz w:val="22"/>
          <w:szCs w:val="22"/>
        </w:rPr>
        <w:t xml:space="preserve">The following table summarizes technique coverage by tactic. This mapping demonstrates that the Racami infostealer incident touched eight of fourteen ATT&amp;CK Enterprise tactics, with the heaviest concentration in Credential Access and Collection — consistent with the financially motivated infostealer campaign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5760"/>
      </w:tblGrid>
      <w:tr>
        <w:tc>
          <w:tcPr>
            <w:tcW w:type="dxa" w:w="28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Tactic</w:t>
            </w:r>
          </w:p>
        </w:tc>
        <w:tc>
          <w:tcPr>
            <w:tcW w:type="dxa" w:w="8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Count</w:t>
            </w:r>
          </w:p>
        </w:tc>
        <w:tc>
          <w:tcPr>
            <w:tcW w:type="dxa" w:w="576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Techniques Observed</w:t>
            </w:r>
          </w:p>
        </w:tc>
      </w:tr>
      <w:tr>
        <w:tc>
          <w:tcPr>
            <w:tcW w:type="dxa" w:w="2800"/>
            <w:tcBorders>
              <w:top w:val="single" w:color="B0BEC5" w:sz="1"/>
              <w:left w:val="single" w:color="B0BEC5" w:sz="1"/>
              <w:bottom w:val="single" w:color="B0BEC5" w:sz="1"/>
              <w:right w:val="single" w:color="B0BEC5" w:sz="1"/>
            </w:tcBorders>
            <w:shd w:fill="2E86AB" w:val="clear"/>
            <w:tcMar>
              <w:top w:type="dxa" w:w="80"/>
              <w:left w:type="dxa" w:w="120"/>
              <w:bottom w:type="dxa" w:w="80"/>
              <w:right w:type="dxa" w:w="120"/>
            </w:tcMar>
            <w:vAlign w:val="center"/>
          </w:tcPr>
          <w:p>
            <w:r>
              <w:rPr>
                <w:rFonts w:ascii="Arial" w:cs="Arial" w:eastAsia="Arial" w:hAnsi="Arial"/>
                <w:b/>
                <w:bCs/>
                <w:color w:val="FFFFFF"/>
                <w:sz w:val="20"/>
                <w:szCs w:val="20"/>
              </w:rPr>
              <w:t xml:space="preserve">Initial Access</w:t>
            </w:r>
          </w:p>
        </w:tc>
        <w:tc>
          <w:tcPr>
            <w:tcW w:type="dxa" w:w="8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1</w:t>
            </w:r>
          </w:p>
        </w:tc>
        <w:tc>
          <w:tcPr>
            <w:tcW w:type="dxa" w:w="57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T1566 Phishing</w:t>
            </w:r>
          </w:p>
        </w:tc>
      </w:tr>
      <w:tr>
        <w:tc>
          <w:tcPr>
            <w:tcW w:type="dxa" w:w="2800"/>
            <w:tcBorders>
              <w:top w:val="single" w:color="B0BEC5" w:sz="1"/>
              <w:left w:val="single" w:color="B0BEC5" w:sz="1"/>
              <w:bottom w:val="single" w:color="B0BEC5" w:sz="1"/>
              <w:right w:val="single" w:color="B0BEC5" w:sz="1"/>
            </w:tcBorders>
            <w:shd w:fill="2E86AB" w:val="clear"/>
            <w:tcMar>
              <w:top w:type="dxa" w:w="80"/>
              <w:left w:type="dxa" w:w="120"/>
              <w:bottom w:type="dxa" w:w="80"/>
              <w:right w:type="dxa" w:w="120"/>
            </w:tcMar>
            <w:vAlign w:val="center"/>
          </w:tcPr>
          <w:p>
            <w:r>
              <w:rPr>
                <w:rFonts w:ascii="Arial" w:cs="Arial" w:eastAsia="Arial" w:hAnsi="Arial"/>
                <w:b/>
                <w:bCs/>
                <w:color w:val="FFFFFF"/>
                <w:sz w:val="20"/>
                <w:szCs w:val="20"/>
              </w:rPr>
              <w:t xml:space="preserve">Execution</w:t>
            </w:r>
          </w:p>
        </w:tc>
        <w:tc>
          <w:tcPr>
            <w:tcW w:type="dxa" w:w="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2</w:t>
            </w:r>
          </w:p>
        </w:tc>
        <w:tc>
          <w:tcPr>
            <w:tcW w:type="dxa" w:w="5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T1204.002 User Execution: Malicious File, T1059 Command and Scripting Interpreter</w:t>
            </w:r>
          </w:p>
        </w:tc>
      </w:tr>
      <w:tr>
        <w:tc>
          <w:tcPr>
            <w:tcW w:type="dxa" w:w="2800"/>
            <w:tcBorders>
              <w:top w:val="single" w:color="B0BEC5" w:sz="1"/>
              <w:left w:val="single" w:color="B0BEC5" w:sz="1"/>
              <w:bottom w:val="single" w:color="B0BEC5" w:sz="1"/>
              <w:right w:val="single" w:color="B0BEC5" w:sz="1"/>
            </w:tcBorders>
            <w:shd w:fill="2E86AB" w:val="clear"/>
            <w:tcMar>
              <w:top w:type="dxa" w:w="80"/>
              <w:left w:type="dxa" w:w="120"/>
              <w:bottom w:type="dxa" w:w="80"/>
              <w:right w:type="dxa" w:w="120"/>
            </w:tcMar>
            <w:vAlign w:val="center"/>
          </w:tcPr>
          <w:p>
            <w:r>
              <w:rPr>
                <w:rFonts w:ascii="Arial" w:cs="Arial" w:eastAsia="Arial" w:hAnsi="Arial"/>
                <w:b/>
                <w:bCs/>
                <w:color w:val="FFFFFF"/>
                <w:sz w:val="20"/>
                <w:szCs w:val="20"/>
              </w:rPr>
              <w:t xml:space="preserve">Persistence</w:t>
            </w:r>
          </w:p>
        </w:tc>
        <w:tc>
          <w:tcPr>
            <w:tcW w:type="dxa" w:w="8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1</w:t>
            </w:r>
          </w:p>
        </w:tc>
        <w:tc>
          <w:tcPr>
            <w:tcW w:type="dxa" w:w="57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T1547.001 Registry Run Keys / Startup Folder</w:t>
            </w:r>
          </w:p>
        </w:tc>
      </w:tr>
      <w:tr>
        <w:tc>
          <w:tcPr>
            <w:tcW w:type="dxa" w:w="2800"/>
            <w:tcBorders>
              <w:top w:val="single" w:color="B0BEC5" w:sz="1"/>
              <w:left w:val="single" w:color="B0BEC5" w:sz="1"/>
              <w:bottom w:val="single" w:color="B0BEC5" w:sz="1"/>
              <w:right w:val="single" w:color="B0BEC5" w:sz="1"/>
            </w:tcBorders>
            <w:shd w:fill="2E86AB" w:val="clear"/>
            <w:tcMar>
              <w:top w:type="dxa" w:w="80"/>
              <w:left w:type="dxa" w:w="120"/>
              <w:bottom w:type="dxa" w:w="80"/>
              <w:right w:type="dxa" w:w="120"/>
            </w:tcMar>
            <w:vAlign w:val="center"/>
          </w:tcPr>
          <w:p>
            <w:r>
              <w:rPr>
                <w:rFonts w:ascii="Arial" w:cs="Arial" w:eastAsia="Arial" w:hAnsi="Arial"/>
                <w:b/>
                <w:bCs/>
                <w:color w:val="FFFFFF"/>
                <w:sz w:val="20"/>
                <w:szCs w:val="20"/>
              </w:rPr>
              <w:t xml:space="preserve">Defense Evasion</w:t>
            </w:r>
          </w:p>
        </w:tc>
        <w:tc>
          <w:tcPr>
            <w:tcW w:type="dxa" w:w="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2</w:t>
            </w:r>
          </w:p>
        </w:tc>
        <w:tc>
          <w:tcPr>
            <w:tcW w:type="dxa" w:w="5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T1562.001 Impair Defenses, T1036 Masquerading</w:t>
            </w:r>
          </w:p>
        </w:tc>
      </w:tr>
      <w:tr>
        <w:tc>
          <w:tcPr>
            <w:tcW w:type="dxa" w:w="2800"/>
            <w:tcBorders>
              <w:top w:val="single" w:color="B0BEC5" w:sz="1"/>
              <w:left w:val="single" w:color="B0BEC5" w:sz="1"/>
              <w:bottom w:val="single" w:color="B0BEC5" w:sz="1"/>
              <w:right w:val="single" w:color="B0BEC5" w:sz="1"/>
            </w:tcBorders>
            <w:shd w:fill="2E86AB" w:val="clear"/>
            <w:tcMar>
              <w:top w:type="dxa" w:w="80"/>
              <w:left w:type="dxa" w:w="120"/>
              <w:bottom w:type="dxa" w:w="80"/>
              <w:right w:type="dxa" w:w="120"/>
            </w:tcMar>
            <w:vAlign w:val="center"/>
          </w:tcPr>
          <w:p>
            <w:r>
              <w:rPr>
                <w:rFonts w:ascii="Arial" w:cs="Arial" w:eastAsia="Arial" w:hAnsi="Arial"/>
                <w:b/>
                <w:bCs/>
                <w:color w:val="FFFFFF"/>
                <w:sz w:val="20"/>
                <w:szCs w:val="20"/>
              </w:rPr>
              <w:t xml:space="preserve">Credential Access</w:t>
            </w:r>
          </w:p>
        </w:tc>
        <w:tc>
          <w:tcPr>
            <w:tcW w:type="dxa" w:w="8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3</w:t>
            </w:r>
          </w:p>
        </w:tc>
        <w:tc>
          <w:tcPr>
            <w:tcW w:type="dxa" w:w="57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T1555.003 Browser Credentials, T1539 Steal Session Cookie, T1552.001 Unsecured Credentials</w:t>
            </w:r>
          </w:p>
        </w:tc>
      </w:tr>
      <w:tr>
        <w:tc>
          <w:tcPr>
            <w:tcW w:type="dxa" w:w="2800"/>
            <w:tcBorders>
              <w:top w:val="single" w:color="B0BEC5" w:sz="1"/>
              <w:left w:val="single" w:color="B0BEC5" w:sz="1"/>
              <w:bottom w:val="single" w:color="B0BEC5" w:sz="1"/>
              <w:right w:val="single" w:color="B0BEC5" w:sz="1"/>
            </w:tcBorders>
            <w:shd w:fill="2E86AB" w:val="clear"/>
            <w:tcMar>
              <w:top w:type="dxa" w:w="80"/>
              <w:left w:type="dxa" w:w="120"/>
              <w:bottom w:type="dxa" w:w="80"/>
              <w:right w:type="dxa" w:w="120"/>
            </w:tcMar>
            <w:vAlign w:val="center"/>
          </w:tcPr>
          <w:p>
            <w:r>
              <w:rPr>
                <w:rFonts w:ascii="Arial" w:cs="Arial" w:eastAsia="Arial" w:hAnsi="Arial"/>
                <w:b/>
                <w:bCs/>
                <w:color w:val="FFFFFF"/>
                <w:sz w:val="20"/>
                <w:szCs w:val="20"/>
              </w:rPr>
              <w:t xml:space="preserve">Discovery</w:t>
            </w:r>
          </w:p>
        </w:tc>
        <w:tc>
          <w:tcPr>
            <w:tcW w:type="dxa" w:w="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3</w:t>
            </w:r>
          </w:p>
        </w:tc>
        <w:tc>
          <w:tcPr>
            <w:tcW w:type="dxa" w:w="5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T1518 Software Discovery, T1082 System Info Discovery, T1087 Account Discovery</w:t>
            </w:r>
          </w:p>
        </w:tc>
      </w:tr>
      <w:tr>
        <w:tc>
          <w:tcPr>
            <w:tcW w:type="dxa" w:w="2800"/>
            <w:tcBorders>
              <w:top w:val="single" w:color="B0BEC5" w:sz="1"/>
              <w:left w:val="single" w:color="B0BEC5" w:sz="1"/>
              <w:bottom w:val="single" w:color="B0BEC5" w:sz="1"/>
              <w:right w:val="single" w:color="B0BEC5" w:sz="1"/>
            </w:tcBorders>
            <w:shd w:fill="2E86AB" w:val="clear"/>
            <w:tcMar>
              <w:top w:type="dxa" w:w="80"/>
              <w:left w:type="dxa" w:w="120"/>
              <w:bottom w:type="dxa" w:w="80"/>
              <w:right w:type="dxa" w:w="120"/>
            </w:tcMar>
            <w:vAlign w:val="center"/>
          </w:tcPr>
          <w:p>
            <w:r>
              <w:rPr>
                <w:rFonts w:ascii="Arial" w:cs="Arial" w:eastAsia="Arial" w:hAnsi="Arial"/>
                <w:b/>
                <w:bCs/>
                <w:color w:val="FFFFFF"/>
                <w:sz w:val="20"/>
                <w:szCs w:val="20"/>
              </w:rPr>
              <w:t xml:space="preserve">Collection</w:t>
            </w:r>
          </w:p>
        </w:tc>
        <w:tc>
          <w:tcPr>
            <w:tcW w:type="dxa" w:w="8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2</w:t>
            </w:r>
          </w:p>
        </w:tc>
        <w:tc>
          <w:tcPr>
            <w:tcW w:type="dxa" w:w="57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T1005 Data from Local System, T1119 Automated Collection</w:t>
            </w:r>
          </w:p>
        </w:tc>
      </w:tr>
      <w:tr>
        <w:tc>
          <w:tcPr>
            <w:tcW w:type="dxa" w:w="2800"/>
            <w:tcBorders>
              <w:top w:val="single" w:color="B0BEC5" w:sz="1"/>
              <w:left w:val="single" w:color="B0BEC5" w:sz="1"/>
              <w:bottom w:val="single" w:color="B0BEC5" w:sz="1"/>
              <w:right w:val="single" w:color="B0BEC5" w:sz="1"/>
            </w:tcBorders>
            <w:shd w:fill="2E86AB" w:val="clear"/>
            <w:tcMar>
              <w:top w:type="dxa" w:w="80"/>
              <w:left w:type="dxa" w:w="120"/>
              <w:bottom w:type="dxa" w:w="80"/>
              <w:right w:type="dxa" w:w="120"/>
            </w:tcMar>
            <w:vAlign w:val="center"/>
          </w:tcPr>
          <w:p>
            <w:r>
              <w:rPr>
                <w:rFonts w:ascii="Arial" w:cs="Arial" w:eastAsia="Arial" w:hAnsi="Arial"/>
                <w:b/>
                <w:bCs/>
                <w:color w:val="FFFFFF"/>
                <w:sz w:val="20"/>
                <w:szCs w:val="20"/>
              </w:rPr>
              <w:t xml:space="preserve">Exfiltration</w:t>
            </w:r>
          </w:p>
        </w:tc>
        <w:tc>
          <w:tcPr>
            <w:tcW w:type="dxa" w:w="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1</w:t>
            </w:r>
          </w:p>
        </w:tc>
        <w:tc>
          <w:tcPr>
            <w:tcW w:type="dxa" w:w="5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T1041 Exfiltration Over C2</w:t>
            </w:r>
          </w:p>
        </w:tc>
      </w:tr>
      <w:tr>
        <w:tc>
          <w:tcPr>
            <w:tcW w:type="dxa" w:w="2800"/>
            <w:tcBorders>
              <w:top w:val="single" w:color="B0BEC5" w:sz="1"/>
              <w:left w:val="single" w:color="B0BEC5" w:sz="1"/>
              <w:bottom w:val="single" w:color="B0BEC5" w:sz="1"/>
              <w:right w:val="single" w:color="B0BEC5" w:sz="1"/>
            </w:tcBorders>
            <w:shd w:fill="2E86AB"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 (Downstream)</w:t>
            </w:r>
          </w:p>
        </w:tc>
        <w:tc>
          <w:tcPr>
            <w:tcW w:type="dxa" w:w="8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1</w:t>
            </w:r>
          </w:p>
        </w:tc>
        <w:tc>
          <w:tcPr>
            <w:tcW w:type="dxa" w:w="57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T1078 Valid Accounts (confirmed exploitation April 2025)</w:t>
            </w:r>
          </w:p>
        </w:tc>
      </w:tr>
    </w:tbl>
    <w:p>
      <w:pPr>
        <w:spacing w:after="200"/>
      </w:pPr>
    </w:p>
    <w:p>
      <w:pPr>
        <w:pStyle w:val="Heading1"/>
      </w:pPr>
      <w:r>
        <w:t xml:space="preserve">5. Detection Gap Analysis</w:t>
      </w:r>
    </w:p>
    <w:p>
      <w:pPr>
        <w:spacing w:after="120"/>
      </w:pPr>
      <w:r>
        <w:rPr>
          <w:rFonts w:ascii="Arial" w:cs="Arial" w:eastAsia="Arial" w:hAnsi="Arial"/>
          <w:b w:val="false"/>
          <w:bCs w:val="false"/>
          <w:i w:val="false"/>
          <w:iCs w:val="false"/>
          <w:color w:val="1B2A4A"/>
          <w:sz w:val="22"/>
          <w:szCs w:val="22"/>
        </w:rPr>
        <w:t xml:space="preserve">The following table identifies ATT&amp;CK techniques where Racami's existing security controls failed to detect or prevent the attack. Each gap is paired with the control that should have been in place and a recommended detection data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200"/>
        <w:gridCol w:w="2360"/>
      </w:tblGrid>
      <w:tr>
        <w:tc>
          <w:tcPr>
            <w:tcW w:type="dxa" w:w="22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Technique</w:t>
            </w:r>
          </w:p>
        </w:tc>
        <w:tc>
          <w:tcPr>
            <w:tcW w:type="dxa" w:w="26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Control Gap</w:t>
            </w:r>
          </w:p>
        </w:tc>
        <w:tc>
          <w:tcPr>
            <w:tcW w:type="dxa" w:w="22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 Data Source</w:t>
            </w:r>
          </w:p>
        </w:tc>
        <w:tc>
          <w:tcPr>
            <w:tcW w:type="dxa" w:w="236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Recommended Control</w:t>
            </w:r>
          </w:p>
        </w:tc>
      </w:tr>
      <w:tr>
        <w:tc>
          <w:tcPr>
            <w:tcW w:type="dxa" w:w="2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T1204.002 User Exec</w:t>
            </w:r>
          </w:p>
        </w:tc>
        <w:tc>
          <w:tcPr>
            <w:tcW w:type="dxa" w:w="26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No user execution monitoring or application whitelisting</w:t>
            </w:r>
          </w:p>
        </w:tc>
        <w:tc>
          <w:tcPr>
            <w:tcW w:type="dxa" w:w="2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Process creation logs (Sysmon Event 1)</w:t>
            </w:r>
          </w:p>
        </w:tc>
        <w:tc>
          <w:tcPr>
            <w:tcW w:type="dxa" w:w="23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AppLocker / WDAC policy blocking %TEMP% execution</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T1562.001 Impair Def</w:t>
            </w:r>
          </w:p>
        </w:tc>
        <w:tc>
          <w:tcPr>
            <w:tcW w:type="dxa" w:w="2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Windows Defender sole protection; no EDR/XDR</w:t>
            </w:r>
          </w:p>
        </w:tc>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Endpoint telemetry, AMSI logs</w:t>
            </w:r>
          </w:p>
        </w:tc>
        <w:tc>
          <w:tcPr>
            <w:tcW w:type="dxa" w:w="23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Deploy EDR with behavioral detection (e.g., CrowdStrike, SentinelOne, Defender for Endpoint)</w:t>
            </w:r>
          </w:p>
        </w:tc>
      </w:tr>
      <w:tr>
        <w:tc>
          <w:tcPr>
            <w:tcW w:type="dxa" w:w="2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T1555.003 Browser Creds</w:t>
            </w:r>
          </w:p>
        </w:tc>
        <w:tc>
          <w:tcPr>
            <w:tcW w:type="dxa" w:w="26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No enterprise password manager; credentials stored in browsers</w:t>
            </w:r>
          </w:p>
        </w:tc>
        <w:tc>
          <w:tcPr>
            <w:tcW w:type="dxa" w:w="2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Credential access monitoring</w:t>
            </w:r>
          </w:p>
        </w:tc>
        <w:tc>
          <w:tcPr>
            <w:tcW w:type="dxa" w:w="23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Enterprise password manager (Bitwarden, 1Password); GPO to disable browser password storage</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T1539 Session Cookie</w:t>
            </w:r>
          </w:p>
        </w:tc>
        <w:tc>
          <w:tcPr>
            <w:tcW w:type="dxa" w:w="2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No session binding or adaptive authentication</w:t>
            </w:r>
          </w:p>
        </w:tc>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Authentication logs, session anomaly detection</w:t>
            </w:r>
          </w:p>
        </w:tc>
        <w:tc>
          <w:tcPr>
            <w:tcW w:type="dxa" w:w="23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Device-bound sessions, IP-based session validation, short token lifetimes</w:t>
            </w:r>
          </w:p>
        </w:tc>
      </w:tr>
      <w:tr>
        <w:tc>
          <w:tcPr>
            <w:tcW w:type="dxa" w:w="2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T1078 Valid Accounts</w:t>
            </w:r>
          </w:p>
        </w:tc>
        <w:tc>
          <w:tcPr>
            <w:tcW w:type="dxa" w:w="26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No MFA on any compromised system; no credential rotation policy</w:t>
            </w:r>
          </w:p>
        </w:tc>
        <w:tc>
          <w:tcPr>
            <w:tcW w:type="dxa" w:w="2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Authentication logs, impossible travel detection</w:t>
            </w:r>
          </w:p>
        </w:tc>
        <w:tc>
          <w:tcPr>
            <w:tcW w:type="dxa" w:w="23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MFA enforcement (FIDO2/YubiKey preferred); 90-day credential rotation; dark web monitoring</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T1041 Exfiltration</w:t>
            </w:r>
          </w:p>
        </w:tc>
        <w:tc>
          <w:tcPr>
            <w:tcW w:type="dxa" w:w="2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No DLP or outbound traffic inspection</w:t>
            </w:r>
          </w:p>
        </w:tc>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Network flow data, DNS logs</w:t>
            </w:r>
          </w:p>
        </w:tc>
        <w:tc>
          <w:tcPr>
            <w:tcW w:type="dxa" w:w="23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Network DLP, SSL inspection, DNS monitoring for C2 indicators</w:t>
            </w:r>
          </w:p>
        </w:tc>
      </w:tr>
    </w:tbl>
    <w:p>
      <w:r>
        <w:br w:type="page"/>
      </w:r>
    </w:p>
    <w:p>
      <w:pPr>
        <w:pStyle w:val="Heading1"/>
      </w:pPr>
      <w:r>
        <w:t xml:space="preserve">6. Threat Actor and Malware Profile</w:t>
      </w:r>
    </w:p>
    <w:p>
      <w:pPr>
        <w:pStyle w:val="Heading2"/>
      </w:pPr>
      <w:r>
        <w:t xml:space="preserve">6.1 RedLine Stealer</w:t>
      </w:r>
    </w:p>
    <w:p>
      <w:pPr>
        <w:spacing w:after="120"/>
      </w:pPr>
      <w:r>
        <w:rPr>
          <w:rFonts w:ascii="Arial" w:cs="Arial" w:eastAsia="Arial" w:hAnsi="Arial"/>
          <w:b w:val="false"/>
          <w:bCs w:val="false"/>
          <w:i w:val="false"/>
          <w:iCs w:val="false"/>
          <w:color w:val="1B2A4A"/>
          <w:sz w:val="22"/>
          <w:szCs w:val="22"/>
        </w:rPr>
        <w:t xml:space="preserve">RedLine Stealer is a commodity infostealer-as-a-service (MaaS) that has been one of the most prevalent credential theft tools since its emergence in March 2020. It is sold on Russian-language cybercrime forums and operates under a malware-as-a-service model.</w:t>
      </w:r>
    </w:p>
    <w:p>
      <w:pPr>
        <w:pStyle w:val="ListParagraph"/>
        <w:numPr>
          <w:ilvl w:val="0"/>
          <w:numId w:val="2"/>
        </w:numPr>
      </w:pPr>
      <w:r>
        <w:rPr>
          <w:rFonts w:ascii="Arial" w:cs="Arial" w:eastAsia="Arial" w:hAnsi="Arial"/>
          <w:color w:val="1B2A4A"/>
          <w:sz w:val="22"/>
          <w:szCs w:val="22"/>
        </w:rPr>
        <w:t xml:space="preserve">Primary capability: Harvests stored credentials, session cookies, autofill data, and cryptocurrency wallet data from major browsers (Chrome, Edge, Firefox, Opera).</w:t>
      </w:r>
    </w:p>
    <w:p>
      <w:pPr>
        <w:pStyle w:val="ListParagraph"/>
        <w:numPr>
          <w:ilvl w:val="0"/>
          <w:numId w:val="2"/>
        </w:numPr>
      </w:pPr>
      <w:r>
        <w:rPr>
          <w:rFonts w:ascii="Arial" w:cs="Arial" w:eastAsia="Arial" w:hAnsi="Arial"/>
          <w:color w:val="1B2A4A"/>
          <w:sz w:val="22"/>
          <w:szCs w:val="22"/>
        </w:rPr>
        <w:t xml:space="preserve">Secondary collection: System information, installed software inventory, running processes, and messaging application data (Telegram, Discord).</w:t>
      </w:r>
    </w:p>
    <w:p>
      <w:pPr>
        <w:pStyle w:val="ListParagraph"/>
        <w:numPr>
          <w:ilvl w:val="0"/>
          <w:numId w:val="2"/>
        </w:numPr>
      </w:pPr>
      <w:r>
        <w:rPr>
          <w:rFonts w:ascii="Arial" w:cs="Arial" w:eastAsia="Arial" w:hAnsi="Arial"/>
          <w:color w:val="1B2A4A"/>
          <w:sz w:val="22"/>
          <w:szCs w:val="22"/>
        </w:rPr>
        <w:t xml:space="preserve">Delivery methods: Commonly delivered through phishing emails, malicious advertisements (malvertising), trojanized software downloads, and social engineering campaigns.</w:t>
      </w:r>
    </w:p>
    <w:p>
      <w:pPr>
        <w:pStyle w:val="ListParagraph"/>
        <w:numPr>
          <w:ilvl w:val="0"/>
          <w:numId w:val="2"/>
        </w:numPr>
      </w:pPr>
      <w:r>
        <w:rPr>
          <w:rFonts w:ascii="Arial" w:cs="Arial" w:eastAsia="Arial" w:hAnsi="Arial"/>
          <w:color w:val="1B2A4A"/>
          <w:sz w:val="22"/>
          <w:szCs w:val="22"/>
        </w:rPr>
        <w:t xml:space="preserve">Execution behavior: Drops into %TEMP% subdirectories, executes rapidly (under 60 seconds for full harvest), packages data into structured log format, exfiltrates to C2, and optionally self-deletes.</w:t>
      </w:r>
    </w:p>
    <w:p>
      <w:pPr>
        <w:pStyle w:val="ListParagraph"/>
        <w:numPr>
          <w:ilvl w:val="0"/>
          <w:numId w:val="2"/>
        </w:numPr>
      </w:pPr>
      <w:r>
        <w:rPr>
          <w:rFonts w:ascii="Arial" w:cs="Arial" w:eastAsia="Arial" w:hAnsi="Arial"/>
          <w:color w:val="1B2A4A"/>
          <w:sz w:val="22"/>
          <w:szCs w:val="22"/>
        </w:rPr>
        <w:t xml:space="preserve">Known C2 indicators: Uses HTTP/HTTPS for C2 communication and fingerprints victim IP via external lookup services (e.g., api.ip.sb/ip, api.ipify.org, ip-api.com). [Note: Specific C2 IPs and user-agent strings from OSINT report could not be independently verified.]</w:t>
      </w:r>
    </w:p>
    <w:p>
      <w:pPr>
        <w:pStyle w:val="Heading2"/>
      </w:pPr>
      <w:r>
        <w:t xml:space="preserve">6.2 HellCat Ransomware Group</w:t>
      </w:r>
    </w:p>
    <w:p>
      <w:pPr>
        <w:spacing w:after="120"/>
      </w:pPr>
      <w:r>
        <w:rPr>
          <w:rFonts w:ascii="Arial" w:cs="Arial" w:eastAsia="Arial" w:hAnsi="Arial"/>
          <w:b w:val="false"/>
          <w:bCs w:val="false"/>
          <w:i w:val="false"/>
          <w:iCs w:val="false"/>
          <w:color w:val="1B2A4A"/>
          <w:sz w:val="22"/>
          <w:szCs w:val="22"/>
        </w:rPr>
        <w:t xml:space="preserve">HellCat is a ransomware-as-a-service (RaaS) operation that emerged in mid-2024. The group has distinguished itself through a signature attack technique: exploiting Atlassian Jira credentials harvested from infostealer logs.</w:t>
      </w:r>
    </w:p>
    <w:p>
      <w:pPr>
        <w:pStyle w:val="ListParagraph"/>
        <w:numPr>
          <w:ilvl w:val="0"/>
          <w:numId w:val="2"/>
        </w:numPr>
      </w:pPr>
      <w:r>
        <w:rPr>
          <w:rFonts w:ascii="Arial" w:cs="Arial" w:eastAsia="Arial" w:hAnsi="Arial"/>
          <w:color w:val="1B2A4A"/>
          <w:sz w:val="22"/>
          <w:szCs w:val="22"/>
        </w:rPr>
        <w:t xml:space="preserve">Attack methodology: Acquires infostealer logs from dark web marketplaces, identifies valid Jira credentials, authenticates to victim Jira instances, pivots to internal systems, exfiltrates data, and deploys ransomware.</w:t>
      </w:r>
    </w:p>
    <w:p>
      <w:pPr>
        <w:pStyle w:val="ListParagraph"/>
        <w:numPr>
          <w:ilvl w:val="0"/>
          <w:numId w:val="2"/>
        </w:numPr>
      </w:pPr>
      <w:r>
        <w:rPr>
          <w:rFonts w:ascii="Arial" w:cs="Arial" w:eastAsia="Arial" w:hAnsi="Arial"/>
          <w:color w:val="1B2A4A"/>
          <w:sz w:val="22"/>
          <w:szCs w:val="22"/>
        </w:rPr>
        <w:t xml:space="preserve">Double extortion model: Exfiltrates sensitive data before encryption and threatens public release unless ransom is paid. Leak site uses countdown timers and psychological pressure.</w:t>
      </w:r>
    </w:p>
    <w:p>
      <w:pPr>
        <w:pStyle w:val="ListParagraph"/>
        <w:numPr>
          <w:ilvl w:val="0"/>
          <w:numId w:val="2"/>
        </w:numPr>
      </w:pPr>
      <w:r>
        <w:rPr>
          <w:rFonts w:ascii="Arial" w:cs="Arial" w:eastAsia="Arial" w:hAnsi="Arial"/>
          <w:color w:val="1B2A4A"/>
          <w:sz w:val="22"/>
          <w:szCs w:val="22"/>
        </w:rPr>
        <w:t xml:space="preserve">Confirmed victims include Jaguar Land Rover, Schneider Electric, Orange Group, Telefonica, and Racami (via Jira credential exploitation).</w:t>
      </w:r>
    </w:p>
    <w:p>
      <w:pPr>
        <w:pStyle w:val="ListParagraph"/>
        <w:numPr>
          <w:ilvl w:val="0"/>
          <w:numId w:val="2"/>
        </w:numPr>
      </w:pPr>
      <w:r>
        <w:rPr>
          <w:rFonts w:ascii="Arial" w:cs="Arial" w:eastAsia="Arial" w:hAnsi="Arial"/>
          <w:color w:val="1B2A4A"/>
          <w:sz w:val="22"/>
          <w:szCs w:val="22"/>
        </w:rPr>
        <w:t xml:space="preserve">Key operators identified by KELA Cyber as "Rey" (Saif Khader, Amman, Jordan) and "Pryx." Group originally operated under the name "ICA Group."</w:t>
      </w:r>
    </w:p>
    <w:p>
      <w:pPr>
        <w:pStyle w:val="ListParagraph"/>
        <w:numPr>
          <w:ilvl w:val="0"/>
          <w:numId w:val="2"/>
        </w:numPr>
      </w:pPr>
      <w:r>
        <w:rPr>
          <w:rFonts w:ascii="Arial" w:cs="Arial" w:eastAsia="Arial" w:hAnsi="Arial"/>
          <w:color w:val="1B2A4A"/>
          <w:sz w:val="22"/>
          <w:szCs w:val="22"/>
        </w:rPr>
        <w:t xml:space="preserve">Relevance to this incident: The Jira credentials at work.racami.com (credential pair #2 in TD-01) are the confirmed attack vector used by HellCat to breach Racami in April 2025 [3][4].</w:t>
      </w:r>
    </w:p>
    <w:p>
      <w:pPr>
        <w:pBdr>
          <w:bottom w:val="single" w:color="2E86AB" w:sz="2"/>
        </w:pBdr>
        <w:spacing w:before="200" w:after="200"/>
      </w:pPr>
      <w:r>
        <w:rPr>
          <w:sz w:val="2"/>
          <w:szCs w:val="2"/>
        </w:rPr>
        <w:t xml:space="preserve"/>
      </w:r>
    </w:p>
    <w:p>
      <w:pPr>
        <w:pStyle w:val="Heading1"/>
      </w:pPr>
      <w:r>
        <w:t xml:space="preserve">References</w:t>
      </w:r>
    </w:p>
    <w:p>
      <w:pPr>
        <w:pStyle w:val="ListParagraph"/>
        <w:numPr>
          <w:ilvl w:val="0"/>
          <w:numId w:val="3"/>
        </w:numPr>
        <w:spacing w:after="80"/>
      </w:pPr>
      <w:r>
        <w:rPr>
          <w:rFonts w:ascii="Arial" w:cs="Arial" w:eastAsia="Arial" w:hAnsi="Arial"/>
          <w:color w:val="1B2A4A"/>
          <w:sz w:val="20"/>
          <w:szCs w:val="20"/>
        </w:rPr>
        <w:t xml:space="preserve">Hudson Rock / Cavalier Platform. Stealer Log GH[984304A1DB022880654C9054CBD33F2D] — racami.com. Date Compromised: 2022-11-05. Stealer Family: RedLine. 13 credential pairs, browser artifacts, installed software inventory.</w:t>
      </w:r>
    </w:p>
    <w:p>
      <w:pPr>
        <w:pStyle w:val="ListParagraph"/>
        <w:numPr>
          <w:ilvl w:val="0"/>
          <w:numId w:val="3"/>
        </w:numPr>
        <w:spacing w:after="80"/>
      </w:pPr>
      <w:r>
        <w:rPr>
          <w:rFonts w:ascii="Arial" w:cs="Arial" w:eastAsia="Arial" w:hAnsi="Arial"/>
          <w:color w:val="1B2A4A"/>
          <w:sz w:val="20"/>
          <w:szCs w:val="20"/>
        </w:rPr>
        <w:t xml:space="preserve">MITRE ATT&amp;CK. Enterprise Techniques Matrix (v14). https://attack.mitre.org/ — All technique IDs referenced in this report.</w:t>
      </w:r>
    </w:p>
    <w:p>
      <w:pPr>
        <w:pStyle w:val="ListParagraph"/>
        <w:numPr>
          <w:ilvl w:val="0"/>
          <w:numId w:val="3"/>
        </w:numPr>
        <w:spacing w:after="80"/>
      </w:pPr>
      <w:r>
        <w:rPr>
          <w:rFonts w:ascii="Arial" w:cs="Arial" w:eastAsia="Arial" w:hAnsi="Arial"/>
          <w:color w:val="1B2A4A"/>
          <w:sz w:val="20"/>
          <w:szCs w:val="20"/>
        </w:rPr>
        <w:t xml:space="preserve">Gal, A. (2025, April 5). “HELLCAT Ransomware Group Strikes Again: Four New Victims Breached via Jira Credentials from Infostealer Logs.” Infostealers.com / Hudson Rock.</w:t>
      </w:r>
    </w:p>
    <w:p>
      <w:pPr>
        <w:pStyle w:val="ListParagraph"/>
        <w:numPr>
          <w:ilvl w:val="0"/>
          <w:numId w:val="3"/>
        </w:numPr>
        <w:spacing w:after="80"/>
      </w:pPr>
      <w:r>
        <w:rPr>
          <w:rFonts w:ascii="Arial" w:cs="Arial" w:eastAsia="Arial" w:hAnsi="Arial"/>
          <w:color w:val="1B2A4A"/>
          <w:sz w:val="20"/>
          <w:szCs w:val="20"/>
        </w:rPr>
        <w:t xml:space="preserve">SC Media. (2025, April 9). “Pilfered Jira credentials leveraged in HellCat ransomware attacks.” SC World.</w:t>
      </w:r>
    </w:p>
    <w:p>
      <w:pPr>
        <w:pStyle w:val="ListParagraph"/>
        <w:numPr>
          <w:ilvl w:val="0"/>
          <w:numId w:val="3"/>
        </w:numPr>
        <w:spacing w:after="80"/>
      </w:pPr>
      <w:r>
        <w:rPr>
          <w:rFonts w:ascii="Arial" w:cs="Arial" w:eastAsia="Arial" w:hAnsi="Arial"/>
          <w:color w:val="1B2A4A"/>
          <w:sz w:val="20"/>
          <w:szCs w:val="20"/>
        </w:rPr>
        <w:t xml:space="preserve">KELA Cyber. (2025, March 27). “Hellcat Hacking Group Unmasked: Investigating Rey and Pryx.” https://www.kelacyber.com/blog/hellcat-hacking-group-unmasked-rey-and-pryx/</w:t>
      </w:r>
    </w:p>
    <w:p>
      <w:pPr>
        <w:pStyle w:val="ListParagraph"/>
        <w:numPr>
          <w:ilvl w:val="0"/>
          <w:numId w:val="3"/>
        </w:numPr>
        <w:spacing w:after="80"/>
      </w:pPr>
      <w:r>
        <w:rPr>
          <w:rFonts w:ascii="Arial" w:cs="Arial" w:eastAsia="Arial" w:hAnsi="Arial"/>
          <w:color w:val="1B2A4A"/>
          <w:sz w:val="20"/>
          <w:szCs w:val="20"/>
        </w:rPr>
        <w:t xml:space="preserve">Sekoia.io. (2024). “Infostealer Ecosystem Analysis: Redline, Raccoon, Vidar, and the MaaS Supply Chain.” Sekoia TDR.</w:t>
      </w:r>
    </w:p>
    <w:p>
      <w:pPr>
        <w:pStyle w:val="ListParagraph"/>
        <w:numPr>
          <w:ilvl w:val="0"/>
          <w:numId w:val="3"/>
        </w:numPr>
        <w:spacing w:after="80"/>
      </w:pPr>
      <w:r>
        <w:rPr>
          <w:rFonts w:ascii="Arial" w:cs="Arial" w:eastAsia="Arial" w:hAnsi="Arial"/>
          <w:color w:val="1B2A4A"/>
          <w:sz w:val="20"/>
          <w:szCs w:val="20"/>
        </w:rPr>
        <w:t xml:space="preserve">BleepingComputer. (2025, March 14). “HellCat hackers go on a worldwide Jira hacking spree.” https://www.bleepingcomputer.com/news/security/hellcat-hackers-go-on-a-worldwide-jira-hacking-spree/</w:t>
      </w:r>
    </w:p>
    <w:p>
      <w:pPr>
        <w:pBdr>
          <w:bottom w:val="single" w:color="2E86AB" w:sz="2"/>
        </w:pBdr>
        <w:spacing w:before="200" w:after="200"/>
      </w:pPr>
      <w:r>
        <w:rPr>
          <w:sz w:val="2"/>
          <w:szCs w:val="2"/>
        </w:rPr>
        <w:t xml:space="preserve"/>
      </w:r>
    </w:p>
    <w:p>
      <w:pPr>
        <w:pStyle w:val="Heading1"/>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702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Document ID</w:t>
            </w:r>
          </w:p>
        </w:tc>
        <w:tc>
          <w:tcPr>
            <w:tcW w:type="dxa" w:w="70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TD-02</w:t>
            </w:r>
          </w:p>
        </w:tc>
      </w:tr>
      <w:tr>
        <w:tc>
          <w:tcPr>
            <w:tcW w:type="dxa" w:w="23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Title</w:t>
            </w:r>
          </w:p>
        </w:tc>
        <w:tc>
          <w:tcPr>
            <w:tcW w:type="dxa" w:w="70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MITRE ATT&amp;CK Threat Intelligence Report</w:t>
            </w:r>
          </w:p>
        </w:tc>
      </w:tr>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Version</w:t>
            </w:r>
          </w:p>
        </w:tc>
        <w:tc>
          <w:tcPr>
            <w:tcW w:type="dxa" w:w="70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2.0 (Revised)</w:t>
            </w:r>
          </w:p>
        </w:tc>
      </w:tr>
      <w:tr>
        <w:tc>
          <w:tcPr>
            <w:tcW w:type="dxa" w:w="23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Date</w:t>
            </w:r>
          </w:p>
        </w:tc>
        <w:tc>
          <w:tcPr>
            <w:tcW w:type="dxa" w:w="70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February 12, 2026</w:t>
            </w:r>
          </w:p>
        </w:tc>
      </w:tr>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Author</w:t>
            </w:r>
          </w:p>
        </w:tc>
        <w:tc>
          <w:tcPr>
            <w:tcW w:type="dxa" w:w="70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Team Delta</w:t>
            </w:r>
          </w:p>
        </w:tc>
      </w:tr>
      <w:tr>
        <w:tc>
          <w:tcPr>
            <w:tcW w:type="dxa" w:w="23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Classification</w:t>
            </w:r>
          </w:p>
        </w:tc>
        <w:tc>
          <w:tcPr>
            <w:tcW w:type="dxa" w:w="70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CONFIDENTIAL</w:t>
            </w:r>
          </w:p>
        </w:tc>
      </w:tr>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Framework</w:t>
            </w:r>
          </w:p>
        </w:tc>
        <w:tc>
          <w:tcPr>
            <w:tcW w:type="dxa" w:w="70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MITRE ATT&amp;CK Enterprise v14</w:t>
            </w:r>
          </w:p>
        </w:tc>
      </w:tr>
      <w:tr>
        <w:tc>
          <w:tcPr>
            <w:tcW w:type="dxa" w:w="23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Related Documents</w:t>
            </w:r>
          </w:p>
        </w:tc>
        <w:tc>
          <w:tcPr>
            <w:tcW w:type="dxa" w:w="70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TD-00 (Source Citations), TD-01 (Evidence Summary), TD-03 (Risk Assessment)</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8909C"/>
        <w:sz w:val="16"/>
        <w:szCs w:val="16"/>
      </w:rPr>
      <w:t xml:space="preserve">Page </w:t>
    </w:r>
    <w:r>
      <w:rPr>
        <w:rFonts w:ascii="Arial" w:cs="Arial" w:eastAsia="Arial" w:hAnsi="Arial"/>
        <w:color w:val="78909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1B2A4A"/>
        <w:sz w:val="16"/>
        <w:szCs w:val="16"/>
      </w:rPr>
      <w:t xml:space="preserve">TEAM DELTA</w:t>
    </w:r>
    <w:r>
      <w:rPr>
        <w:rFonts w:ascii="Arial" w:cs="Arial" w:eastAsia="Arial" w:hAnsi="Arial"/>
        <w:color w:val="78909C"/>
        <w:sz w:val="16"/>
        <w:szCs w:val="16"/>
      </w:rPr>
      <w:t xml:space="preserve">  |  TD-02 MITRE ATT&amp;CK Report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54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2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86AB"/>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2026-02-12T16:37:24.241Z</dcterms:created>
  <dcterms:modified xsi:type="dcterms:W3CDTF">2026-02-12T16:37:24.242Z</dcterms:modified>
</cp:coreProperties>
</file>

<file path=docProps/custom.xml><?xml version="1.0" encoding="utf-8"?>
<Properties xmlns="http://schemas.openxmlformats.org/officeDocument/2006/custom-properties" xmlns:vt="http://schemas.openxmlformats.org/officeDocument/2006/docPropsVTypes"/>
</file>