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80"/>
        <w:jc w:val="center"/>
      </w:pPr>
      <w:r>
        <w:rPr>
          <w:rFonts w:ascii="Arial" w:cs="Arial" w:eastAsia="Arial" w:hAnsi="Arial"/>
          <w:b/>
          <w:bCs/>
          <w:color w:val="1B2A4A"/>
          <w:sz w:val="56"/>
          <w:szCs w:val="56"/>
        </w:rPr>
        <w:t xml:space="preserve">TEAM DELTA</w:t>
      </w:r>
    </w:p>
    <w:p>
      <w:pPr>
        <w:spacing w:after="40"/>
        <w:jc w:val="center"/>
      </w:pPr>
      <w:r>
        <w:rPr>
          <w:rFonts w:ascii="Arial" w:cs="Arial" w:eastAsia="Arial" w:hAnsi="Arial"/>
          <w:color w:val="78909C"/>
          <w:sz w:val="24"/>
          <w:szCs w:val="24"/>
        </w:rPr>
        <w:t xml:space="preserve">2026-CAX-500 Cybersecurity Capstone</w:t>
      </w:r>
    </w:p>
    <w:p>
      <w:pPr>
        <w:pBdr>
          <w:bottom w:val="single" w:color="2E86AB" w:sz="2"/>
        </w:pBdr>
        <w:spacing w:before="200" w:after="200"/>
      </w:pPr>
      <w:r>
        <w:rPr>
          <w:sz w:val="2"/>
          <w:szCs w:val="2"/>
        </w:rPr>
        <w:t xml:space="preserve"/>
      </w:r>
    </w:p>
    <w:p>
      <w:pPr>
        <w:spacing w:after="200"/>
        <w:jc w:val="center"/>
      </w:pPr>
      <w:r>
        <w:rPr>
          <w:rFonts w:ascii="Arial" w:cs="Arial" w:eastAsia="Arial" w:hAnsi="Arial"/>
          <w:b/>
          <w:bCs/>
          <w:color w:val="2E86AB"/>
          <w:sz w:val="40"/>
          <w:szCs w:val="40"/>
        </w:rPr>
        <w:t xml:space="preserve">TD-03: Cybersecurity Incident Risk Assessment</w:t>
      </w:r>
    </w:p>
    <w:p>
      <w:pPr>
        <w:spacing w:after="60"/>
        <w:jc w:val="center"/>
      </w:pPr>
      <w:r>
        <w:rPr>
          <w:rFonts w:ascii="Arial" w:cs="Arial" w:eastAsia="Arial" w:hAnsi="Arial"/>
          <w:color w:val="1B2A4A"/>
          <w:sz w:val="28"/>
          <w:szCs w:val="28"/>
        </w:rPr>
        <w:t xml:space="preserve">Racami, LLC — Infostealer Compromise Risk Analysis</w:t>
      </w:r>
    </w:p>
    <w:p>
      <w:pPr>
        <w:spacing w:after="120"/>
        <w:jc w:val="center"/>
      </w:pPr>
      <w:r>
        <w:rPr>
          <w:rFonts w:ascii="Arial" w:cs="Arial" w:eastAsia="Arial" w:hAnsi="Arial"/>
          <w:b/>
          <w:bCs/>
          <w:color w:val="B71C1C"/>
          <w:sz w:val="28"/>
          <w:szCs w:val="28"/>
        </w:rPr>
        <w:t xml:space="preserve">Overall Risk Rating: CRITICAL</w:t>
      </w:r>
    </w:p>
    <w:p>
      <w:pPr>
        <w:spacing w:after="400"/>
        <w:jc w:val="center"/>
      </w:pPr>
      <w:r>
        <w:rPr>
          <w:rFonts w:ascii="Arial" w:cs="Arial" w:eastAsia="Arial" w:hAnsi="Arial"/>
          <w:color w:val="78909C"/>
          <w:sz w:val="20"/>
          <w:szCs w:val="20"/>
        </w:rPr>
        <w:t xml:space="preserve">Document Date: February 12, 2026  |  Classification: CONFIDENTIAL</w:t>
      </w:r>
    </w:p>
    <w:p>
      <w:r>
        <w:br w:type="page"/>
      </w:r>
    </w:p>
    <w:p>
      <w:pPr>
        <w:pStyle w:val="Heading1"/>
      </w:pPr>
      <w:r>
        <w:t xml:space="preserve">1. Executive Summary</w:t>
      </w:r>
    </w:p>
    <w:p>
      <w:pPr>
        <w:spacing w:after="120"/>
      </w:pPr>
      <w:r>
        <w:rPr>
          <w:rFonts w:ascii="Arial" w:cs="Arial" w:eastAsia="Arial" w:hAnsi="Arial"/>
          <w:b w:val="false"/>
          <w:bCs w:val="false"/>
          <w:i w:val="false"/>
          <w:iCs w:val="false"/>
          <w:color w:val="1B2A4A"/>
          <w:sz w:val="22"/>
          <w:szCs w:val="22"/>
        </w:rPr>
        <w:t xml:space="preserve">On November 5, 2022, a developer workstation at Racami, LLC was compromised by RedLine infostealer malware, resulting in the exfiltration of 13 corporate credential pairs with superadmin access to production systems, source code repositories, project management tools, staging environments, and quality assurance infrastructure [1][2]. The compromised user held a senior developer or DevOps role with broad administrative privileges across the entire development pipeline.</w:t>
      </w:r>
    </w:p>
    <w:p>
      <w:pPr>
        <w:spacing w:after="120"/>
      </w:pPr>
      <w:r>
        <w:rPr>
          <w:rFonts w:ascii="Arial" w:cs="Arial" w:eastAsia="Arial" w:hAnsi="Arial"/>
          <w:b w:val="false"/>
          <w:bCs w:val="false"/>
          <w:i w:val="false"/>
          <w:iCs w:val="false"/>
          <w:color w:val="1B2A4A"/>
          <w:sz w:val="22"/>
          <w:szCs w:val="22"/>
        </w:rPr>
        <w:t xml:space="preserve">This risk assessment evaluates the scope, severity, and business impact of the compromise based on forensic evidence documented in TD-01 (Evidence Summary) and threat intelligence mapping from TD-02 (MITRE ATT&amp;CK Report). Each finding is rated by severity and mapped to its potential business impact.</w:t>
      </w:r>
    </w:p>
    <w:p>
      <w:pPr>
        <w:spacing w:after="120"/>
      </w:pPr>
      <w:r>
        <w:rPr>
          <w:rFonts w:ascii="Arial" w:cs="Arial" w:eastAsia="Arial" w:hAnsi="Arial"/>
          <w:b w:val="false"/>
          <w:bCs w:val="false"/>
          <w:i w:val="false"/>
          <w:iCs w:val="false"/>
          <w:color w:val="1B2A4A"/>
          <w:sz w:val="22"/>
          <w:szCs w:val="22"/>
        </w:rPr>
        <w:t xml:space="preserve">Critically, this assessment incorporates a confirmed real-world outcome: </w:t>
      </w:r>
      <w:r>
        <w:rPr>
          <w:rFonts w:ascii="Arial" w:cs="Arial" w:eastAsia="Arial" w:hAnsi="Arial"/>
          <w:b/>
          <w:bCs/>
          <w:i w:val="false"/>
          <w:iCs w:val="false"/>
          <w:color w:val="1B2A4A"/>
          <w:sz w:val="22"/>
          <w:szCs w:val="22"/>
        </w:rPr>
        <w:t xml:space="preserve">on April 5, 2025, the HellCat ransomware group exploited Jira credentials from this infostealer compromise to breach Racami's internal systems, exfiltrate data, and issue extortion demands [3][4].</w:t>
      </w:r>
      <w:r>
        <w:rPr>
          <w:rFonts w:ascii="Arial" w:cs="Arial" w:eastAsia="Arial" w:hAnsi="Arial"/>
          <w:b w:val="false"/>
          <w:bCs w:val="false"/>
          <w:i w:val="false"/>
          <w:iCs w:val="false"/>
          <w:color w:val="1B2A4A"/>
          <w:sz w:val="22"/>
          <w:szCs w:val="22"/>
        </w:rPr>
        <w:t xml:space="preserve"> This event transforms several of the risk findings below from theoretical projections to confirmed, realized impacts.</w:t>
      </w:r>
    </w:p>
    <w:p>
      <w:pPr>
        <w:pBdr>
          <w:bottom w:val="single" w:color="2E86AB" w:sz="2"/>
        </w:pBdr>
        <w:spacing w:before="200" w:after="200"/>
      </w:pPr>
      <w:r>
        <w:rPr>
          <w:sz w:val="2"/>
          <w:szCs w:val="2"/>
        </w:rPr>
        <w:t xml:space="preserve"/>
      </w:r>
    </w:p>
    <w:p>
      <w:pPr>
        <w:pStyle w:val="Heading1"/>
      </w:pPr>
      <w:r>
        <w:t xml:space="preserve">2. Risk Scoring Methodology</w:t>
      </w:r>
    </w:p>
    <w:p>
      <w:pPr>
        <w:spacing w:after="120"/>
      </w:pPr>
      <w:r>
        <w:rPr>
          <w:rFonts w:ascii="Arial" w:cs="Arial" w:eastAsia="Arial" w:hAnsi="Arial"/>
          <w:b w:val="false"/>
          <w:bCs w:val="false"/>
          <w:i w:val="false"/>
          <w:iCs w:val="false"/>
          <w:color w:val="1B2A4A"/>
          <w:sz w:val="22"/>
          <w:szCs w:val="22"/>
        </w:rPr>
        <w:t xml:space="preserve">Findings are rated on a four-tier severity scale based on the combination of likelihood and business impact. A fifth designation, REALIZED, is applied where the risk has been confirmed through the April 2025 HellCat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7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80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Immediate, severe business impact. Exploitation is trivially achievable with available credentials. No compensating controls in place.</w:t>
            </w:r>
          </w:p>
        </w:tc>
      </w:tr>
      <w:tr>
        <w:tc>
          <w:tcPr>
            <w:tcW w:type="dxa" w:w="180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7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Significant business impact. Exploitation is likely or facilitated by the compromise. Limited compensating controls.</w:t>
            </w:r>
          </w:p>
        </w:tc>
      </w:tr>
      <w:tr>
        <w:tc>
          <w:tcPr>
            <w:tcW w:type="dxa" w:w="180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MEDIUM</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Moderate business impact. Exploitation requires additional steps or conditions beyond the initial compromise.</w:t>
            </w:r>
          </w:p>
        </w:tc>
      </w:tr>
      <w:tr>
        <w:tc>
          <w:tcPr>
            <w:tcW w:type="dxa" w:w="1800"/>
            <w:tcBorders>
              <w:top w:val="single" w:color="B0BEC5" w:sz="1"/>
              <w:left w:val="single" w:color="B0BEC5" w:sz="1"/>
              <w:bottom w:val="single" w:color="B0BEC5" w:sz="1"/>
              <w:right w:val="single" w:color="B0BEC5" w:sz="1"/>
            </w:tcBorders>
            <w:shd w:fill="4A14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REALIZED</w:t>
            </w:r>
          </w:p>
        </w:tc>
        <w:tc>
          <w:tcPr>
            <w:tcW w:type="dxa" w:w="7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Risk has been confirmed through an actual security incident. No longer a projection — impact has occurred.</w:t>
            </w:r>
          </w:p>
        </w:tc>
      </w:tr>
    </w:tbl>
    <w:p>
      <w:r>
        <w:br w:type="page"/>
      </w:r>
    </w:p>
    <w:p>
      <w:pPr>
        <w:pStyle w:val="Heading1"/>
      </w:pPr>
      <w:r>
        <w:t xml:space="preserve">3. Risk Findings</w:t>
      </w:r>
    </w:p>
    <w:p>
      <w:pPr>
        <w:spacing w:after="120"/>
      </w:pPr>
      <w:r>
        <w:rPr>
          <w:rFonts w:ascii="Arial" w:cs="Arial" w:eastAsia="Arial" w:hAnsi="Arial"/>
          <w:b w:val="false"/>
          <w:bCs w:val="false"/>
          <w:i w:val="false"/>
          <w:iCs w:val="false"/>
          <w:color w:val="1B2A4A"/>
          <w:sz w:val="22"/>
          <w:szCs w:val="22"/>
        </w:rPr>
        <w:t xml:space="preserve">The following 15 findings are derived from forensic evidence analysis (TD-01) and MITRE ATT&amp;CK technique mapping (TD-02). Findings are ordered by severity with CRITICAL/REALIZED items first.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F-01: Complete Development Pipeline Compromise</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13 credential pairs with superadmin access to production, staging, QA, UAT, Git, and Jira systems. Systemic password reuse across all environments.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Full source code theft, backdoor injection into production releases, customer data exposure through production database access. Supply chain compromise affecting downstream clients.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REALIZED — HellCat ransomware group exploited Jira credentials from this compromise to breach Racami in April 2025.</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F-02: Production System Access (cisprod01)</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Superadmin credentials to cisprod01.racami.com — the live production environment, not a development or test system.</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Direct access to production customer data, ability to modify live application behavior, deploy malicious updates, or exfiltrate regulated data (PII/PHI).</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Not independently confirmed but production access was available from date of compromise.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F-03: Source Code Repository Compromise</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Git access (git.racami.com) with corporate email credentials enables full repository access including commit, push, and branch management.</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Intellectual property theft, malicious code injection into build pipeline, supply chain attacks against Racami customers, long-term persistent backdoor insertion.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Source code exposure assumed from date of compromise.</w:t>
            </w:r>
          </w:p>
        </w:tc>
      </w:tr>
    </w:tbl>
    <w:p>
      <w:pPr>
        <w:spacing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F-04: Jira Project Management Compromise</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Atlassian Jira instance (work.racami.com) credentials harvested — the specific system exploited by HellCat in April 2025.</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Internal project data, sprint plans, customer communications, financial records, employee information. Pivot point to broader infrastructure.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REALIZED — confirmed attack vector for April 2025 HellCat breach per Hudson Rock and SC Media reporting.</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F-05: No Multi-Factor Authentication</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 MFA software detected on the compromised workstation. No evidence of MFA on any compromised Racami system.</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Stolen credentials provide immediate, unimpeded access to all systems. No secondary verification barrier exists. Password compromise equals full system access.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by the April 2025 breach — credentials remained usable without MFA challenge.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F-06: Systemic Password Reuse</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Eight of thirteen credential pairs use the identical superadmin account, indicating the same password across production, staging, QA, and UAT environments.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Compromise of one credential grants access to all environments. No credential segmentation between development and production. Violates fundamental security architecture principles.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via stealer log URL mapping showing identical usernames across systems.</w:t>
            </w:r>
          </w:p>
        </w:tc>
      </w:tr>
    </w:tbl>
    <w:p>
      <w:pPr>
        <w:spacing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F-07: No Credential Rotation</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 evidence that any compromised credentials were rotated between November 2022 and April 2025 (over two years).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Stolen credentials retain indefinite value. Attackers and secondary purchasers can exploit credentials at any time. Dark web marketplace listings remain actionable.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REALIZED — April 2025 exploitation confirms credentials were valid for 29+ months.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F-08: Database and BI Tool Exposure</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SQL Server Management Studio, pgJDBC driver, SSIS, and TIBCO Jaspersoft Studio present — indicating direct access to production databases and business intelligence reporting.</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Customer PII/PHI exposure, financial record theft, operational data exfiltration. Regulatory violations (GDPR, CCPA, HIPAA) if customer data accessed.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Database credential exposure assumed; extent of data access unknown.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F-09: Remote Access Tool Present</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AnyDesk 7.0.1 installed on compromised workstation. If AnyDesk credentials or session data were captured, attackers gain persistent remote access.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Independent remote access channel bypassing VPN and network controls. Persistence mechanism that survives credential rotation. Difficult to detect if using legitimate tool.</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AnyDesk session data exposure assumed from stealer log scope.</w:t>
            </w:r>
          </w:p>
        </w:tc>
      </w:tr>
    </w:tbl>
    <w:p>
      <w:pPr>
        <w:spacing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F-10: Telegram Application Data Compromised</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Telegram desktop data (sessions, contacts, configs, key data) exfiltrated as part of stealer log.</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Internal communications exposed. 2FA codes delivered via Telegram compromised. DevOps bot tokens potentially exposed. Social engineering attacks enabled.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via browser artifacts showing Telegram directory with profile data.</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F-11: Session Cookie Theft</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Browser cookies from all three browsers (Chrome, Edge, Firefox) harvested, enabling session hijacking without credentials.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Attackers can impersonate active user sessions without triggering login events. Bypasses password-based controls. Effective until sessions expire or are forcibly invalidated.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via stealer log cookie directories.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F-12: Multi-Tenant Customer Environments</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Two client-branded QA environments (Chen Co, Pay+) indicate Racami hosts customer-specific infrastructure, broadening the blast radius beyond Racami.</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Downstream customer data exposure. Third-party breach notification obligations. Contractual liability and regulatory penalties for customer data compromise.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via URL mapping showing chen%20co and pay+ branded login paths.</w:t>
            </w:r>
          </w:p>
        </w:tc>
      </w:tr>
    </w:tbl>
    <w:p>
      <w:pPr>
        <w:spacing w:after="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F-13: Weak Endpoint Protection</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Windows Defender as sole endpoint protection. No EDR, XDR, application whitelisting, or execution control policy. RedLine executed successfully without detection.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Future infostealer or malware attacks will likely succeed using the same execution path. No behavioral detection capability for fileless attacks or living-off-the-land techniques.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via installed software inventory showing no EDR product.</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F-14: No Application Execution Controls</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Malware executed from %TEMP%\1000001001\ directory. No AppLocker, WDAC, or execution restriction policy blocked the launch.</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MEDIUM</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Any user can execute arbitrary binaries from temp directories. Repeat infostealer infections, dropper execution, and post-exploitation tool deployment are unimpeded.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via malware path in stealer log metadata.</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F-15: mRemoteNG Connection Manager</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Multi-protocol remote connection manager stores connection profiles (SSH, RDP, VNC, Telnet) in local XML files with reversible encryption.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Severity</w:t>
            </w:r>
          </w:p>
        </w:tc>
        <w:tc>
          <w:tcPr>
            <w:tcW w:type="dxa" w:w="736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MEDIUM</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Business Impact</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Exposure of remote access credentials beyond what browser stores contained. Additional servers, network devices, or infrastructure accessible via stored connection profiles.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Confirmed via installed software inventory.</w:t>
            </w:r>
          </w:p>
        </w:tc>
      </w:tr>
    </w:tbl>
    <w:p>
      <w:pPr>
        <w:spacing w:after="180"/>
      </w:pPr>
    </w:p>
    <w:p>
      <w:r>
        <w:br w:type="page"/>
      </w:r>
    </w:p>
    <w:p>
      <w:pPr>
        <w:pStyle w:val="Heading1"/>
      </w:pPr>
      <w:r>
        <w:t xml:space="preserve">4. Risk Summary Matrix</w:t>
      </w:r>
    </w:p>
    <w:p>
      <w:pPr>
        <w:spacing w:after="120"/>
      </w:pPr>
      <w:r>
        <w:rPr>
          <w:rFonts w:ascii="Arial" w:cs="Arial" w:eastAsia="Arial" w:hAnsi="Arial"/>
          <w:b w:val="false"/>
          <w:bCs w:val="false"/>
          <w:i w:val="false"/>
          <w:iCs w:val="false"/>
          <w:color w:val="1B2A4A"/>
          <w:sz w:val="22"/>
          <w:szCs w:val="22"/>
        </w:rPr>
        <w:t xml:space="preserve">The following matrix provides an at-a-glance summary of all findings by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6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 IDs</w:t>
            </w:r>
          </w:p>
        </w:tc>
      </w:tr>
      <w:tr>
        <w:tc>
          <w:tcPr>
            <w:tcW w:type="dxa" w:w="1800"/>
            <w:tcBorders>
              <w:top w:val="single" w:color="B0BEC5" w:sz="1"/>
              <w:left w:val="single" w:color="B0BEC5" w:sz="1"/>
              <w:bottom w:val="single" w:color="B0BEC5" w:sz="1"/>
              <w:right w:val="single" w:color="B0BEC5"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7</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F-01, F-02, F-03, F-04, F-05, F-06, F-07</w:t>
            </w:r>
          </w:p>
        </w:tc>
      </w:tr>
      <w:tr>
        <w:tc>
          <w:tcPr>
            <w:tcW w:type="dxa" w:w="1800"/>
            <w:tcBorders>
              <w:top w:val="single" w:color="B0BEC5" w:sz="1"/>
              <w:left w:val="single" w:color="B0BEC5" w:sz="1"/>
              <w:bottom w:val="single" w:color="B0BEC5" w:sz="1"/>
              <w:right w:val="single" w:color="B0BEC5"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6</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F-08, F-09, F-10, F-11, F-12, F-13</w:t>
            </w:r>
          </w:p>
        </w:tc>
      </w:tr>
      <w:tr>
        <w:tc>
          <w:tcPr>
            <w:tcW w:type="dxa" w:w="1800"/>
            <w:tcBorders>
              <w:top w:val="single" w:color="B0BEC5" w:sz="1"/>
              <w:left w:val="single" w:color="B0BEC5" w:sz="1"/>
              <w:bottom w:val="single" w:color="B0BEC5" w:sz="1"/>
              <w:right w:val="single" w:color="B0BEC5" w:sz="1"/>
            </w:tcBorders>
            <w:shd w:fill="F9A825"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MEDIUM</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2</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F-14, F-15</w:t>
            </w:r>
          </w:p>
        </w:tc>
      </w:tr>
      <w:tr>
        <w:tc>
          <w:tcPr>
            <w:tcW w:type="dxa" w:w="1800"/>
            <w:tcBorders>
              <w:top w:val="single" w:color="B0BEC5" w:sz="1"/>
              <w:left w:val="single" w:color="B0BEC5" w:sz="1"/>
              <w:bottom w:val="single" w:color="B0BEC5" w:sz="1"/>
              <w:right w:val="single" w:color="B0BEC5" w:sz="1"/>
            </w:tcBorders>
            <w:shd w:fill="4A14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REALIZED</w:t>
            </w:r>
          </w:p>
        </w:tc>
        <w:tc>
          <w:tcPr>
            <w:tcW w:type="dxa" w:w="1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3</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F-01 (pipeline compromise), F-04 (Jira breach), F-07 (no rotation)</w:t>
            </w:r>
          </w:p>
        </w:tc>
      </w:tr>
    </w:tbl>
    <w:p>
      <w:pPr>
        <w:spacing w:after="200"/>
      </w:pPr>
    </w:p>
    <w:p>
      <w:pPr>
        <w:pStyle w:val="Heading1"/>
      </w:pPr>
      <w:r>
        <w:t xml:space="preserve">5. Business Impact Analysis</w:t>
      </w:r>
    </w:p>
    <w:p>
      <w:pPr>
        <w:pStyle w:val="Heading2"/>
      </w:pPr>
      <w:r>
        <w:t xml:space="preserve">5.1 Confirmed Impacts (Realized)</w:t>
      </w:r>
    </w:p>
    <w:p>
      <w:pPr>
        <w:pStyle w:val="ListParagraph"/>
        <w:numPr>
          <w:ilvl w:val="0"/>
          <w:numId w:val="2"/>
        </w:numPr>
      </w:pPr>
      <w:r>
        <w:rPr>
          <w:rFonts w:ascii="Arial" w:cs="Arial" w:eastAsia="Arial" w:hAnsi="Arial"/>
          <w:color w:val="1B2A4A"/>
          <w:sz w:val="22"/>
          <w:szCs w:val="22"/>
        </w:rPr>
        <w:t xml:space="preserve">Ransomware extortion: HellCat group breached Racami via Jira credentials on April 5, 2025, exfiltrated internal files and financial records, and issued extortion demands with a public leak countdown timer.</w:t>
      </w:r>
    </w:p>
    <w:p>
      <w:pPr>
        <w:pStyle w:val="ListParagraph"/>
        <w:numPr>
          <w:ilvl w:val="0"/>
          <w:numId w:val="2"/>
        </w:numPr>
      </w:pPr>
      <w:r>
        <w:rPr>
          <w:rFonts w:ascii="Arial" w:cs="Arial" w:eastAsia="Arial" w:hAnsi="Arial"/>
          <w:color w:val="1B2A4A"/>
          <w:sz w:val="22"/>
          <w:szCs w:val="22"/>
        </w:rPr>
        <w:t xml:space="preserve">Credential compromise: 13 administrative credential pairs confirmed exfiltrated and distributed across dark web marketplaces (detected 14 times by November 12, 2022).</w:t>
      </w:r>
    </w:p>
    <w:p>
      <w:pPr>
        <w:pStyle w:val="ListParagraph"/>
        <w:numPr>
          <w:ilvl w:val="0"/>
          <w:numId w:val="2"/>
        </w:numPr>
      </w:pPr>
      <w:r>
        <w:rPr>
          <w:rFonts w:ascii="Arial" w:cs="Arial" w:eastAsia="Arial" w:hAnsi="Arial"/>
          <w:color w:val="1B2A4A"/>
          <w:sz w:val="22"/>
          <w:szCs w:val="22"/>
        </w:rPr>
        <w:t xml:space="preserve">Intellectual property exposure: Source code repository access with superadmin privileges provided full visibility into Racami's proprietary Alchem-e platform and associated modules.</w:t>
      </w:r>
    </w:p>
    <w:p>
      <w:pPr>
        <w:pStyle w:val="Heading2"/>
      </w:pPr>
      <w:r>
        <w:t xml:space="preserve">5.2 Probable Impacts (High Confidence)</w:t>
      </w:r>
    </w:p>
    <w:p>
      <w:pPr>
        <w:pStyle w:val="ListParagraph"/>
        <w:numPr>
          <w:ilvl w:val="0"/>
          <w:numId w:val="2"/>
        </w:numPr>
      </w:pPr>
      <w:r>
        <w:rPr>
          <w:rFonts w:ascii="Arial" w:cs="Arial" w:eastAsia="Arial" w:hAnsi="Arial"/>
          <w:color w:val="1B2A4A"/>
          <w:sz w:val="22"/>
          <w:szCs w:val="22"/>
        </w:rPr>
        <w:t xml:space="preserve">Customer data exposure: Production database access (cisprod01) combined with SSMS, pgJDBC, and Jaspersoft Studio indicates direct access to customer PII/PHI. Racami serves financial services, healthcare, and insurance sectors — all highly regulated industries.</w:t>
      </w:r>
    </w:p>
    <w:p>
      <w:pPr>
        <w:pStyle w:val="ListParagraph"/>
        <w:numPr>
          <w:ilvl w:val="0"/>
          <w:numId w:val="2"/>
        </w:numPr>
      </w:pPr>
      <w:r>
        <w:rPr>
          <w:rFonts w:ascii="Arial" w:cs="Arial" w:eastAsia="Arial" w:hAnsi="Arial"/>
          <w:color w:val="1B2A4A"/>
          <w:sz w:val="22"/>
          <w:szCs w:val="22"/>
        </w:rPr>
        <w:t xml:space="preserve">Supply chain risk: Git repository access enables backdoor injection into production releases affecting downstream customers using Racami's Alchem-e platform.</w:t>
      </w:r>
    </w:p>
    <w:p>
      <w:pPr>
        <w:pStyle w:val="ListParagraph"/>
        <w:numPr>
          <w:ilvl w:val="0"/>
          <w:numId w:val="2"/>
        </w:numPr>
      </w:pPr>
      <w:r>
        <w:rPr>
          <w:rFonts w:ascii="Arial" w:cs="Arial" w:eastAsia="Arial" w:hAnsi="Arial"/>
          <w:color w:val="1B2A4A"/>
          <w:sz w:val="22"/>
          <w:szCs w:val="22"/>
        </w:rPr>
        <w:t xml:space="preserve">Regulatory liability: If customer data was accessed (probable given production credentials), GDPR, CCPA, and HIPAA breach notification obligations may apply.</w:t>
      </w:r>
    </w:p>
    <w:p>
      <w:pPr>
        <w:pStyle w:val="Heading2"/>
      </w:pPr>
      <w:r>
        <w:t xml:space="preserve">5.3 Potential Impacts (Moderate Confidence)</w:t>
      </w:r>
    </w:p>
    <w:p>
      <w:pPr>
        <w:pStyle w:val="ListParagraph"/>
        <w:numPr>
          <w:ilvl w:val="0"/>
          <w:numId w:val="2"/>
        </w:numPr>
      </w:pPr>
      <w:r>
        <w:rPr>
          <w:rFonts w:ascii="Arial" w:cs="Arial" w:eastAsia="Arial" w:hAnsi="Arial"/>
          <w:color w:val="1B2A4A"/>
          <w:sz w:val="22"/>
          <w:szCs w:val="22"/>
        </w:rPr>
        <w:t xml:space="preserve">Cloud infrastructure compromise: Azure Storage Emulator presence suggests cloud integration. Azure credentials or service principals may have been accessible from the compromised workstation.</w:t>
      </w:r>
    </w:p>
    <w:p>
      <w:pPr>
        <w:pStyle w:val="ListParagraph"/>
        <w:numPr>
          <w:ilvl w:val="0"/>
          <w:numId w:val="2"/>
        </w:numPr>
      </w:pPr>
      <w:r>
        <w:rPr>
          <w:rFonts w:ascii="Arial" w:cs="Arial" w:eastAsia="Arial" w:hAnsi="Arial"/>
          <w:color w:val="1B2A4A"/>
          <w:sz w:val="22"/>
          <w:szCs w:val="22"/>
        </w:rPr>
        <w:t xml:space="preserve">Lateral movement: mRemoteNG connection profiles may contain credentials for additional infrastructure not visible in the browser credential stores.</w:t>
      </w:r>
    </w:p>
    <w:p>
      <w:pPr>
        <w:pStyle w:val="ListParagraph"/>
        <w:numPr>
          <w:ilvl w:val="0"/>
          <w:numId w:val="2"/>
        </w:numPr>
      </w:pPr>
      <w:r>
        <w:rPr>
          <w:rFonts w:ascii="Arial" w:cs="Arial" w:eastAsia="Arial" w:hAnsi="Arial"/>
          <w:color w:val="1B2A4A"/>
          <w:sz w:val="22"/>
          <w:szCs w:val="22"/>
        </w:rPr>
        <w:t xml:space="preserve">Business disruption: Ransomware deployment against production systems could halt Racami's SaaS operations affecting all customers.</w:t>
      </w:r>
    </w:p>
    <w:p>
      <w:r>
        <w:br w:type="page"/>
      </w:r>
    </w:p>
    <w:p>
      <w:pPr>
        <w:pStyle w:val="Heading1"/>
      </w:pPr>
      <w:r>
        <w:t xml:space="preserve">6. Prioritized Remediation Summary</w:t>
      </w:r>
    </w:p>
    <w:p>
      <w:pPr>
        <w:spacing w:after="120"/>
      </w:pPr>
      <w:r>
        <w:rPr>
          <w:rFonts w:ascii="Arial" w:cs="Arial" w:eastAsia="Arial" w:hAnsi="Arial"/>
          <w:b w:val="false"/>
          <w:bCs w:val="false"/>
          <w:i w:val="false"/>
          <w:iCs w:val="false"/>
          <w:color w:val="1B2A4A"/>
          <w:sz w:val="22"/>
          <w:szCs w:val="22"/>
        </w:rPr>
        <w:t xml:space="preserve">Detailed remediation procedures are documented in TD-04 (Incident Response Plan) and the Containment and Mitigation Artifacts. The following summarizes the priority actions tied to the risk findings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Addresses Findings</w:t>
            </w:r>
          </w:p>
        </w:tc>
        <w:tc>
          <w:tcPr>
            <w:tcW w:type="dxa" w:w="2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P1</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Force rotation of all 13 compromised credential pairs and dependent service accounts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F-01, F-05, F-06, F-07</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Immediate (24 hours)</w:t>
            </w:r>
          </w:p>
        </w:tc>
      </w:tr>
      <w:tr>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P1</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Invalidate all active sessions, OAuth tokens, and SSO assertions across all affected systems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F-04, F-07, F-11</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Immediate (24 hours)</w:t>
            </w:r>
          </w:p>
        </w:tc>
      </w:tr>
      <w:tr>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P1</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Restrict network access to Git, staging, and QA to VPN-only</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F-01, F-03, F-13</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Immediate (24 hours)</w:t>
            </w:r>
          </w:p>
        </w:tc>
      </w:tr>
      <w:tr>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P1</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Reimage compromised workstation from trusted baseline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F-09, F-13, F-14</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Immediate (48 hours)</w:t>
            </w:r>
          </w:p>
        </w:tc>
      </w:tr>
      <w:tr>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P2</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Deploy MFA on all systems (FIDO2/YubiKey for admin accounts)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F-05, F-07</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5 business days</w:t>
            </w:r>
          </w:p>
        </w:tc>
      </w:tr>
      <w:tr>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P2</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Remove or restrict AnyDesk; audit remote access tool usage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F-09</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5 business days</w:t>
            </w:r>
          </w:p>
        </w:tc>
      </w:tr>
      <w:tr>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P2</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Deploy EDR to all developer workstations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F-13, F-14</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7 business days</w:t>
            </w:r>
          </w:p>
        </w:tc>
      </w:tr>
      <w:tr>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P2</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Block execution from %TEMP% directories via AppLocker/WDAC</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F-14</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7 business days</w:t>
            </w:r>
          </w:p>
        </w:tc>
      </w:tr>
      <w:tr>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P3</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Implement unique admin accounts; decommission shared superadmin</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F-06, F-12</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2 weeks</w:t>
            </w:r>
          </w:p>
        </w:tc>
      </w:tr>
      <w:tr>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P3</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Complete Git commit audit from 2022-11-05 forward</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F-03</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2 weeks</w:t>
            </w:r>
          </w:p>
        </w:tc>
      </w:tr>
      <w:tr>
        <w:tc>
          <w:tcPr>
            <w:tcW w:type="dxa" w:w="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P3</w:t>
            </w:r>
          </w:p>
        </w:tc>
        <w:tc>
          <w:tcPr>
            <w:tcW w:type="dxa" w:w="3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Network segmentation between Dev/Staging/Prod environments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F-01, F-12</w:t>
            </w:r>
          </w:p>
        </w:tc>
        <w:tc>
          <w:tcPr>
            <w:tcW w:type="dxa" w:w="2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30 days</w:t>
            </w:r>
          </w:p>
        </w:tc>
      </w:tr>
      <w:tr>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P3</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Deploy enterprise password manager; disable browser password storage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F-06</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Within 30 days</w:t>
            </w:r>
          </w:p>
        </w:tc>
      </w:tr>
    </w:tbl>
    <w:p>
      <w:pPr>
        <w:pBdr>
          <w:bottom w:val="single" w:color="2E86AB" w:sz="2"/>
        </w:pBdr>
        <w:spacing w:before="200" w:after="200"/>
      </w:pPr>
      <w:r>
        <w:rPr>
          <w:sz w:val="2"/>
          <w:szCs w:val="2"/>
        </w:rPr>
        <w:t xml:space="preserve"/>
      </w:r>
    </w:p>
    <w:p>
      <w:pPr>
        <w:pStyle w:val="Heading1"/>
      </w:pPr>
      <w:r>
        <w:t xml:space="preserve">References</w:t>
      </w:r>
    </w:p>
    <w:p>
      <w:pPr>
        <w:pStyle w:val="ListParagraph"/>
        <w:numPr>
          <w:ilvl w:val="0"/>
          <w:numId w:val="3"/>
        </w:numPr>
        <w:spacing w:after="80"/>
      </w:pPr>
      <w:r>
        <w:rPr>
          <w:rFonts w:ascii="Arial" w:cs="Arial" w:eastAsia="Arial" w:hAnsi="Arial"/>
          <w:color w:val="1B2A4A"/>
          <w:sz w:val="20"/>
          <w:szCs w:val="20"/>
        </w:rPr>
        <w:t xml:space="preserve">Hudson Rock / Cavalier Platform. Stealer Log GH[984304A1DB022880654C9054CBD33F2D] — racami.com. Date Compromised: 2022-11-05. Stealer Family: RedLine. 13 credential pairs across 10 systems.</w:t>
      </w:r>
    </w:p>
    <w:p>
      <w:pPr>
        <w:pStyle w:val="ListParagraph"/>
        <w:numPr>
          <w:ilvl w:val="0"/>
          <w:numId w:val="3"/>
        </w:numPr>
        <w:spacing w:after="80"/>
      </w:pPr>
      <w:r>
        <w:rPr>
          <w:rFonts w:ascii="Arial" w:cs="Arial" w:eastAsia="Arial" w:hAnsi="Arial"/>
          <w:color w:val="1B2A4A"/>
          <w:sz w:val="20"/>
          <w:szCs w:val="20"/>
        </w:rPr>
        <w:t xml:space="preserve">Team Delta Evidence Analysis. URL_Mapping_csv_-_Sheet1.csv. 13 credential pairs across 10 Racami systems. Primary evidence artifact from Hudson Rock export.</w:t>
      </w:r>
    </w:p>
    <w:p>
      <w:pPr>
        <w:pStyle w:val="ListParagraph"/>
        <w:numPr>
          <w:ilvl w:val="0"/>
          <w:numId w:val="3"/>
        </w:numPr>
        <w:spacing w:after="80"/>
      </w:pPr>
      <w:r>
        <w:rPr>
          <w:rFonts w:ascii="Arial" w:cs="Arial" w:eastAsia="Arial" w:hAnsi="Arial"/>
          <w:color w:val="1B2A4A"/>
          <w:sz w:val="20"/>
          <w:szCs w:val="20"/>
        </w:rPr>
        <w:t xml:space="preserve">Gal, A. (2025, April 5). “HELLCAT Ransomware Group Strikes Again.” Infostealers.com / Hudson Rock. https://www.infostealers.com/article/hellcat-ransomware-group-strikes-again/</w:t>
      </w:r>
    </w:p>
    <w:p>
      <w:pPr>
        <w:pStyle w:val="ListParagraph"/>
        <w:numPr>
          <w:ilvl w:val="0"/>
          <w:numId w:val="3"/>
        </w:numPr>
        <w:spacing w:after="80"/>
      </w:pPr>
      <w:r>
        <w:rPr>
          <w:rFonts w:ascii="Arial" w:cs="Arial" w:eastAsia="Arial" w:hAnsi="Arial"/>
          <w:color w:val="1B2A4A"/>
          <w:sz w:val="20"/>
          <w:szCs w:val="20"/>
        </w:rPr>
        <w:t xml:space="preserve">SC Media. (2025, April 9). “Pilfered Jira credentials leveraged in HellCat ransomware attacks.” SC World.</w:t>
      </w:r>
    </w:p>
    <w:p>
      <w:pPr>
        <w:pStyle w:val="ListParagraph"/>
        <w:numPr>
          <w:ilvl w:val="0"/>
          <w:numId w:val="3"/>
        </w:numPr>
        <w:spacing w:after="80"/>
      </w:pPr>
      <w:r>
        <w:rPr>
          <w:rFonts w:ascii="Arial" w:cs="Arial" w:eastAsia="Arial" w:hAnsi="Arial"/>
          <w:color w:val="1B2A4A"/>
          <w:sz w:val="20"/>
          <w:szCs w:val="20"/>
        </w:rPr>
        <w:t xml:space="preserve">OSINT Analysis Report (Gemini). Racami, LLC company profile. Team Delta OSINT deliverable.</w:t>
      </w:r>
    </w:p>
    <w:p>
      <w:pPr>
        <w:pStyle w:val="ListParagraph"/>
        <w:numPr>
          <w:ilvl w:val="0"/>
          <w:numId w:val="3"/>
        </w:numPr>
        <w:spacing w:after="80"/>
      </w:pPr>
      <w:r>
        <w:rPr>
          <w:rFonts w:ascii="Arial" w:cs="Arial" w:eastAsia="Arial" w:hAnsi="Arial"/>
          <w:color w:val="1B2A4A"/>
          <w:sz w:val="20"/>
          <w:szCs w:val="20"/>
        </w:rPr>
        <w:t xml:space="preserve">MITRE ATT&amp;CK. Enterprise Techniques Matrix (v14). https://attack.mitre.org/</w:t>
      </w:r>
    </w:p>
    <w:p>
      <w:pPr>
        <w:pBdr>
          <w:bottom w:val="single" w:color="2E86AB" w:sz="2"/>
        </w:pBdr>
        <w:spacing w:before="200" w:after="200"/>
      </w:pPr>
      <w:r>
        <w:rPr>
          <w:sz w:val="2"/>
          <w:szCs w:val="2"/>
        </w:rP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0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Document ID</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TD-03</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Title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Cybersecurity Incident Risk Assessment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Version</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2.0 (Revised)</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Date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February 12, 2026</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Author</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Team Delta</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Classification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CONFIDENTIAL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Related Documents</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TD-00 (Source Citations), TD-01 (Evidence Summary), TD-02 (MITRE ATT&amp;CK Report), TD-04 (IR Plan)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6"/>
        <w:szCs w:val="16"/>
      </w:rPr>
      <w:t xml:space="preserve">Page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2A4A"/>
        <w:sz w:val="16"/>
        <w:szCs w:val="16"/>
      </w:rPr>
      <w:t xml:space="preserve">TEAM DELTA</w:t>
    </w:r>
    <w:r>
      <w:rPr>
        <w:rFonts w:ascii="Arial" w:cs="Arial" w:eastAsia="Arial" w:hAnsi="Arial"/>
        <w:color w:val="78909C"/>
        <w:sz w:val="16"/>
        <w:szCs w:val="16"/>
      </w:rPr>
      <w:t xml:space="preserve">  |  TD-03 Risk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2026-02-12T16:38:36.729Z</dcterms:created>
  <dcterms:modified xsi:type="dcterms:W3CDTF">2026-02-12T16:38:36.730Z</dcterms:modified>
</cp:coreProperties>
</file>

<file path=docProps/custom.xml><?xml version="1.0" encoding="utf-8"?>
<Properties xmlns="http://schemas.openxmlformats.org/officeDocument/2006/custom-properties" xmlns:vt="http://schemas.openxmlformats.org/officeDocument/2006/docPropsVTypes"/>
</file>