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80"/>
        <w:jc w:val="center"/>
      </w:pPr>
      <w:r>
        <w:rPr>
          <w:rFonts w:ascii="Arial" w:cs="Arial" w:eastAsia="Arial" w:hAnsi="Arial"/>
          <w:b/>
          <w:bCs/>
          <w:color w:val="1B2A4A"/>
          <w:sz w:val="56"/>
          <w:szCs w:val="56"/>
        </w:rPr>
        <w:t xml:space="preserve">TEAM DELTA</w:t>
      </w:r>
    </w:p>
    <w:p>
      <w:pPr>
        <w:spacing w:after="40"/>
        <w:jc w:val="center"/>
      </w:pPr>
      <w:r>
        <w:rPr>
          <w:rFonts w:ascii="Arial" w:cs="Arial" w:eastAsia="Arial" w:hAnsi="Arial"/>
          <w:color w:val="78909C"/>
          <w:sz w:val="24"/>
          <w:szCs w:val="24"/>
        </w:rPr>
        <w:t xml:space="preserve">2026-CAX-500 Cybersecurity Capstone</w:t>
      </w:r>
    </w:p>
    <w:p>
      <w:pPr>
        <w:pBdr>
          <w:bottom w:val="single" w:color="2E86AB" w:sz="2"/>
        </w:pBdr>
        <w:spacing w:before="200" w:after="200"/>
      </w:pPr>
      <w:r>
        <w:rPr>
          <w:sz w:val="2"/>
          <w:szCs w:val="2"/>
        </w:rPr>
        <w:t xml:space="preserve"/>
      </w:r>
    </w:p>
    <w:p>
      <w:pPr>
        <w:spacing w:after="200"/>
        <w:jc w:val="center"/>
      </w:pPr>
      <w:r>
        <w:rPr>
          <w:rFonts w:ascii="Arial" w:cs="Arial" w:eastAsia="Arial" w:hAnsi="Arial"/>
          <w:b/>
          <w:bCs/>
          <w:color w:val="2E86AB"/>
          <w:sz w:val="40"/>
          <w:szCs w:val="40"/>
        </w:rPr>
        <w:t xml:space="preserve">TD-05: Threat Hunting Playbook</w:t>
      </w:r>
    </w:p>
    <w:p>
      <w:pPr>
        <w:spacing w:after="60"/>
        <w:jc w:val="center"/>
      </w:pPr>
      <w:r>
        <w:rPr>
          <w:rFonts w:ascii="Arial" w:cs="Arial" w:eastAsia="Arial" w:hAnsi="Arial"/>
          <w:color w:val="1B2A4A"/>
          <w:sz w:val="28"/>
          <w:szCs w:val="28"/>
        </w:rPr>
        <w:t xml:space="preserve">Infostealer Compromise Detection and Threat Hunt Procedures</w:t>
      </w:r>
    </w:p>
    <w:p>
      <w:pPr>
        <w:spacing w:after="400"/>
        <w:jc w:val="center"/>
      </w:pPr>
      <w:r>
        <w:rPr>
          <w:rFonts w:ascii="Arial" w:cs="Arial" w:eastAsia="Arial" w:hAnsi="Arial"/>
          <w:color w:val="78909C"/>
          <w:sz w:val="20"/>
          <w:szCs w:val="20"/>
        </w:rPr>
        <w:t xml:space="preserve">Document Date: February 12, 2026  |  Classification: CONFIDENTIAL</w:t>
      </w:r>
    </w:p>
    <w:p>
      <w:r>
        <w:br w:type="page"/>
      </w:r>
    </w:p>
    <w:p>
      <w:pPr>
        <w:pStyle w:val="Heading1"/>
      </w:pPr>
      <w:r>
        <w:t xml:space="preserve">1. Purpose and Scope</w:t>
      </w:r>
    </w:p>
    <w:p>
      <w:pPr>
        <w:spacing w:after="120"/>
      </w:pPr>
      <w:r>
        <w:rPr>
          <w:rFonts w:ascii="Arial" w:cs="Arial" w:eastAsia="Arial" w:hAnsi="Arial"/>
          <w:b w:val="false"/>
          <w:bCs w:val="false"/>
          <w:color w:val="1B2A4A"/>
          <w:sz w:val="22"/>
          <w:szCs w:val="22"/>
        </w:rPr>
        <w:t xml:space="preserve">This playbook provides strategic threat hunting procedures for detecting indicators of infostealer compromise within an enterprise environment. It is designed to guide threat hunting teams through structured detection hypotheses, data source requirements, and escalation criteria specific to the infostealer attack pattern observed in the Racami incident [1].</w:t>
      </w:r>
    </w:p>
    <w:p>
      <w:pPr>
        <w:spacing w:after="120"/>
      </w:pPr>
      <w:r>
        <w:rPr>
          <w:rFonts w:ascii="Arial" w:cs="Arial" w:eastAsia="Arial" w:hAnsi="Arial"/>
          <w:b w:val="false"/>
          <w:bCs w:val="false"/>
          <w:color w:val="1B2A4A"/>
          <w:sz w:val="22"/>
          <w:szCs w:val="22"/>
        </w:rPr>
        <w:t xml:space="preserve">This is a strategic document defining what to hunt for and why. Tactical execution details including specific commands, queries, and visual navigation guides are provided in the companion document TD-05R (Threat Hunting Runbook).</w:t>
      </w:r>
    </w:p>
    <w:p>
      <w:pPr>
        <w:pBdr>
          <w:bottom w:val="single" w:color="2E86AB" w:sz="2"/>
        </w:pBdr>
        <w:spacing w:before="200" w:after="200"/>
      </w:pPr>
      <w:r>
        <w:rPr>
          <w:sz w:val="2"/>
          <w:szCs w:val="2"/>
        </w:rPr>
        <w:t xml:space="preserve"/>
      </w:r>
    </w:p>
    <w:p>
      <w:pPr>
        <w:pStyle w:val="Heading1"/>
      </w:pPr>
      <w:r>
        <w:t xml:space="preserve">2. RACI Matrix</w:t>
      </w:r>
    </w:p>
    <w:p>
      <w:pPr>
        <w:spacing w:after="120"/>
      </w:pPr>
      <w:r>
        <w:rPr>
          <w:rFonts w:ascii="Arial" w:cs="Arial" w:eastAsia="Arial" w:hAnsi="Arial"/>
          <w:b w:val="false"/>
          <w:bCs w:val="false"/>
          <w:color w:val="1B2A4A"/>
          <w:sz w:val="22"/>
          <w:szCs w:val="22"/>
        </w:rPr>
        <w:t xml:space="preserve">The following RACI matrix defines roles and responsibilities for each threat hunting activity. R = Responsible (executes), A = Accountable (owns outcome), C = Consulted (provides input), I = Informed (receives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131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Hunter</w:t>
            </w:r>
          </w:p>
        </w:tc>
        <w:tc>
          <w:tcPr>
            <w:tcW w:type="dxa" w:w="131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SOC Analyst</w:t>
            </w:r>
          </w:p>
        </w:tc>
        <w:tc>
          <w:tcPr>
            <w:tcW w:type="dxa" w:w="131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IR Lead</w:t>
            </w:r>
          </w:p>
        </w:tc>
        <w:tc>
          <w:tcPr>
            <w:tcW w:type="dxa" w:w="131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IAM Team</w:t>
            </w:r>
          </w:p>
        </w:tc>
        <w:tc>
          <w:tcPr>
            <w:tcW w:type="dxa" w:w="131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Management</w:t>
            </w:r>
          </w:p>
        </w:tc>
      </w:tr>
      <w:tr>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Hunt H-01: Credential Exposure Scan</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312"/>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312"/>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Hunt H-02: Authentication Anomaly Review</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312"/>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Hunt H-03: Endpoint Execution Analysis</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312"/>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Hunt H-04: Browser Credential Store Audit</w:t>
            </w:r>
          </w:p>
        </w:tc>
        <w:tc>
          <w:tcPr>
            <w:tcW w:type="dxa" w:w="1312"/>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Hunt H-05: Dark Web Monitoring</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312"/>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Hunt H-06: Git/CI-CD Integrity Audit</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312"/>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312"/>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Hunt H-07: Session Anomaly Detection</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312"/>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Hunt H-08: Remote Access Tool Audit</w:t>
            </w:r>
          </w:p>
        </w:tc>
        <w:tc>
          <w:tcPr>
            <w:tcW w:type="dxa" w:w="1312"/>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Escalation to IR</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312"/>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312"/>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Findings Documentation</w:t>
            </w:r>
          </w:p>
        </w:tc>
        <w:tc>
          <w:tcPr>
            <w:tcW w:type="dxa" w:w="1312"/>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312"/>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312"/>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312"/>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bl>
    <w:p>
      <w:r>
        <w:br w:type="page"/>
      </w:r>
    </w:p>
    <w:p>
      <w:pPr>
        <w:pStyle w:val="Heading1"/>
      </w:pPr>
      <w:r>
        <w:t xml:space="preserve">3. Threat Hunt Hypotheses</w:t>
      </w:r>
    </w:p>
    <w:p>
      <w:pPr>
        <w:spacing w:after="120"/>
      </w:pPr>
      <w:r>
        <w:rPr>
          <w:rFonts w:ascii="Arial" w:cs="Arial" w:eastAsia="Arial" w:hAnsi="Arial"/>
          <w:b w:val="false"/>
          <w:bCs w:val="false"/>
          <w:color w:val="1B2A4A"/>
          <w:sz w:val="22"/>
          <w:szCs w:val="22"/>
        </w:rPr>
        <w:t xml:space="preserve">Each hunt hypothesis is structured around a detection objective, the ATT&amp;CK technique it targets, required data sources, key indicators, and escalation criteria. Tactical execution steps are in TD-05R.</w:t>
      </w:r>
    </w:p>
    <w:p>
      <w:pPr>
        <w:pStyle w:val="Heading2"/>
      </w:pPr>
      <w:r>
        <w:t xml:space="preserve">3.1 Hunt H-01: Credential Exposure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H-01: CREDENTIAL EXPOSURE SCAN</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Hypothesis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Corporate credentials from the November 2022 compromise remain available on dark web marketplaces or have been used by unauthorized parties.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ATT&amp;CK Technique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T1078 Valid Accounts, T1555.003 Browser Credentials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Data Sources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Hudson Rock / Cavalier platform, Russian Market, dark web monitoring feeds, Have I Been Pwned API, authentication logs from all affected systems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Key Indicators</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Known compromised credentials appearing in new breach datasets. Authentication events from unexpected IPs or geolocations using compromised accounts. Credential pair listings on dark web forums referencing racami.com.</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Escalation Trigger</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Any evidence that compromised credentials are actively listed for sale, have been purchased, or have been used for unauthorized authentication.</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Runbook Reference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TD-05R Section 1</w:t>
            </w:r>
          </w:p>
        </w:tc>
      </w:tr>
    </w:tbl>
    <w:p>
      <w:pPr>
        <w:spacing w:after="200"/>
      </w:pPr>
    </w:p>
    <w:p>
      <w:pPr>
        <w:pStyle w:val="Heading2"/>
      </w:pPr>
      <w:r>
        <w:t xml:space="preserve">3.2 Hunt H-02: Authentication Anomaly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H-02: AUTHENTICATION ANOMALY REVIEW</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Hypothesis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Stolen credentials have been used for unauthorized authentication to Racami systems between November 2022 and present. Anomalous login patterns (time, location, device) indicate third-party access.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ATT&amp;CK Technique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T1078 Valid Accounts, T1539 Steal Web Session Cookie</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Data Sources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Authentication logs (Git, Jira, staging, QA, VPN, email), SSO/SAML logs, session creation events, IP geolocation databases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Key Indicators</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Logins from unexpected countries or IP ranges. Concurrent sessions from geographically impossible locations (impossible travel). Authentication outside normal business hours for user r****. Session tokens used from IPs different than the authentication source.</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Escalation Trigger</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Confirmed authentication from unauthorized source, impossible travel detection, or session reuse from non-originating IP.</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Runbook Reference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TD-05R Section 2</w:t>
            </w:r>
          </w:p>
        </w:tc>
      </w:tr>
    </w:tbl>
    <w:p>
      <w:pPr>
        <w:spacing w:after="200"/>
      </w:pPr>
    </w:p>
    <w:p>
      <w:pPr>
        <w:pStyle w:val="Heading2"/>
      </w:pPr>
      <w:r>
        <w:t xml:space="preserve">3.3 Hunt H-03: Endpoint Execution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H-03: ENDPOINT EXECUTION ANALYSIS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Hypothesis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Additional endpoints beyond the known compromised workstation may have been targeted by the same or similar infostealer campaigns. Execution artifacts in temp directories indicate active or historical infections.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ATT&amp;CK Technique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T1204.002 User Execution: Malicious File, T1036 Masquerading, T1547.001 Registry Run Keys / Startup Folder</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Data Sources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Endpoint telemetry (EDR/Sysmon), Windows Event Logs (4688 Process Creation), AppLocker logs, file system artifacts in %TEMP% directories, registry Run key analysis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Key Indicators</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Executable files in %TEMP%\[numbered subdirectory]\ pattern. Unknown or unsigned binaries executing from user-writable paths. Process creation events with parent process being browser, email client, or archive utility. Registry Run keys pointing to temp directory paths.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Escalation Trigger</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Confirmed infostealer execution artifact on any endpoint, or suspicious execution pattern matching RedLine behavioral profile.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Runbook Reference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TD-05R Section 3</w:t>
            </w:r>
          </w:p>
        </w:tc>
      </w:tr>
    </w:tbl>
    <w:p>
      <w:r>
        <w:br w:type="page"/>
      </w:r>
    </w:p>
    <w:p>
      <w:pPr>
        <w:pStyle w:val="Heading2"/>
      </w:pPr>
      <w:r>
        <w:t xml:space="preserve">3.4 Hunt H-04: Browser Credential Store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H-04: BROWSER CREDENTIAL STORE AUDIT</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Hypothesis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Enterprise users are storing corporate credentials in browser password managers without enterprise password management controls, creating an ongoing infostealer attack surface.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ATT&amp;CK Technique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T1555.003 Credentials from Web Browsers, T1552.001 Unsecured Credentials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Data Sources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Group Policy audit (browser password storage settings), endpoint configuration scans, enterprise password manager deployment status, browser extension inventories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Key Indicators</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Browser password storage enabled via GPO or user override. Corporate domain credentials found in Chrome/Edge/Firefox credential stores during audit. No enterprise password manager deployed or adoption rate below threshold.</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Escalation Trigger</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Widespread browser credential storage of corporate credentials across developer or admin workstations without compensating controls.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Runbook Reference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TD-05R Section 4</w:t>
            </w:r>
          </w:p>
        </w:tc>
      </w:tr>
    </w:tbl>
    <w:p>
      <w:pPr>
        <w:spacing w:after="200"/>
      </w:pPr>
    </w:p>
    <w:p>
      <w:pPr>
        <w:pStyle w:val="Heading2"/>
      </w:pPr>
      <w:r>
        <w:t xml:space="preserve">3.5 Hunt H-05: Dark Web Credential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H-05: DARK WEB CREDENTIAL MONITORING</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Hypothesis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Racami credentials from the November 2022 compromise or subsequent infections continue to circulate on dark web marketplaces. New listings indicate ongoing or expanded exposure.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ATT&amp;CK Technique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T1078 Valid Accounts (pre-exploitation reconnaissance by threat actors)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Data Sources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Hudson Rock / Cavalier, Flare.io, SpyCloud, Recorded Future Identity Intelligence, Have I Been Pwned domain search, manual dark web marketplace review</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Key Indicators</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New stealer log entries referencing racami.com domains. Credential listings with timestamps after the November 2022 log (indicating new infections). Known Racami employee emails appearing in new breach compilations.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Escalation Trigger</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Any new credential exposure beyond the known November 2022 log, or evidence of active trading/purchasing of Racami credentials by threat actors.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Runbook Reference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TD-05R Section 5</w:t>
            </w:r>
          </w:p>
        </w:tc>
      </w:tr>
    </w:tbl>
    <w:p>
      <w:pPr>
        <w:spacing w:after="200"/>
      </w:pPr>
    </w:p>
    <w:p>
      <w:pPr>
        <w:pStyle w:val="Heading2"/>
      </w:pPr>
      <w:r>
        <w:t xml:space="preserve">3.6 Hunt H-06: Source Code and CI/CD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H-06: SOURCE CODE AND CI/CD INTEGRITY</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Hypothesis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Attackers with Git superadmin access may have injected malicious code, modified CI/CD pipeline configurations, or committed backdoors to the repository between November 2022 and present.</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ATT&amp;CK Technique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T1195.002 Supply Chain Compromise: Compromise Software Supply Chain</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Data Sources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Git commit history (all branches, tags), CI/CD pipeline configuration files, deployment scripts, Gitea admin logs, webhook configurations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Key Indicators</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Commits from unusual IPs, times, or user agents. Modifications to authentication modules, deployment scripts, or CI/CD pipeline configs. New webhooks or integrations added post-compromise. Secrets or credentials committed to repository. Force pushes rewriting history.</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Escalation Trigger</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Any unexplained commit, pipeline modification, or webhook addition since November 5, 2022.</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Runbook Reference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TD-05R Section 6</w:t>
            </w:r>
          </w:p>
        </w:tc>
      </w:tr>
    </w:tbl>
    <w:p>
      <w:r>
        <w:br w:type="page"/>
      </w:r>
    </w:p>
    <w:p>
      <w:pPr>
        <w:pStyle w:val="Heading2"/>
      </w:pPr>
      <w:r>
        <w:t xml:space="preserve">3.7 Hunt H-07: Session Token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H-07: SESSION TOKEN ANOMALY DETECTION</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Hypothesis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Stolen session cookies may have been or are being used to hijack active sessions without triggering credential-based authentication events.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ATT&amp;CK Technique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T1539 Steal Web Session Cookie</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Data Sources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Web application access logs (Jira, Git, staging portals), session creation vs. authentication event correlation, IP and user-agent analysis per session</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Key Indicators</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Active sessions without preceding authentication event (cookie replay). Session IP address differing from authentication IP. Multiple concurrent sessions for the same user from different locations. Unusual user-agent strings for known sessions.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Escalation Trigger</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Confirmed session activity without corresponding authentication, or session used from IP/location inconsistent with the legitimate user.</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Runbook Reference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TD-05R Section 7</w:t>
            </w:r>
          </w:p>
        </w:tc>
      </w:tr>
    </w:tbl>
    <w:p>
      <w:pPr>
        <w:spacing w:after="200"/>
      </w:pPr>
    </w:p>
    <w:p>
      <w:pPr>
        <w:pStyle w:val="Heading2"/>
      </w:pPr>
      <w:r>
        <w:t xml:space="preserve">3.8 Hunt H-08: Remote Access Tool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H-08: REMOTE ACCESS TOOL AUDIT</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Hypothesis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AnyDesk or other remote access tools may have been leveraged by attackers for persistent access, or unauthorized remote access tools may exist on additional workstations.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ATT&amp;CK Technique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T1219 Remote Access Tools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Data Sources</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Software inventory (SCCM/Intune/manual), AnyDesk connection logs, network traffic analysis (AnyDesk ports 6568/TCP, 7070/TCP), endpoint process monitoring</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Key Indicators</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AnyDesk installed on workstations without IT approval. AnyDesk connections from unknown or external IPs. Other unauthorized remote access tools (TeamViewer, ScreenConnect, RustDesk) present. Remote access activity outside business hours.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Escalation Trigger</w:t>
            </w:r>
          </w:p>
        </w:tc>
        <w:tc>
          <w:tcPr>
            <w:tcW w:type="dxa" w:w="7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Unauthorized remote access tool found, or AnyDesk connection from unrecognized external IP.</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Runbook Reference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TD-05R Section 8</w:t>
            </w:r>
          </w:p>
        </w:tc>
      </w:tr>
    </w:tbl>
    <w:p>
      <w:r>
        <w:br w:type="page"/>
      </w:r>
    </w:p>
    <w:p>
      <w:pPr>
        <w:pStyle w:val="Heading1"/>
      </w:pPr>
      <w:r>
        <w:t xml:space="preserve">4. Escalation and Reporting</w:t>
      </w:r>
    </w:p>
    <w:p>
      <w:pPr>
        <w:spacing w:after="120"/>
      </w:pPr>
      <w:r>
        <w:rPr>
          <w:rFonts w:ascii="Arial" w:cs="Arial" w:eastAsia="Arial" w:hAnsi="Arial"/>
          <w:b w:val="false"/>
          <w:bCs w:val="false"/>
          <w:color w:val="1B2A4A"/>
          <w:sz w:val="22"/>
          <w:szCs w:val="22"/>
        </w:rPr>
        <w:t xml:space="preserve">When a hunt hypothesis is confirmed (escalation trigger met), the threat hunter must:</w:t>
      </w:r>
    </w:p>
    <w:p>
      <w:pPr>
        <w:pStyle w:val="ListParagraph"/>
        <w:numPr>
          <w:ilvl w:val="0"/>
          <w:numId w:val="2"/>
        </w:numPr>
      </w:pPr>
      <w:r>
        <w:rPr>
          <w:rFonts w:ascii="Arial" w:cs="Arial" w:eastAsia="Arial" w:hAnsi="Arial"/>
          <w:color w:val="1B2A4A"/>
          <w:sz w:val="22"/>
          <w:szCs w:val="22"/>
        </w:rPr>
        <w:t xml:space="preserve">Immediately document the finding with evidence screenshots, log excerpts, and timestamps.</w:t>
      </w:r>
    </w:p>
    <w:p>
      <w:pPr>
        <w:pStyle w:val="ListParagraph"/>
        <w:numPr>
          <w:ilvl w:val="0"/>
          <w:numId w:val="2"/>
        </w:numPr>
      </w:pPr>
      <w:r>
        <w:rPr>
          <w:rFonts w:ascii="Arial" w:cs="Arial" w:eastAsia="Arial" w:hAnsi="Arial"/>
          <w:color w:val="1B2A4A"/>
          <w:sz w:val="22"/>
          <w:szCs w:val="22"/>
        </w:rPr>
        <w:t xml:space="preserve">Escalate to the IR Lead per the RACI matrix. Do not attempt remediation during a hunt — hand off to IR.</w:t>
      </w:r>
    </w:p>
    <w:p>
      <w:pPr>
        <w:pStyle w:val="ListParagraph"/>
        <w:numPr>
          <w:ilvl w:val="0"/>
          <w:numId w:val="2"/>
        </w:numPr>
      </w:pPr>
      <w:r>
        <w:rPr>
          <w:rFonts w:ascii="Arial" w:cs="Arial" w:eastAsia="Arial" w:hAnsi="Arial"/>
          <w:color w:val="1B2A4A"/>
          <w:sz w:val="22"/>
          <w:szCs w:val="22"/>
        </w:rPr>
        <w:t xml:space="preserve">Classify the finding using the severity scale from TD-03 (CRITICAL, HIGH, MEDIUM).</w:t>
      </w:r>
    </w:p>
    <w:p>
      <w:pPr>
        <w:pStyle w:val="ListParagraph"/>
        <w:numPr>
          <w:ilvl w:val="0"/>
          <w:numId w:val="2"/>
        </w:numPr>
      </w:pPr>
      <w:r>
        <w:rPr>
          <w:rFonts w:ascii="Arial" w:cs="Arial" w:eastAsia="Arial" w:hAnsi="Arial"/>
          <w:color w:val="1B2A4A"/>
          <w:sz w:val="22"/>
          <w:szCs w:val="22"/>
        </w:rPr>
        <w:t xml:space="preserve">Update the hunt tracking log with finding details, confidence level, and recommended response actions.</w:t>
      </w:r>
    </w:p>
    <w:p>
      <w:pPr>
        <w:pStyle w:val="ListParagraph"/>
        <w:numPr>
          <w:ilvl w:val="0"/>
          <w:numId w:val="2"/>
        </w:numPr>
      </w:pPr>
      <w:r>
        <w:rPr>
          <w:rFonts w:ascii="Arial" w:cs="Arial" w:eastAsia="Arial" w:hAnsi="Arial"/>
          <w:color w:val="1B2A4A"/>
          <w:sz w:val="22"/>
          <w:szCs w:val="22"/>
        </w:rPr>
        <w:t xml:space="preserve">Preserve all evidence per TD-04 Section 6 evidence preservation requirements.</w:t>
      </w:r>
    </w:p>
    <w:p>
      <w:pPr>
        <w:spacing w:after="120"/>
      </w:pPr>
    </w:p>
    <w:p>
      <w:pPr>
        <w:spacing w:after="120"/>
      </w:pPr>
      <w:r>
        <w:rPr>
          <w:rFonts w:ascii="Arial" w:cs="Arial" w:eastAsia="Arial" w:hAnsi="Arial"/>
          <w:b w:val="false"/>
          <w:bCs w:val="false"/>
          <w:color w:val="1B2A4A"/>
          <w:sz w:val="22"/>
          <w:szCs w:val="22"/>
        </w:rPr>
        <w:t xml:space="preserve">Hunts that do not trigger escalation should still be documented with negative findings ("no indicators found") to demonstrate coverage and support compliance reporting.</w:t>
      </w:r>
    </w:p>
    <w:p>
      <w:pPr>
        <w:pBdr>
          <w:bottom w:val="single" w:color="2E86AB" w:sz="2"/>
        </w:pBdr>
        <w:spacing w:before="200" w:after="200"/>
      </w:pPr>
      <w:r>
        <w:rPr>
          <w:sz w:val="2"/>
          <w:szCs w:val="2"/>
        </w:rPr>
        <w:t xml:space="preserve"/>
      </w:r>
    </w:p>
    <w:p>
      <w:pPr>
        <w:pStyle w:val="Heading1"/>
      </w:pPr>
      <w:r>
        <w:t xml:space="preserve">5. Hunt Execution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c>
          <w:tcPr>
            <w:tcW w:type="dxa" w:w="1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Hunt ID</w:t>
            </w:r>
          </w:p>
        </w:tc>
        <w:tc>
          <w:tcPr>
            <w:tcW w:type="dxa" w:w="3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Hunt Name</w:t>
            </w:r>
          </w:p>
        </w:tc>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3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H-01</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Credential Exposure Scan</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Weekly (ongoing)</w:t>
            </w:r>
          </w:p>
        </w:tc>
        <w:tc>
          <w:tcPr>
            <w:tcW w:type="dxa" w:w="2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P1</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H-02</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Authentication Anomaly Review</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Daily during active IR; weekly thereafter</w:t>
            </w:r>
          </w:p>
        </w:tc>
        <w:tc>
          <w:tcPr>
            <w:tcW w:type="dxa" w:w="2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P1</w:t>
            </w:r>
          </w:p>
        </w:tc>
      </w:tr>
      <w:tr>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H-03</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Endpoint Execution Analysis</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One-time sweep + quarterly</w:t>
            </w:r>
          </w:p>
        </w:tc>
        <w:tc>
          <w:tcPr>
            <w:tcW w:type="dxa" w:w="2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P2</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H-04</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Browser Credential Store Audit</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One-time sweep + semi-annual</w:t>
            </w:r>
          </w:p>
        </w:tc>
        <w:tc>
          <w:tcPr>
            <w:tcW w:type="dxa" w:w="2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P2</w:t>
            </w:r>
          </w:p>
        </w:tc>
      </w:tr>
      <w:tr>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H-05</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Dark Web Credential Monitoring</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Continuous (automated feed)</w:t>
            </w:r>
          </w:p>
        </w:tc>
        <w:tc>
          <w:tcPr>
            <w:tcW w:type="dxa" w:w="2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P1</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H-06</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Source Code / CI-CD Integrity</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One-time full audit + per-release</w:t>
            </w:r>
          </w:p>
        </w:tc>
        <w:tc>
          <w:tcPr>
            <w:tcW w:type="dxa" w:w="2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P1</w:t>
            </w:r>
          </w:p>
        </w:tc>
      </w:tr>
      <w:tr>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H-07</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Session Token Anomaly Detection</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Daily during active IR; weekly thereafter</w:t>
            </w:r>
          </w:p>
        </w:tc>
        <w:tc>
          <w:tcPr>
            <w:tcW w:type="dxa" w:w="2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P2</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H-08</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Remote Access Tool Audit</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One-time sweep + quarterly</w:t>
            </w:r>
          </w:p>
        </w:tc>
        <w:tc>
          <w:tcPr>
            <w:tcW w:type="dxa" w:w="2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P2</w:t>
            </w:r>
          </w:p>
        </w:tc>
      </w:tr>
    </w:tbl>
    <w:p>
      <w:pPr>
        <w:pBdr>
          <w:bottom w:val="single" w:color="2E86AB" w:sz="2"/>
        </w:pBdr>
        <w:spacing w:before="200" w:after="200"/>
      </w:pPr>
      <w:r>
        <w:rPr>
          <w:sz w:val="2"/>
          <w:szCs w:val="2"/>
        </w:rPr>
        <w:t xml:space="preserve"/>
      </w:r>
    </w:p>
    <w:p>
      <w:pPr>
        <w:pStyle w:val="Heading1"/>
      </w:pPr>
      <w:r>
        <w:t xml:space="preserve">References</w:t>
      </w:r>
    </w:p>
    <w:p>
      <w:pPr>
        <w:pStyle w:val="ListParagraph"/>
        <w:numPr>
          <w:ilvl w:val="0"/>
          <w:numId w:val="3"/>
        </w:numPr>
        <w:spacing w:after="80"/>
      </w:pPr>
      <w:r>
        <w:rPr>
          <w:rFonts w:ascii="Arial" w:cs="Arial" w:eastAsia="Arial" w:hAnsi="Arial"/>
          <w:color w:val="1B2A4A"/>
          <w:sz w:val="20"/>
          <w:szCs w:val="20"/>
        </w:rPr>
        <w:t xml:space="preserve">Hudson Rock / Cavalier Platform. Stealer Log GH[984304A1DB022880654C9054CBD33F2D] — racami.com. 13 credential pairs. RedLine Stealer. Date Compromised: 2022-11-05.</w:t>
      </w:r>
    </w:p>
    <w:p>
      <w:pPr>
        <w:pStyle w:val="ListParagraph"/>
        <w:numPr>
          <w:ilvl w:val="0"/>
          <w:numId w:val="3"/>
        </w:numPr>
        <w:spacing w:after="80"/>
      </w:pPr>
      <w:r>
        <w:rPr>
          <w:rFonts w:ascii="Arial" w:cs="Arial" w:eastAsia="Arial" w:hAnsi="Arial"/>
          <w:color w:val="1B2A4A"/>
          <w:sz w:val="20"/>
          <w:szCs w:val="20"/>
        </w:rPr>
        <w:t xml:space="preserve">MITRE ATT&amp;CK. Enterprise Techniques Matrix (v14). https://attack.mitre.org/</w:t>
      </w:r>
    </w:p>
    <w:p>
      <w:pPr>
        <w:pBdr>
          <w:bottom w:val="single" w:color="2E86AB" w:sz="2"/>
        </w:pBdr>
        <w:spacing w:before="200" w:after="200"/>
      </w:pPr>
      <w:r>
        <w:rPr>
          <w:sz w:val="2"/>
          <w:szCs w:val="2"/>
        </w:rP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02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Document ID</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TD-05</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Title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Threat Hunting Playbook</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Version</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2.0 (Revised)</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Date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February 12, 2026</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Author</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Team Delta</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Classification</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CONFIDENTIAL</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Companion Runbook</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TD-05R (Threat Hunting Runbook)</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Related Documents</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TD-01 (Evidence), TD-02 (MITRE ATT&amp;CK), TD-04 (IR Plan)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909C"/>
        <w:sz w:val="16"/>
        <w:szCs w:val="16"/>
      </w:rPr>
      <w:t xml:space="preserve">Page </w:t>
    </w:r>
    <w:r>
      <w:rPr>
        <w:rFonts w:ascii="Arial" w:cs="Arial" w:eastAsia="Arial" w:hAnsi="Arial"/>
        <w:color w:val="7890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2A4A"/>
        <w:sz w:val="16"/>
        <w:szCs w:val="16"/>
      </w:rPr>
      <w:t xml:space="preserve">TEAM DELTA</w:t>
    </w:r>
    <w:r>
      <w:rPr>
        <w:rFonts w:ascii="Arial" w:cs="Arial" w:eastAsia="Arial" w:hAnsi="Arial"/>
        <w:color w:val="78909C"/>
        <w:sz w:val="16"/>
        <w:szCs w:val="16"/>
      </w:rPr>
      <w:t xml:space="preserve">  |  TD-05 Threat Hunting Playbook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2026-02-12T16:40:57.045Z</dcterms:created>
  <dcterms:modified xsi:type="dcterms:W3CDTF">2026-02-12T16:40:57.047Z</dcterms:modified>
</cp:coreProperties>
</file>

<file path=docProps/custom.xml><?xml version="1.0" encoding="utf-8"?>
<Properties xmlns="http://schemas.openxmlformats.org/officeDocument/2006/custom-properties" xmlns:vt="http://schemas.openxmlformats.org/officeDocument/2006/docPropsVTypes"/>
</file>