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80"/>
        <w:jc w:val="center"/>
      </w:pPr>
      <w:r>
        <w:rPr>
          <w:rFonts w:ascii="Arial" w:cs="Arial" w:eastAsia="Arial" w:hAnsi="Arial"/>
          <w:b/>
          <w:bCs/>
          <w:color w:val="1B2A4A"/>
          <w:sz w:val="56"/>
          <w:szCs w:val="56"/>
        </w:rPr>
        <w:t xml:space="preserve">TEAM DELTA</w:t>
      </w:r>
    </w:p>
    <w:p>
      <w:pPr>
        <w:spacing w:after="40"/>
        <w:jc w:val="center"/>
      </w:pPr>
      <w:r>
        <w:rPr>
          <w:rFonts w:ascii="Arial" w:cs="Arial" w:eastAsia="Arial" w:hAnsi="Arial"/>
          <w:color w:val="78909C"/>
          <w:sz w:val="24"/>
          <w:szCs w:val="24"/>
        </w:rPr>
        <w:t xml:space="preserve">2026-CAX-500 Cybersecurity Capstone</w:t>
      </w:r>
    </w:p>
    <w:p>
      <w:pPr>
        <w:pBdr>
          <w:bottom w:val="single" w:color="2E86AB" w:sz="2"/>
        </w:pBdr>
        <w:spacing w:before="200" w:after="200"/>
      </w:pPr>
      <w:r>
        <w:rPr>
          <w:sz w:val="2"/>
          <w:szCs w:val="2"/>
        </w:rPr>
        <w:t xml:space="preserve"/>
      </w:r>
    </w:p>
    <w:p>
      <w:pPr>
        <w:spacing w:after="200"/>
        <w:jc w:val="center"/>
      </w:pPr>
      <w:r>
        <w:rPr>
          <w:rFonts w:ascii="Arial" w:cs="Arial" w:eastAsia="Arial" w:hAnsi="Arial"/>
          <w:b/>
          <w:bCs/>
          <w:color w:val="2E86AB"/>
          <w:sz w:val="40"/>
          <w:szCs w:val="40"/>
        </w:rPr>
        <w:t xml:space="preserve">TD-07: Infostealer Incident Response Playbook</w:t>
      </w:r>
    </w:p>
    <w:p>
      <w:pPr>
        <w:spacing w:after="60"/>
        <w:jc w:val="center"/>
      </w:pPr>
      <w:r>
        <w:rPr>
          <w:rFonts w:ascii="Arial" w:cs="Arial" w:eastAsia="Arial" w:hAnsi="Arial"/>
          <w:color w:val="1B2A4A"/>
          <w:sz w:val="28"/>
          <w:szCs w:val="28"/>
        </w:rPr>
        <w:t xml:space="preserve">Strategic Response Procedures for Infostealer Compromise Events</w:t>
      </w:r>
    </w:p>
    <w:p>
      <w:pPr>
        <w:spacing w:after="400"/>
        <w:jc w:val="center"/>
      </w:pPr>
      <w:r>
        <w:rPr>
          <w:rFonts w:ascii="Arial" w:cs="Arial" w:eastAsia="Arial" w:hAnsi="Arial"/>
          <w:color w:val="78909C"/>
          <w:sz w:val="20"/>
          <w:szCs w:val="20"/>
        </w:rPr>
        <w:t xml:space="preserve">Document Date: February 12, 2026  |  Classification: CONFIDENTIAL</w:t>
      </w:r>
    </w:p>
    <w:p>
      <w:r>
        <w:br w:type="page"/>
      </w:r>
    </w:p>
    <w:p>
      <w:pPr>
        <w:pStyle w:val="Heading1"/>
      </w:pPr>
      <w:r>
        <w:t xml:space="preserve">1. Purpose and Applicability</w:t>
      </w:r>
    </w:p>
    <w:p>
      <w:pPr>
        <w:spacing w:after="120"/>
      </w:pPr>
      <w:r>
        <w:rPr>
          <w:rFonts w:ascii="Arial" w:cs="Arial" w:eastAsia="Arial" w:hAnsi="Arial"/>
          <w:b w:val="false"/>
          <w:bCs w:val="false"/>
          <w:i w:val="false"/>
          <w:iCs w:val="false"/>
          <w:color w:val="1B2A4A"/>
          <w:sz w:val="22"/>
          <w:szCs w:val="22"/>
        </w:rPr>
        <w:t xml:space="preserve">This playbook defines the strategic incident response process for infostealer compromise events. It provides decision-making guidance, escalation criteria, and phase-by-phase procedures for security leadership and response team managers. It is designed to be reusable for any infostealer incident, not solely the Racami case, though it uses the November 2022 Racami compromise as the reference scenario throughout </w:t>
      </w:r>
      <w:r>
        <w:rPr>
          <w:rFonts w:ascii="Arial" w:cs="Arial" w:eastAsia="Arial" w:hAnsi="Arial"/>
          <w:b/>
          <w:bCs/>
          <w:i w:val="false"/>
          <w:iCs w:val="false"/>
          <w:color w:val="1B2A4A"/>
          <w:sz w:val="22"/>
          <w:szCs w:val="22"/>
        </w:rPr>
        <w:t xml:space="preserve">[1]</w:t>
      </w:r>
      <w:r>
        <w:rPr>
          <w:rFonts w:ascii="Arial" w:cs="Arial" w:eastAsia="Arial" w:hAnsi="Arial"/>
          <w:b w:val="false"/>
          <w:bCs w:val="false"/>
          <w:i w:val="false"/>
          <w:iCs w:val="false"/>
          <w:color w:val="1B2A4A"/>
          <w:sz w:val="22"/>
          <w:szCs w:val="22"/>
        </w:rPr>
        <w:t xml:space="preserve">.</w:t>
      </w:r>
    </w:p>
    <w:p>
      <w:pPr>
        <w:spacing w:after="120"/>
      </w:pPr>
      <w:r>
        <w:rPr>
          <w:rFonts w:ascii="Arial" w:cs="Arial" w:eastAsia="Arial" w:hAnsi="Arial"/>
          <w:color w:val="1B2A4A"/>
          <w:sz w:val="22"/>
          <w:szCs w:val="22"/>
        </w:rPr>
        <w:t xml:space="preserve">This is a strategic document. Tactical execution commands for boots-on-the-ground responders are provided in the companion document TD-08 (Infostealer IR Runbook).</w:t>
      </w:r>
    </w:p>
    <w:p>
      <w:pPr>
        <w:pStyle w:val="Heading2"/>
      </w:pPr>
      <w:r>
        <w:t xml:space="preserve">1.1 When to Activate This Playbook</w:t>
      </w:r>
    </w:p>
    <w:p>
      <w:pPr>
        <w:spacing w:after="120"/>
      </w:pPr>
      <w:r>
        <w:rPr>
          <w:rFonts w:ascii="Arial" w:cs="Arial" w:eastAsia="Arial" w:hAnsi="Arial"/>
          <w:color w:val="1B2A4A"/>
          <w:sz w:val="22"/>
          <w:szCs w:val="22"/>
        </w:rPr>
        <w:t xml:space="preserve">Activate this playbook when any of the following conditions are confirmed:</w:t>
      </w:r>
    </w:p>
    <w:p>
      <w:pPr>
        <w:pStyle w:val="ListParagraph"/>
        <w:numPr>
          <w:ilvl w:val="0"/>
          <w:numId w:val="2"/>
        </w:numPr>
      </w:pPr>
      <w:r>
        <w:rPr>
          <w:rFonts w:ascii="Arial" w:cs="Arial" w:eastAsia="Arial" w:hAnsi="Arial"/>
          <w:color w:val="1B2A4A"/>
          <w:sz w:val="22"/>
          <w:szCs w:val="22"/>
        </w:rPr>
        <w:t xml:space="preserve">Threat intelligence platform (Hudson Rock, SpyCloud, Flare) identifies corporate credentials in an infostealer log.</w:t>
      </w:r>
    </w:p>
    <w:p>
      <w:pPr>
        <w:pStyle w:val="ListParagraph"/>
        <w:numPr>
          <w:ilvl w:val="0"/>
          <w:numId w:val="2"/>
        </w:numPr>
      </w:pPr>
      <w:r>
        <w:rPr>
          <w:rFonts w:ascii="Arial" w:cs="Arial" w:eastAsia="Arial" w:hAnsi="Arial"/>
          <w:color w:val="1B2A4A"/>
          <w:sz w:val="22"/>
          <w:szCs w:val="22"/>
        </w:rPr>
        <w:t xml:space="preserve">Dark web monitoring alerts on corporate domain credentials appearing on Russian Market, Genesis Market, or similar marketplaces.</w:t>
      </w:r>
    </w:p>
    <w:p>
      <w:pPr>
        <w:pStyle w:val="ListParagraph"/>
        <w:numPr>
          <w:ilvl w:val="0"/>
          <w:numId w:val="2"/>
        </w:numPr>
      </w:pPr>
      <w:r>
        <w:rPr>
          <w:rFonts w:ascii="Arial" w:cs="Arial" w:eastAsia="Arial" w:hAnsi="Arial"/>
          <w:color w:val="1B2A4A"/>
          <w:sz w:val="22"/>
          <w:szCs w:val="22"/>
        </w:rPr>
        <w:t xml:space="preserve">Endpoint detection identifies known infostealer malware families (RedLine, Raccoon, Vidar, Lumma, StealC) executing on a corporate endpoint.</w:t>
      </w:r>
    </w:p>
    <w:p>
      <w:pPr>
        <w:pStyle w:val="ListParagraph"/>
        <w:numPr>
          <w:ilvl w:val="0"/>
          <w:numId w:val="2"/>
        </w:numPr>
      </w:pPr>
      <w:r>
        <w:rPr>
          <w:rFonts w:ascii="Arial" w:cs="Arial" w:eastAsia="Arial" w:hAnsi="Arial"/>
          <w:color w:val="1B2A4A"/>
          <w:sz w:val="22"/>
          <w:szCs w:val="22"/>
        </w:rPr>
        <w:t xml:space="preserve">User reports suspicious activity consistent with credential theft (unauthorized logins, password reset requests, account lockouts).</w:t>
      </w:r>
    </w:p>
    <w:p>
      <w:pPr>
        <w:pBdr>
          <w:bottom w:val="single" w:color="2E86AB" w:sz="2"/>
        </w:pBdr>
        <w:spacing w:before="200" w:after="200"/>
      </w:pPr>
      <w:r>
        <w:rPr>
          <w:sz w:val="2"/>
          <w:szCs w:val="2"/>
        </w:rPr>
        <w:t xml:space="preserve"/>
      </w:r>
    </w:p>
    <w:p>
      <w:pPr>
        <w:pStyle w:val="Heading1"/>
      </w:pPr>
      <w:r>
        <w:t xml:space="preserve">2. RACI Matrix</w:t>
      </w:r>
    </w:p>
    <w:p>
      <w:pPr>
        <w:spacing w:after="120"/>
      </w:pPr>
      <w:r>
        <w:rPr>
          <w:rFonts w:ascii="Arial" w:cs="Arial" w:eastAsia="Arial" w:hAnsi="Arial"/>
          <w:color w:val="1B2A4A"/>
          <w:sz w:val="22"/>
          <w:szCs w:val="22"/>
        </w:rPr>
        <w:t xml:space="preserve">R = Responsible (executes the work), A = Accountable (owns the outcome and approves), C = Consulted (provides input before action), I = Informed (notified of outcome after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11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IR Lead</w:t>
            </w:r>
          </w:p>
        </w:tc>
        <w:tc>
          <w:tcPr>
            <w:tcW w:type="dxa" w:w="11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SOC / Analyst</w:t>
            </w:r>
          </w:p>
        </w:tc>
        <w:tc>
          <w:tcPr>
            <w:tcW w:type="dxa" w:w="11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IAM Team</w:t>
            </w:r>
          </w:p>
        </w:tc>
        <w:tc>
          <w:tcPr>
            <w:tcW w:type="dxa" w:w="11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NetSec</w:t>
            </w:r>
          </w:p>
        </w:tc>
        <w:tc>
          <w:tcPr>
            <w:tcW w:type="dxa" w:w="11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DevOps</w:t>
            </w:r>
          </w:p>
        </w:tc>
        <w:tc>
          <w:tcPr>
            <w:tcW w:type="dxa" w:w="11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Exec / Legal</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Triage &amp; Classification</w:t>
            </w:r>
          </w:p>
        </w:tc>
        <w:tc>
          <w:tcPr>
            <w:tcW w:type="dxa" w:w="11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160"/>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Credential Scope Analysis</w:t>
            </w:r>
          </w:p>
        </w:tc>
        <w:tc>
          <w:tcPr>
            <w:tcW w:type="dxa" w:w="11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160"/>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160"/>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Credential Rotation</w:t>
            </w:r>
          </w:p>
        </w:tc>
        <w:tc>
          <w:tcPr>
            <w:tcW w:type="dxa" w:w="11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Session Invalidation</w:t>
            </w:r>
          </w:p>
        </w:tc>
        <w:tc>
          <w:tcPr>
            <w:tcW w:type="dxa" w:w="11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Network Containment</w:t>
            </w:r>
          </w:p>
        </w:tc>
        <w:tc>
          <w:tcPr>
            <w:tcW w:type="dxa" w:w="11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Workstation Isolation</w:t>
            </w:r>
          </w:p>
        </w:tc>
        <w:tc>
          <w:tcPr>
            <w:tcW w:type="dxa" w:w="11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160"/>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Endpoint Eradication</w:t>
            </w:r>
          </w:p>
        </w:tc>
        <w:tc>
          <w:tcPr>
            <w:tcW w:type="dxa" w:w="11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160"/>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MFA Deployment</w:t>
            </w:r>
          </w:p>
        </w:tc>
        <w:tc>
          <w:tcPr>
            <w:tcW w:type="dxa" w:w="11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Git / CI-CD Audit</w:t>
            </w:r>
          </w:p>
        </w:tc>
        <w:tc>
          <w:tcPr>
            <w:tcW w:type="dxa" w:w="11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Dark Web Monitoring</w:t>
            </w:r>
          </w:p>
        </w:tc>
        <w:tc>
          <w:tcPr>
            <w:tcW w:type="dxa" w:w="11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1160"/>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Customer Notification</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Regulatory Filing</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7890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w:t>
            </w:r>
          </w:p>
        </w:tc>
        <w:tc>
          <w:tcPr>
            <w:tcW w:type="dxa" w:w="11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r>
      <w:tr>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Post-Incident Report</w:t>
            </w:r>
          </w:p>
        </w:tc>
        <w:tc>
          <w:tcPr>
            <w:tcW w:type="dxa" w:w="1160"/>
            <w:tcBorders>
              <w:top w:val="single" w:color="B0BEC5" w:sz="1"/>
              <w:left w:val="single" w:color="B0BEC5" w:sz="1"/>
              <w:bottom w:val="single" w:color="B0BEC5" w:sz="1"/>
              <w:right w:val="single" w:color="B0BEC5"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C</w:t>
            </w:r>
          </w:p>
        </w:tc>
        <w:tc>
          <w:tcPr>
            <w:tcW w:type="dxa" w:w="11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r>
    </w:tbl>
    <w:p>
      <w:r>
        <w:br w:type="page"/>
      </w:r>
    </w:p>
    <w:p>
      <w:pPr>
        <w:pStyle w:val="Heading1"/>
      </w:pPr>
      <w:r>
        <w:t xml:space="preserve">3. Phase 1: Triage and Classification</w:t>
      </w:r>
    </w:p>
    <w:p>
      <w:pPr>
        <w:spacing w:after="120"/>
      </w:pPr>
      <w:r>
        <w:rPr>
          <w:rFonts w:ascii="Arial" w:cs="Arial" w:eastAsia="Arial" w:hAnsi="Arial"/>
          <w:b w:val="false"/>
          <w:bCs w:val="false"/>
          <w:i w:val="false"/>
          <w:iCs w:val="false"/>
          <w:color w:val="1B2A4A"/>
          <w:sz w:val="22"/>
          <w:szCs w:val="22"/>
        </w:rPr>
        <w:t xml:space="preserve">When an infostealer compromise is identified, the IR Lead must rapidly assess the scope and severity to determine the appropriate response level. The Racami incident illustrates why triage speed matters: the seven-day gap between execution (November 5) and first detection (November 12) was already a significant window </w:t>
      </w:r>
      <w:r>
        <w:rPr>
          <w:rFonts w:ascii="Arial" w:cs="Arial" w:eastAsia="Arial" w:hAnsi="Arial"/>
          <w:b/>
          <w:bCs/>
          <w:i w:val="false"/>
          <w:iCs w:val="false"/>
          <w:color w:val="1B2A4A"/>
          <w:sz w:val="22"/>
          <w:szCs w:val="22"/>
        </w:rPr>
        <w:t xml:space="preserve">[1]</w:t>
      </w:r>
      <w:r>
        <w:rPr>
          <w:rFonts w:ascii="Arial" w:cs="Arial" w:eastAsia="Arial" w:hAnsi="Arial"/>
          <w:b w:val="false"/>
          <w:bCs w:val="false"/>
          <w:i w:val="false"/>
          <w:iCs w:val="false"/>
          <w:color w:val="1B2A4A"/>
          <w:sz w:val="22"/>
          <w:szCs w:val="22"/>
        </w:rPr>
        <w:t xml:space="preserve">. The subsequent 29-month gap without remediation enabled the HellCat ransomware exploitation </w:t>
      </w:r>
      <w:r>
        <w:rPr>
          <w:rFonts w:ascii="Arial" w:cs="Arial" w:eastAsia="Arial" w:hAnsi="Arial"/>
          <w:b/>
          <w:bCs/>
          <w:i w:val="false"/>
          <w:iCs w:val="false"/>
          <w:color w:val="1B2A4A"/>
          <w:sz w:val="22"/>
          <w:szCs w:val="22"/>
        </w:rPr>
        <w:t xml:space="preserve">[2][3]</w:t>
      </w:r>
      <w:r>
        <w:rPr>
          <w:rFonts w:ascii="Arial" w:cs="Arial" w:eastAsia="Arial" w:hAnsi="Arial"/>
          <w:b w:val="false"/>
          <w:bCs w:val="false"/>
          <w:i w:val="false"/>
          <w:iCs w:val="false"/>
          <w:color w:val="1B2A4A"/>
          <w:sz w:val="22"/>
          <w:szCs w:val="22"/>
        </w:rPr>
        <w:t xml:space="preserve">.</w:t>
      </w:r>
    </w:p>
    <w:p>
      <w:pPr>
        <w:pStyle w:val="Heading2"/>
      </w:pPr>
      <w:r>
        <w:t xml:space="preserve">3.1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37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 Level</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CRITICAL</w:t>
            </w:r>
          </w:p>
        </w:tc>
        <w:tc>
          <w:tcPr>
            <w:tcW w:type="dxa" w:w="3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Admin/superadmin credentials compromised; production system access; source code access; customer data at risk</w:t>
            </w:r>
          </w:p>
        </w:tc>
        <w:tc>
          <w:tcPr>
            <w:tcW w:type="dxa" w:w="3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Full IR activation. All phases executed immediately. Executive notification within 2 hours.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HIGH</w:t>
            </w:r>
          </w:p>
        </w:tc>
        <w:tc>
          <w:tcPr>
            <w:tcW w:type="dxa" w:w="3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Standard user credentials; internal tool access; no production or customer data indicators</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Accelerated response. Credential rotation within 24 hours. Monitoring enhanced.</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MEDIUM</w:t>
            </w:r>
          </w:p>
        </w:tc>
        <w:tc>
          <w:tcPr>
            <w:tcW w:type="dxa" w:w="3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Personal credentials only (non-corporate); no system access indicators in log</w:t>
            </w:r>
          </w:p>
        </w:tc>
        <w:tc>
          <w:tcPr>
            <w:tcW w:type="dxa" w:w="37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Standard response. User credential reset. Endpoint scan. 48-hour remediation window.</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LOW</w:t>
            </w:r>
          </w:p>
        </w:tc>
        <w:tc>
          <w:tcPr>
            <w:tcW w:type="dxa" w:w="3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Credential exposure detected but already expired, rotated, or protected by MFA</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Monitoring only. Verify controls. Document finding. No immediate action required.</w:t>
            </w:r>
          </w:p>
        </w:tc>
      </w:tr>
    </w:tbl>
    <w:p>
      <w:pPr>
        <w:spacing w:after="80"/>
      </w:pPr>
    </w:p>
    <w:p>
      <w:pPr>
        <w:spacing w:after="120"/>
      </w:pPr>
      <w:r>
        <w:rPr>
          <w:rFonts w:ascii="Arial" w:cs="Arial" w:eastAsia="Arial" w:hAnsi="Arial"/>
          <w:b w:val="false"/>
          <w:bCs w:val="false"/>
          <w:i w:val="false"/>
          <w:iCs w:val="false"/>
          <w:color w:val="1B2A4A"/>
          <w:sz w:val="22"/>
          <w:szCs w:val="22"/>
        </w:rPr>
        <w:t xml:space="preserve">The Racami incident classifies as </w:t>
      </w:r>
      <w:r>
        <w:rPr>
          <w:rFonts w:ascii="Arial" w:cs="Arial" w:eastAsia="Arial" w:hAnsi="Arial"/>
          <w:b/>
          <w:bCs/>
          <w:i w:val="false"/>
          <w:iCs w:val="false"/>
          <w:color w:val="1B2A4A"/>
          <w:sz w:val="22"/>
          <w:szCs w:val="22"/>
        </w:rPr>
        <w:t xml:space="preserve">CRITICAL</w:t>
      </w:r>
      <w:r>
        <w:rPr>
          <w:rFonts w:ascii="Arial" w:cs="Arial" w:eastAsia="Arial" w:hAnsi="Arial"/>
          <w:b w:val="false"/>
          <w:bCs w:val="false"/>
          <w:i w:val="false"/>
          <w:iCs w:val="false"/>
          <w:color w:val="1B2A4A"/>
          <w:sz w:val="22"/>
          <w:szCs w:val="22"/>
        </w:rPr>
        <w:t xml:space="preserve"> based on superadmin credentials across production systems, source code repository access, and confirmed downstream ransomware exploitation </w:t>
      </w:r>
      <w:r>
        <w:rPr>
          <w:rFonts w:ascii="Arial" w:cs="Arial" w:eastAsia="Arial" w:hAnsi="Arial"/>
          <w:b/>
          <w:bCs/>
          <w:i w:val="false"/>
          <w:iCs w:val="false"/>
          <w:color w:val="1B2A4A"/>
          <w:sz w:val="22"/>
          <w:szCs w:val="22"/>
        </w:rPr>
        <w:t xml:space="preserve">[1][2]</w:t>
      </w:r>
      <w:r>
        <w:rPr>
          <w:rFonts w:ascii="Arial" w:cs="Arial" w:eastAsia="Arial" w:hAnsi="Arial"/>
          <w:b w:val="false"/>
          <w:bCs w:val="false"/>
          <w:i w:val="false"/>
          <w:iCs w:val="false"/>
          <w:color w:val="1B2A4A"/>
          <w:sz w:val="22"/>
          <w:szCs w:val="22"/>
        </w:rPr>
        <w:t xml:space="preserve">.</w:t>
      </w:r>
    </w:p>
    <w:p>
      <w:r>
        <w:br w:type="page"/>
      </w:r>
    </w:p>
    <w:p>
      <w:pPr>
        <w:pStyle w:val="Heading1"/>
      </w:pPr>
      <w:r>
        <w:t xml:space="preserve">4. Phase 2: Containment</w:t>
      </w:r>
    </w:p>
    <w:p>
      <w:pPr>
        <w:spacing w:after="120"/>
      </w:pPr>
      <w:r>
        <w:rPr>
          <w:rFonts w:ascii="Arial" w:cs="Arial" w:eastAsia="Arial" w:hAnsi="Arial"/>
          <w:color w:val="1B2A4A"/>
          <w:sz w:val="22"/>
          <w:szCs w:val="22"/>
        </w:rPr>
        <w:t xml:space="preserve">Containment objectives: stop the attacker from using stolen credentials, prevent lateral movement, and preserve evidence. All actions in this phase should be completed within the first 12 hours for CRITICAL severity incidents.</w:t>
      </w:r>
    </w:p>
    <w:p>
      <w:pPr>
        <w:pStyle w:val="Heading2"/>
      </w:pPr>
      <w:r>
        <w:t xml:space="preserve">4.1 Credential Containment</w:t>
      </w:r>
    </w:p>
    <w:p>
      <w:pPr>
        <w:pStyle w:val="ListParagraph"/>
        <w:numPr>
          <w:ilvl w:val="0"/>
          <w:numId w:val="2"/>
        </w:numPr>
      </w:pPr>
      <w:r>
        <w:rPr>
          <w:rFonts w:ascii="Arial" w:cs="Arial" w:eastAsia="Arial" w:hAnsi="Arial"/>
          <w:color w:val="1B2A4A"/>
          <w:sz w:val="22"/>
          <w:szCs w:val="22"/>
        </w:rPr>
        <w:t xml:space="preserve">Identify all credential pairs in the stealer log. The Racami log contained 13 pairs across 10 systems [1]. Previous analysis captured only 5 — always work from the complete evidence set.</w:t>
      </w:r>
    </w:p>
    <w:p>
      <w:pPr>
        <w:pStyle w:val="ListParagraph"/>
        <w:numPr>
          <w:ilvl w:val="0"/>
          <w:numId w:val="2"/>
        </w:numPr>
      </w:pPr>
      <w:r>
        <w:rPr>
          <w:rFonts w:ascii="Arial" w:cs="Arial" w:eastAsia="Arial" w:hAnsi="Arial"/>
          <w:color w:val="1B2A4A"/>
          <w:sz w:val="22"/>
          <w:szCs w:val="22"/>
        </w:rPr>
        <w:t xml:space="preserve">Force password reset on every compromised account. Disable accounts pending investigation where operationally feasible.</w:t>
      </w:r>
    </w:p>
    <w:p>
      <w:pPr>
        <w:pStyle w:val="ListParagraph"/>
        <w:numPr>
          <w:ilvl w:val="0"/>
          <w:numId w:val="2"/>
        </w:numPr>
      </w:pPr>
      <w:r>
        <w:rPr>
          <w:rFonts w:ascii="Arial" w:cs="Arial" w:eastAsia="Arial" w:hAnsi="Arial"/>
          <w:color w:val="1B2A4A"/>
          <w:sz w:val="22"/>
          <w:szCs w:val="22"/>
        </w:rPr>
        <w:t xml:space="preserve">Identify dependent credentials: service accounts, API tokens, SSH keys, database connection strings, and CI/CD secrets that may share passwords or reside on the compromised workstation.</w:t>
      </w:r>
    </w:p>
    <w:p>
      <w:pPr>
        <w:pStyle w:val="ListParagraph"/>
        <w:numPr>
          <w:ilvl w:val="0"/>
          <w:numId w:val="2"/>
        </w:numPr>
      </w:pPr>
      <w:r>
        <w:rPr>
          <w:rFonts w:ascii="Arial" w:cs="Arial" w:eastAsia="Arial" w:hAnsi="Arial"/>
          <w:color w:val="1B2A4A"/>
          <w:sz w:val="22"/>
          <w:szCs w:val="22"/>
        </w:rPr>
        <w:t xml:space="preserve">Globally invalidate all active sessions, OAuth tokens, SSO assertions, and refresh tokens across every affected system.</w:t>
      </w:r>
    </w:p>
    <w:p>
      <w:pPr>
        <w:pStyle w:val="Heading2"/>
      </w:pPr>
      <w:r>
        <w:t xml:space="preserve">4.2 Network Containment</w:t>
      </w:r>
    </w:p>
    <w:p>
      <w:pPr>
        <w:pStyle w:val="ListParagraph"/>
        <w:numPr>
          <w:ilvl w:val="0"/>
          <w:numId w:val="2"/>
        </w:numPr>
      </w:pPr>
      <w:r>
        <w:rPr>
          <w:rFonts w:ascii="Arial" w:cs="Arial" w:eastAsia="Arial" w:hAnsi="Arial"/>
          <w:color w:val="1B2A4A"/>
          <w:sz w:val="22"/>
          <w:szCs w:val="22"/>
        </w:rPr>
        <w:t xml:space="preserve">Restrict access to high-value systems (Git, Jira, production, staging) to VPN-only or specific IP allowlists.</w:t>
      </w:r>
    </w:p>
    <w:p>
      <w:pPr>
        <w:pStyle w:val="ListParagraph"/>
        <w:numPr>
          <w:ilvl w:val="0"/>
          <w:numId w:val="2"/>
        </w:numPr>
      </w:pPr>
      <w:r>
        <w:rPr>
          <w:rFonts w:ascii="Arial" w:cs="Arial" w:eastAsia="Arial" w:hAnsi="Arial"/>
          <w:color w:val="1B2A4A"/>
          <w:sz w:val="22"/>
          <w:szCs w:val="22"/>
        </w:rPr>
        <w:t xml:space="preserve">Isolate the compromised workstation from the network. Preserve it for forensic imaging before reimaging.</w:t>
      </w:r>
    </w:p>
    <w:p>
      <w:pPr>
        <w:pStyle w:val="ListParagraph"/>
        <w:numPr>
          <w:ilvl w:val="0"/>
          <w:numId w:val="2"/>
        </w:numPr>
      </w:pPr>
      <w:r>
        <w:rPr>
          <w:rFonts w:ascii="Arial" w:cs="Arial" w:eastAsia="Arial" w:hAnsi="Arial"/>
          <w:color w:val="1B2A4A"/>
          <w:sz w:val="22"/>
          <w:szCs w:val="22"/>
        </w:rPr>
        <w:t xml:space="preserve">Monitor for authentication attempts using the known compromised credentials (create SIEM alerts).</w:t>
      </w:r>
    </w:p>
    <w:p>
      <w:pPr>
        <w:pStyle w:val="Heading2"/>
      </w:pPr>
      <w:r>
        <w:t xml:space="preserve">4.3 Decision Point: Scope Expansion</w:t>
      </w:r>
    </w:p>
    <w:p>
      <w:pPr>
        <w:spacing w:after="120"/>
      </w:pPr>
      <w:r>
        <w:rPr>
          <w:rFonts w:ascii="Arial" w:cs="Arial" w:eastAsia="Arial" w:hAnsi="Arial"/>
          <w:color w:val="1B2A4A"/>
          <w:sz w:val="22"/>
          <w:szCs w:val="22"/>
        </w:rPr>
        <w:t xml:space="preserve">If the stealer log reveals access to systems beyond the initially identified scope (e.g., the Racami log contained production access that was initially missed), the IR Lead must reassess severity and expand containment accordingly. In the Racami case, the initial analysis identified 5 URL/credential pairs; the complete evidence contained 13, including production system access [1].</w:t>
      </w:r>
    </w:p>
    <w:p>
      <w:pPr>
        <w:pBdr>
          <w:bottom w:val="single" w:color="2E86AB" w:sz="2"/>
        </w:pBdr>
        <w:spacing w:before="200" w:after="200"/>
      </w:pPr>
      <w:r>
        <w:rPr>
          <w:sz w:val="2"/>
          <w:szCs w:val="2"/>
        </w:rPr>
        <w:t xml:space="preserve"/>
      </w:r>
    </w:p>
    <w:p>
      <w:pPr>
        <w:pStyle w:val="Heading1"/>
      </w:pPr>
      <w:r>
        <w:t xml:space="preserve">5. Phase 3: Eradication</w:t>
      </w:r>
    </w:p>
    <w:p>
      <w:pPr>
        <w:spacing w:after="120"/>
      </w:pPr>
      <w:r>
        <w:rPr>
          <w:rFonts w:ascii="Arial" w:cs="Arial" w:eastAsia="Arial" w:hAnsi="Arial"/>
          <w:color w:val="1B2A4A"/>
          <w:sz w:val="22"/>
          <w:szCs w:val="22"/>
        </w:rPr>
        <w:t xml:space="preserve">Eradication removes the attacker's foothold and closes the exploitation paths that enabled the compromise.</w:t>
      </w:r>
    </w:p>
    <w:p>
      <w:pPr>
        <w:pStyle w:val="Heading2"/>
      </w:pPr>
      <w:r>
        <w:t xml:space="preserve">5.1 Endpoint Eradication</w:t>
      </w:r>
    </w:p>
    <w:p>
      <w:pPr>
        <w:pStyle w:val="ListParagraph"/>
        <w:numPr>
          <w:ilvl w:val="0"/>
          <w:numId w:val="2"/>
        </w:numPr>
      </w:pPr>
      <w:r>
        <w:rPr>
          <w:rFonts w:ascii="Arial" w:cs="Arial" w:eastAsia="Arial" w:hAnsi="Arial"/>
          <w:color w:val="1B2A4A"/>
          <w:sz w:val="22"/>
          <w:szCs w:val="22"/>
        </w:rPr>
        <w:t xml:space="preserve">Reimage the compromised workstation from a trusted, known-good baseline. Do not attempt to clean — reimage completely.</w:t>
      </w:r>
    </w:p>
    <w:p>
      <w:pPr>
        <w:pStyle w:val="ListParagraph"/>
        <w:numPr>
          <w:ilvl w:val="0"/>
          <w:numId w:val="2"/>
        </w:numPr>
      </w:pPr>
      <w:r>
        <w:rPr>
          <w:rFonts w:ascii="Arial" w:cs="Arial" w:eastAsia="Arial" w:hAnsi="Arial"/>
          <w:color w:val="1B2A4A"/>
          <w:sz w:val="22"/>
          <w:szCs w:val="22"/>
        </w:rPr>
        <w:t xml:space="preserve">Deploy EDR on the reimaged workstation and all peer workstations in the same role/department.</w:t>
      </w:r>
    </w:p>
    <w:p>
      <w:pPr>
        <w:pStyle w:val="ListParagraph"/>
        <w:numPr>
          <w:ilvl w:val="0"/>
          <w:numId w:val="2"/>
        </w:numPr>
      </w:pPr>
      <w:r>
        <w:rPr>
          <w:rFonts w:ascii="Arial" w:cs="Arial" w:eastAsia="Arial" w:hAnsi="Arial"/>
          <w:color w:val="1B2A4A"/>
          <w:sz w:val="22"/>
          <w:szCs w:val="22"/>
        </w:rPr>
        <w:t xml:space="preserve">Block execution from %TEMP% and %AppData%\Local\Temp via AppLocker or WDAC policy [4].</w:t>
      </w:r>
    </w:p>
    <w:p>
      <w:pPr>
        <w:pStyle w:val="ListParagraph"/>
        <w:numPr>
          <w:ilvl w:val="0"/>
          <w:numId w:val="2"/>
        </w:numPr>
      </w:pPr>
      <w:r>
        <w:rPr>
          <w:rFonts w:ascii="Arial" w:cs="Arial" w:eastAsia="Arial" w:hAnsi="Arial"/>
          <w:color w:val="1B2A4A"/>
          <w:sz w:val="22"/>
          <w:szCs w:val="22"/>
        </w:rPr>
        <w:t xml:space="preserve">Remove or restrict remote access tools (AnyDesk, TeamViewer) unless explicitly approved and logged [1].</w:t>
      </w:r>
    </w:p>
    <w:p>
      <w:pPr>
        <w:pStyle w:val="Heading2"/>
      </w:pPr>
      <w:r>
        <w:t xml:space="preserve">5.2 Code and Pipeline Integrity</w:t>
      </w:r>
    </w:p>
    <w:p>
      <w:pPr>
        <w:pStyle w:val="ListParagraph"/>
        <w:numPr>
          <w:ilvl w:val="0"/>
          <w:numId w:val="2"/>
        </w:numPr>
      </w:pPr>
      <w:r>
        <w:rPr>
          <w:rFonts w:ascii="Arial" w:cs="Arial" w:eastAsia="Arial" w:hAnsi="Arial"/>
          <w:color w:val="1B2A4A"/>
          <w:sz w:val="22"/>
          <w:szCs w:val="22"/>
        </w:rPr>
        <w:t xml:space="preserve">Audit all Git commits from the date of compromise forward. Search for unauthorized changes to authentication modules, deployment scripts, and CI/CD pipeline configurations.</w:t>
      </w:r>
    </w:p>
    <w:p>
      <w:pPr>
        <w:pStyle w:val="ListParagraph"/>
        <w:numPr>
          <w:ilvl w:val="0"/>
          <w:numId w:val="2"/>
        </w:numPr>
      </w:pPr>
      <w:r>
        <w:rPr>
          <w:rFonts w:ascii="Arial" w:cs="Arial" w:eastAsia="Arial" w:hAnsi="Arial"/>
          <w:color w:val="1B2A4A"/>
          <w:sz w:val="22"/>
          <w:szCs w:val="22"/>
        </w:rPr>
        <w:t xml:space="preserve">Run secret scanning tools (gitleaks, truffleHog) against full repository history from the compromise date.</w:t>
      </w:r>
    </w:p>
    <w:p>
      <w:pPr>
        <w:pStyle w:val="ListParagraph"/>
        <w:numPr>
          <w:ilvl w:val="0"/>
          <w:numId w:val="2"/>
        </w:numPr>
      </w:pPr>
      <w:r>
        <w:rPr>
          <w:rFonts w:ascii="Arial" w:cs="Arial" w:eastAsia="Arial" w:hAnsi="Arial"/>
          <w:color w:val="1B2A4A"/>
          <w:sz w:val="22"/>
          <w:szCs w:val="22"/>
        </w:rPr>
        <w:t xml:space="preserve">Verify webhook configurations and integrations have not been modified.</w:t>
      </w:r>
    </w:p>
    <w:p>
      <w:pPr>
        <w:pStyle w:val="ListParagraph"/>
        <w:numPr>
          <w:ilvl w:val="0"/>
          <w:numId w:val="2"/>
        </w:numPr>
      </w:pPr>
      <w:r>
        <w:rPr>
          <w:rFonts w:ascii="Arial" w:cs="Arial" w:eastAsia="Arial" w:hAnsi="Arial"/>
          <w:color w:val="1B2A4A"/>
          <w:sz w:val="22"/>
          <w:szCs w:val="22"/>
        </w:rPr>
        <w:t xml:space="preserve">Rotate all secrets discovered in the repository and add them to the credential rotation checklist.</w:t>
      </w:r>
    </w:p>
    <w:p>
      <w:r>
        <w:br w:type="page"/>
      </w:r>
    </w:p>
    <w:p>
      <w:pPr>
        <w:pStyle w:val="Heading1"/>
      </w:pPr>
      <w:r>
        <w:t xml:space="preserve">6. Phase 4: Recovery and Hardening</w:t>
      </w:r>
    </w:p>
    <w:p>
      <w:pPr>
        <w:spacing w:after="120"/>
      </w:pPr>
      <w:r>
        <w:rPr>
          <w:rFonts w:ascii="Arial" w:cs="Arial" w:eastAsia="Arial" w:hAnsi="Arial"/>
          <w:color w:val="1B2A4A"/>
          <w:sz w:val="22"/>
          <w:szCs w:val="22"/>
        </w:rPr>
        <w:t xml:space="preserve">Recovery restores normal operations with enhanced security controls that prevent recurrence.</w:t>
      </w:r>
    </w:p>
    <w:p>
      <w:pPr>
        <w:pStyle w:val="Heading2"/>
      </w:pPr>
      <w:r>
        <w:t xml:space="preserve">6.1 Authentication Hardening</w:t>
      </w:r>
    </w:p>
    <w:p>
      <w:pPr>
        <w:pStyle w:val="ListParagraph"/>
        <w:numPr>
          <w:ilvl w:val="0"/>
          <w:numId w:val="2"/>
        </w:numPr>
      </w:pPr>
      <w:r>
        <w:rPr>
          <w:rFonts w:ascii="Arial" w:cs="Arial" w:eastAsia="Arial" w:hAnsi="Arial"/>
          <w:color w:val="1B2A4A"/>
          <w:sz w:val="22"/>
          <w:szCs w:val="22"/>
        </w:rPr>
        <w:t xml:space="preserve">Deploy MFA on all systems identified in the compromise scope. Require phishing-resistant MFA (FIDO2/YubiKey) for admin accounts [4].</w:t>
      </w:r>
    </w:p>
    <w:p>
      <w:pPr>
        <w:pStyle w:val="ListParagraph"/>
        <w:numPr>
          <w:ilvl w:val="0"/>
          <w:numId w:val="2"/>
        </w:numPr>
      </w:pPr>
      <w:r>
        <w:rPr>
          <w:rFonts w:ascii="Arial" w:cs="Arial" w:eastAsia="Arial" w:hAnsi="Arial"/>
          <w:color w:val="1B2A4A"/>
          <w:sz w:val="22"/>
          <w:szCs w:val="22"/>
        </w:rPr>
        <w:t xml:space="preserve">Eliminate shared admin accounts (superadmin). Create individual named admin accounts with audit trails.</w:t>
      </w:r>
    </w:p>
    <w:p>
      <w:pPr>
        <w:pStyle w:val="ListParagraph"/>
        <w:numPr>
          <w:ilvl w:val="0"/>
          <w:numId w:val="2"/>
        </w:numPr>
      </w:pPr>
      <w:r>
        <w:rPr>
          <w:rFonts w:ascii="Arial" w:cs="Arial" w:eastAsia="Arial" w:hAnsi="Arial"/>
          <w:color w:val="1B2A4A"/>
          <w:sz w:val="22"/>
          <w:szCs w:val="22"/>
        </w:rPr>
        <w:t xml:space="preserve">Implement credential rotation policy: 90 days for privileged accounts, 180 days for standard.</w:t>
      </w:r>
    </w:p>
    <w:p>
      <w:pPr>
        <w:pStyle w:val="ListParagraph"/>
        <w:numPr>
          <w:ilvl w:val="0"/>
          <w:numId w:val="2"/>
        </w:numPr>
      </w:pPr>
      <w:r>
        <w:rPr>
          <w:rFonts w:ascii="Arial" w:cs="Arial" w:eastAsia="Arial" w:hAnsi="Arial"/>
          <w:color w:val="1B2A4A"/>
          <w:sz w:val="22"/>
          <w:szCs w:val="22"/>
        </w:rPr>
        <w:t xml:space="preserve">Deploy enterprise password manager. Disable browser password storage via Group Policy.</w:t>
      </w:r>
    </w:p>
    <w:p>
      <w:pPr>
        <w:pStyle w:val="Heading2"/>
      </w:pPr>
      <w:r>
        <w:t xml:space="preserve">6.2 Monitoring and Detection</w:t>
      </w:r>
    </w:p>
    <w:p>
      <w:pPr>
        <w:pStyle w:val="ListParagraph"/>
        <w:numPr>
          <w:ilvl w:val="0"/>
          <w:numId w:val="2"/>
        </w:numPr>
      </w:pPr>
      <w:r>
        <w:rPr>
          <w:rFonts w:ascii="Arial" w:cs="Arial" w:eastAsia="Arial" w:hAnsi="Arial"/>
          <w:color w:val="1B2A4A"/>
          <w:sz w:val="22"/>
          <w:szCs w:val="22"/>
        </w:rPr>
        <w:t xml:space="preserve">Establish dark web credential monitoring for the corporate domain (e.g., Hudson Rock, Flare.io, SpyCloud).</w:t>
      </w:r>
    </w:p>
    <w:p>
      <w:pPr>
        <w:pStyle w:val="ListParagraph"/>
        <w:numPr>
          <w:ilvl w:val="0"/>
          <w:numId w:val="2"/>
        </w:numPr>
      </w:pPr>
      <w:r>
        <w:rPr>
          <w:rFonts w:ascii="Arial" w:cs="Arial" w:eastAsia="Arial" w:hAnsi="Arial"/>
          <w:color w:val="1B2A4A"/>
          <w:sz w:val="22"/>
          <w:szCs w:val="22"/>
        </w:rPr>
        <w:t xml:space="preserve">Deploy SIEM detection rules for infostealer indicators: temp directory execution, browser credential file access, unusual process trees [4].</w:t>
      </w:r>
    </w:p>
    <w:p>
      <w:pPr>
        <w:pStyle w:val="ListParagraph"/>
        <w:numPr>
          <w:ilvl w:val="0"/>
          <w:numId w:val="2"/>
        </w:numPr>
      </w:pPr>
      <w:r>
        <w:rPr>
          <w:rFonts w:ascii="Arial" w:cs="Arial" w:eastAsia="Arial" w:hAnsi="Arial"/>
          <w:color w:val="1B2A4A"/>
          <w:sz w:val="22"/>
          <w:szCs w:val="22"/>
        </w:rPr>
        <w:t xml:space="preserve">Implement session anomaly detection: impossible travel, multi-IP session reuse, unusual user-agent patterns.</w:t>
      </w:r>
    </w:p>
    <w:p>
      <w:pPr>
        <w:pStyle w:val="Heading2"/>
      </w:pPr>
      <w:r>
        <w:t xml:space="preserve">6.3 Network Hardening</w:t>
      </w:r>
    </w:p>
    <w:p>
      <w:pPr>
        <w:pStyle w:val="ListParagraph"/>
        <w:numPr>
          <w:ilvl w:val="0"/>
          <w:numId w:val="2"/>
        </w:numPr>
      </w:pPr>
      <w:r>
        <w:rPr>
          <w:rFonts w:ascii="Arial" w:cs="Arial" w:eastAsia="Arial" w:hAnsi="Arial"/>
          <w:color w:val="1B2A4A"/>
          <w:sz w:val="22"/>
          <w:szCs w:val="22"/>
        </w:rPr>
        <w:t xml:space="preserve">Segment development, staging, and production networks. No shared credentials between environments.</w:t>
      </w:r>
    </w:p>
    <w:p>
      <w:pPr>
        <w:pStyle w:val="ListParagraph"/>
        <w:numPr>
          <w:ilvl w:val="0"/>
          <w:numId w:val="2"/>
        </w:numPr>
      </w:pPr>
      <w:r>
        <w:rPr>
          <w:rFonts w:ascii="Arial" w:cs="Arial" w:eastAsia="Arial" w:hAnsi="Arial"/>
          <w:color w:val="1B2A4A"/>
          <w:sz w:val="22"/>
          <w:szCs w:val="22"/>
        </w:rPr>
        <w:t xml:space="preserve">Implement least-privilege access: developers should not have superadmin on production systems.</w:t>
      </w:r>
    </w:p>
    <w:p>
      <w:pPr>
        <w:pStyle w:val="ListParagraph"/>
        <w:numPr>
          <w:ilvl w:val="0"/>
          <w:numId w:val="2"/>
        </w:numPr>
      </w:pPr>
      <w:r>
        <w:rPr>
          <w:rFonts w:ascii="Arial" w:cs="Arial" w:eastAsia="Arial" w:hAnsi="Arial"/>
          <w:color w:val="1B2A4A"/>
          <w:sz w:val="22"/>
          <w:szCs w:val="22"/>
        </w:rPr>
        <w:t xml:space="preserve">Deploy jump servers for administrative access to critical infrastructure.</w:t>
      </w:r>
    </w:p>
    <w:p>
      <w:pPr>
        <w:pBdr>
          <w:bottom w:val="single" w:color="2E86AB" w:sz="2"/>
        </w:pBdr>
        <w:spacing w:before="200" w:after="200"/>
      </w:pPr>
      <w:r>
        <w:rPr>
          <w:sz w:val="2"/>
          <w:szCs w:val="2"/>
        </w:rPr>
        <w:t xml:space="preserve"/>
      </w:r>
    </w:p>
    <w:p>
      <w:pPr>
        <w:pStyle w:val="Heading1"/>
      </w:pPr>
      <w:r>
        <w:t xml:space="preserve">7. Phase 5: Post-Incident Activity</w:t>
      </w:r>
    </w:p>
    <w:p>
      <w:pPr>
        <w:pStyle w:val="ListParagraph"/>
        <w:numPr>
          <w:ilvl w:val="0"/>
          <w:numId w:val="2"/>
        </w:numPr>
      </w:pPr>
      <w:r>
        <w:rPr>
          <w:rFonts w:ascii="Arial" w:cs="Arial" w:eastAsia="Arial" w:hAnsi="Arial"/>
          <w:color w:val="1B2A4A"/>
          <w:sz w:val="22"/>
          <w:szCs w:val="22"/>
        </w:rPr>
        <w:t xml:space="preserve">Complete post-incident report documenting timeline, scope, root cause, and remediation actions.</w:t>
      </w:r>
    </w:p>
    <w:p>
      <w:pPr>
        <w:pStyle w:val="ListParagraph"/>
        <w:numPr>
          <w:ilvl w:val="0"/>
          <w:numId w:val="2"/>
        </w:numPr>
      </w:pPr>
      <w:r>
        <w:rPr>
          <w:rFonts w:ascii="Arial" w:cs="Arial" w:eastAsia="Arial" w:hAnsi="Arial"/>
          <w:color w:val="1B2A4A"/>
          <w:sz w:val="22"/>
          <w:szCs w:val="22"/>
        </w:rPr>
        <w:t xml:space="preserve">Conduct lessons-learned review with all stakeholders within 30 days of incident closure.</w:t>
      </w:r>
    </w:p>
    <w:p>
      <w:pPr>
        <w:pStyle w:val="ListParagraph"/>
        <w:numPr>
          <w:ilvl w:val="0"/>
          <w:numId w:val="2"/>
        </w:numPr>
      </w:pPr>
      <w:r>
        <w:rPr>
          <w:rFonts w:ascii="Arial" w:cs="Arial" w:eastAsia="Arial" w:hAnsi="Arial"/>
          <w:color w:val="1B2A4A"/>
          <w:sz w:val="22"/>
          <w:szCs w:val="22"/>
        </w:rPr>
        <w:t xml:space="preserve">Validate all remediation actions per the Containment and Mitigation Artifacts checklist.</w:t>
      </w:r>
    </w:p>
    <w:p>
      <w:pPr>
        <w:pStyle w:val="ListParagraph"/>
        <w:numPr>
          <w:ilvl w:val="0"/>
          <w:numId w:val="2"/>
        </w:numPr>
      </w:pPr>
      <w:r>
        <w:rPr>
          <w:rFonts w:ascii="Arial" w:cs="Arial" w:eastAsia="Arial" w:hAnsi="Arial"/>
          <w:color w:val="1B2A4A"/>
          <w:sz w:val="22"/>
          <w:szCs w:val="22"/>
        </w:rPr>
        <w:t xml:space="preserve">Update this playbook based on lessons learned (new detection signatures, process improvements).</w:t>
      </w:r>
    </w:p>
    <w:p>
      <w:pPr>
        <w:pStyle w:val="ListParagraph"/>
        <w:numPr>
          <w:ilvl w:val="0"/>
          <w:numId w:val="2"/>
        </w:numPr>
      </w:pPr>
      <w:r>
        <w:rPr>
          <w:rFonts w:ascii="Arial" w:cs="Arial" w:eastAsia="Arial" w:hAnsi="Arial"/>
          <w:color w:val="1B2A4A"/>
          <w:sz w:val="22"/>
          <w:szCs w:val="22"/>
        </w:rPr>
        <w:t xml:space="preserve">Schedule recurring infostealer-focused security awareness training for all employees, with emphasis on developers and admin staff.</w:t>
      </w:r>
    </w:p>
    <w:p>
      <w:pPr>
        <w:spacing w:after="120"/>
      </w:pPr>
      <w:r>
        <w:rPr>
          <w:rFonts w:ascii="Arial" w:cs="Arial" w:eastAsia="Arial" w:hAnsi="Arial"/>
          <w:b w:val="false"/>
          <w:bCs w:val="false"/>
          <w:i w:val="false"/>
          <w:iCs w:val="false"/>
          <w:color w:val="1B2A4A"/>
          <w:sz w:val="22"/>
          <w:szCs w:val="22"/>
        </w:rPr>
        <w:t xml:space="preserve">In the Racami case, the absence of post-incident activity after the November 2022 detection directly enabled the April 2025 HellCat ransomware breach </w:t>
      </w:r>
      <w:r>
        <w:rPr>
          <w:rFonts w:ascii="Arial" w:cs="Arial" w:eastAsia="Arial" w:hAnsi="Arial"/>
          <w:b/>
          <w:bCs/>
          <w:i w:val="false"/>
          <w:iCs w:val="false"/>
          <w:color w:val="1B2A4A"/>
          <w:sz w:val="22"/>
          <w:szCs w:val="22"/>
        </w:rPr>
        <w:t xml:space="preserve">[2][3]</w:t>
      </w:r>
      <w:r>
        <w:rPr>
          <w:rFonts w:ascii="Arial" w:cs="Arial" w:eastAsia="Arial" w:hAnsi="Arial"/>
          <w:b w:val="false"/>
          <w:bCs w:val="false"/>
          <w:i w:val="false"/>
          <w:iCs w:val="false"/>
          <w:color w:val="1B2A4A"/>
          <w:sz w:val="22"/>
          <w:szCs w:val="22"/>
        </w:rPr>
        <w:t xml:space="preserve">. Post-incident follow-through is not optional.</w:t>
      </w:r>
    </w:p>
    <w:p>
      <w:r>
        <w:br w:type="page"/>
      </w:r>
    </w:p>
    <w:p>
      <w:pPr>
        <w:pStyle w:val="Heading1"/>
      </w:pPr>
      <w:r>
        <w:t xml:space="preserve">8. Escalation Decision Tree</w:t>
      </w:r>
    </w:p>
    <w:p>
      <w:pPr>
        <w:spacing w:after="120"/>
      </w:pPr>
      <w:r>
        <w:rPr>
          <w:rFonts w:ascii="Arial" w:cs="Arial" w:eastAsia="Arial" w:hAnsi="Arial"/>
          <w:color w:val="1B2A4A"/>
          <w:sz w:val="22"/>
          <w:szCs w:val="22"/>
        </w:rPr>
        <w:t xml:space="preserve">The following decision tree guides the IR Lead through escalation decisions based on findings during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If You Find…</w:t>
            </w:r>
          </w:p>
        </w:tc>
        <w:tc>
          <w:tcPr>
            <w:tcW w:type="dxa" w:w="3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Then…</w:t>
            </w:r>
          </w:p>
        </w:tc>
        <w:tc>
          <w:tcPr>
            <w:tcW w:type="dxa" w:w="29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Notify…</w:t>
            </w:r>
          </w:p>
        </w:tc>
      </w:tr>
      <w:tr>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Credentials in stealer log for your domain</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Activate this playbook at MEDIUM+ severity</w:t>
            </w:r>
          </w:p>
        </w:tc>
        <w:tc>
          <w:tcPr>
            <w:tcW w:type="dxa" w:w="2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IR Lead + SOC Manager</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Admin/superadmin credentials in log</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Escalate to CRITICAL severity immediately</w:t>
            </w:r>
          </w:p>
        </w:tc>
        <w:tc>
          <w:tcPr>
            <w:tcW w:type="dxa" w:w="2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CISO + VP Engineering</w:t>
            </w:r>
          </w:p>
        </w:tc>
      </w:tr>
      <w:tr>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Production system access in credential scope</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Assume customer data exposure until proven otherwise</w:t>
            </w:r>
          </w:p>
        </w:tc>
        <w:tc>
          <w:tcPr>
            <w:tcW w:type="dxa" w:w="2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Legal + Compliance + DPO</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Source code repo access in log</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Initiate supply chain integrity audit</w:t>
            </w:r>
          </w:p>
        </w:tc>
        <w:tc>
          <w:tcPr>
            <w:tcW w:type="dxa" w:w="2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CTO + AppSec Lead</w:t>
            </w:r>
          </w:p>
        </w:tc>
      </w:tr>
      <w:tr>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Evidence of credential use by third party</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Confirm active breach; engage external IR if needed</w:t>
            </w:r>
          </w:p>
        </w:tc>
        <w:tc>
          <w:tcPr>
            <w:tcW w:type="dxa" w:w="2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CEO + Board + Cyber Insurance</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Customer data access confirmed</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Initiate regulatory notification process</w:t>
            </w:r>
          </w:p>
        </w:tc>
        <w:tc>
          <w:tcPr>
            <w:tcW w:type="dxa" w:w="2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External Counsel + Regulators</w:t>
            </w:r>
          </w:p>
        </w:tc>
      </w:tr>
      <w:tr>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Ransomware demand received</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Do NOT pay without legal and executive approval</w:t>
            </w:r>
          </w:p>
        </w:tc>
        <w:tc>
          <w:tcPr>
            <w:tcW w:type="dxa" w:w="2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CEO + Board + FBI IC3 + External Counsel</w:t>
            </w:r>
          </w:p>
        </w:tc>
      </w:tr>
    </w:tbl>
    <w:p>
      <w:pPr>
        <w:pBdr>
          <w:bottom w:val="single" w:color="2E86AB" w:sz="2"/>
        </w:pBdr>
        <w:spacing w:before="200" w:after="200"/>
      </w:pPr>
      <w:r>
        <w:rPr>
          <w:sz w:val="2"/>
          <w:szCs w:val="2"/>
        </w:rPr>
        <w:t xml:space="preserve"/>
      </w:r>
    </w:p>
    <w:p>
      <w:pPr>
        <w:pStyle w:val="Heading1"/>
      </w:pPr>
      <w:r>
        <w:t xml:space="preserve">References</w:t>
      </w:r>
    </w:p>
    <w:p>
      <w:pPr>
        <w:pStyle w:val="ListParagraph"/>
        <w:numPr>
          <w:ilvl w:val="0"/>
          <w:numId w:val="3"/>
        </w:numPr>
        <w:spacing w:after="80"/>
      </w:pPr>
      <w:r>
        <w:rPr>
          <w:rFonts w:ascii="Arial" w:cs="Arial" w:eastAsia="Arial" w:hAnsi="Arial"/>
          <w:color w:val="1B2A4A"/>
          <w:sz w:val="20"/>
          <w:szCs w:val="20"/>
        </w:rPr>
        <w:t xml:space="preserve">Hudson Rock / Cavalier Platform. Stealer Log GH[984304A1DB022880654C9054CBD33F2D] — racami.com. Date Compromised: 2022-11-05. Stealer Family: RedLine. 13 credential pairs across 10 systems including production, Git, Jira, staging, QA, and UAT.</w:t>
      </w:r>
    </w:p>
    <w:p>
      <w:pPr>
        <w:pStyle w:val="ListParagraph"/>
        <w:numPr>
          <w:ilvl w:val="0"/>
          <w:numId w:val="3"/>
        </w:numPr>
        <w:spacing w:after="80"/>
      </w:pPr>
      <w:r>
        <w:rPr>
          <w:rFonts w:ascii="Arial" w:cs="Arial" w:eastAsia="Arial" w:hAnsi="Arial"/>
          <w:color w:val="1B2A4A"/>
          <w:sz w:val="20"/>
          <w:szCs w:val="20"/>
        </w:rPr>
        <w:t xml:space="preserve">Gal, A. (2025, April 5). “HELLCAT Ransomware Group Strikes Again: Four New Victims Breached via Jira Credentials from Infostealer Logs.” Infostealers.com / Hudson Rock. https://www.infostealers.com/article/hellcat-ransomware-group-strikes-again-four-new-victims-breached-via-jira-credentials-from-infostealer-logs/</w:t>
      </w:r>
    </w:p>
    <w:p>
      <w:pPr>
        <w:pStyle w:val="ListParagraph"/>
        <w:numPr>
          <w:ilvl w:val="0"/>
          <w:numId w:val="3"/>
        </w:numPr>
        <w:spacing w:after="80"/>
      </w:pPr>
      <w:r>
        <w:rPr>
          <w:rFonts w:ascii="Arial" w:cs="Arial" w:eastAsia="Arial" w:hAnsi="Arial"/>
          <w:color w:val="1B2A4A"/>
          <w:sz w:val="20"/>
          <w:szCs w:val="20"/>
        </w:rPr>
        <w:t xml:space="preserve">SC Media. (2025, April 9). “Pilfered Jira credentials leveraged in HellCat ransomware attacks.” SC World. https://www.scworld.com/brief/pilfered-jira-credentials-leveraged-in-hellcat-ransomware-attacks</w:t>
      </w:r>
    </w:p>
    <w:p>
      <w:pPr>
        <w:pStyle w:val="ListParagraph"/>
        <w:numPr>
          <w:ilvl w:val="0"/>
          <w:numId w:val="3"/>
        </w:numPr>
        <w:spacing w:after="80"/>
      </w:pPr>
      <w:r>
        <w:rPr>
          <w:rFonts w:ascii="Arial" w:cs="Arial" w:eastAsia="Arial" w:hAnsi="Arial"/>
          <w:color w:val="1B2A4A"/>
          <w:sz w:val="20"/>
          <w:szCs w:val="20"/>
        </w:rPr>
        <w:t xml:space="preserve">MITRE ATT&amp;CK. Enterprise Techniques Matrix (v14). https://attack.mitre.org/ — Referenced techniques: T1566, T1204.002, T1555.003, T1539, T1078, T1036, T1518, T1082, T1041.</w:t>
      </w:r>
    </w:p>
    <w:p>
      <w:pPr>
        <w:pStyle w:val="ListParagraph"/>
        <w:numPr>
          <w:ilvl w:val="0"/>
          <w:numId w:val="3"/>
        </w:numPr>
        <w:spacing w:after="80"/>
      </w:pPr>
      <w:r>
        <w:rPr>
          <w:rFonts w:ascii="Arial" w:cs="Arial" w:eastAsia="Arial" w:hAnsi="Arial"/>
          <w:color w:val="1B2A4A"/>
          <w:sz w:val="20"/>
          <w:szCs w:val="20"/>
        </w:rPr>
        <w:t xml:space="preserve">NIST. (2012). Computer Security Incident Handling Guide. NIST Special Publication 800-61 Revision 2. https://doi.org/10.6028/NIST.SP.800-61r2 [Superseded by Rev. 3, April 2025; Rev. 2 analysis remains valid in context]</w:t>
      </w:r>
    </w:p>
    <w:p>
      <w:pPr>
        <w:pBdr>
          <w:bottom w:val="single" w:color="2E86AB" w:sz="2"/>
        </w:pBdr>
        <w:spacing w:before="200" w:after="200"/>
      </w:pPr>
      <w:r>
        <w:rPr>
          <w:sz w:val="2"/>
          <w:szCs w:val="2"/>
        </w:rP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02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Document ID</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TD-07</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Title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Infostealer Incident Response Playbook</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Version</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2.0 (Revised)</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Date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February 12, 2026</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Author</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Team Delta</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Classification</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CONFIDENTIAL</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Companion Runbook</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TD-08 (Infostealer IR Runbook)</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Related Documents</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4A"/>
                <w:sz w:val="20"/>
                <w:szCs w:val="20"/>
              </w:rPr>
              <w:t xml:space="preserve">TD-01 (Evidence), TD-04 (IR Plan), TD-05 (Threat Hunting)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909C"/>
        <w:sz w:val="16"/>
        <w:szCs w:val="16"/>
      </w:rPr>
      <w:t xml:space="preserve">Page </w:t>
    </w:r>
    <w:r>
      <w:rPr>
        <w:rFonts w:ascii="Arial" w:cs="Arial" w:eastAsia="Arial" w:hAnsi="Arial"/>
        <w:color w:val="7890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2A4A"/>
        <w:sz w:val="16"/>
        <w:szCs w:val="16"/>
      </w:rPr>
      <w:t xml:space="preserve">TEAM DELTA</w:t>
    </w:r>
    <w:r>
      <w:rPr>
        <w:rFonts w:ascii="Arial" w:cs="Arial" w:eastAsia="Arial" w:hAnsi="Arial"/>
        <w:color w:val="78909C"/>
        <w:sz w:val="16"/>
        <w:szCs w:val="16"/>
      </w:rPr>
      <w:t xml:space="preserve">  |  TD-07 Infostealer IR Playbook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2026-02-12T16:31:34.774Z</dcterms:created>
  <dcterms:modified xsi:type="dcterms:W3CDTF">2026-02-12T16:31:34.775Z</dcterms:modified>
</cp:coreProperties>
</file>

<file path=docProps/custom.xml><?xml version="1.0" encoding="utf-8"?>
<Properties xmlns="http://schemas.openxmlformats.org/officeDocument/2006/custom-properties" xmlns:vt="http://schemas.openxmlformats.org/officeDocument/2006/docPropsVTypes"/>
</file>