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Arial" w:cs="Arial" w:eastAsia="Arial" w:hAnsi="Arial"/>
          <w:b/>
          <w:bCs/>
          <w:color w:val="1B2A4A"/>
          <w:sz w:val="52"/>
          <w:szCs w:val="52"/>
        </w:rPr>
        <w:t xml:space="preserve">TEAM DELTA</w:t>
      </w:r>
    </w:p>
    <w:p>
      <w:pPr>
        <w:spacing w:after="120"/>
        <w:jc w:val="center"/>
      </w:pPr>
      <w:r>
        <w:rPr>
          <w:rFonts w:ascii="Arial" w:cs="Arial" w:eastAsia="Arial" w:hAnsi="Arial"/>
          <w:color w:val="718096"/>
          <w:sz w:val="24"/>
          <w:szCs w:val="24"/>
        </w:rPr>
        <w:t xml:space="preserve">2026-CAX-500 Cybersecurity Capstone</w:t>
      </w:r>
    </w:p>
    <w:p>
      <w:pPr>
        <w:pBdr>
          <w:bottom w:val="single" w:color="2E86AB" w:sz="2" w:space="1"/>
        </w:pBdr>
        <w:spacing w:before="200" w:after="200"/>
        <w:jc w:val="center"/>
      </w:pPr>
    </w:p>
    <w:p>
      <w:pPr>
        <w:spacing w:before="200"/>
        <w:jc w:val="center"/>
      </w:pPr>
      <w:r>
        <w:rPr>
          <w:rFonts w:ascii="Arial" w:cs="Arial" w:eastAsia="Arial" w:hAnsi="Arial"/>
          <w:b/>
          <w:bCs/>
          <w:color w:val="2E86AB"/>
          <w:sz w:val="36"/>
          <w:szCs w:val="36"/>
        </w:rPr>
        <w:t xml:space="preserve">TD-10: Racami URL Analysis</w:t>
      </w:r>
    </w:p>
    <w:p>
      <w:pPr>
        <w:spacing w:after="120"/>
        <w:jc w:val="center"/>
      </w:pPr>
      <w:r>
        <w:rPr>
          <w:rFonts w:ascii="Arial" w:cs="Arial" w:eastAsia="Arial" w:hAnsi="Arial"/>
          <w:color w:val="1B2A4A"/>
          <w:sz w:val="22"/>
          <w:szCs w:val="22"/>
        </w:rPr>
        <w:t xml:space="preserve">Technical Reconnaissance and Infrastructure Security Assessment</w:t>
      </w:r>
    </w:p>
    <w:p>
      <w:pPr>
        <w:jc w:val="center"/>
      </w:pPr>
      <w:r>
        <w:rPr>
          <w:rFonts w:ascii="Arial" w:cs="Arial" w:eastAsia="Arial" w:hAnsi="Arial"/>
          <w:color w:val="718096"/>
          <w:sz w:val="20"/>
          <w:szCs w:val="20"/>
        </w:rPr>
        <w:t xml:space="preserve">Companion to TD-01 (Evidence Summary) and TD-03 (Risk Assessment)</w:t>
      </w:r>
    </w:p>
    <w:p>
      <w:pPr>
        <w:spacing w:before="240"/>
        <w:jc w:val="center"/>
      </w:pPr>
      <w:r>
        <w:rPr>
          <w:rFonts w:ascii="Arial" w:cs="Arial" w:eastAsia="Arial" w:hAnsi="Arial"/>
          <w:color w:val="718096"/>
          <w:sz w:val="20"/>
          <w:szCs w:val="20"/>
        </w:rPr>
        <w:t xml:space="preserve">Document Date: February 12, 2026  |  Classification: CONFIDENTIAL</w:t>
      </w:r>
    </w:p>
    <w:p>
      <w:r>
        <w:br w:type="page"/>
      </w:r>
    </w:p>
    <w:p>
      <w:pPr>
        <w:pStyle w:val="Heading1"/>
        <w:spacing w:before="360" w:after="200"/>
      </w:pPr>
      <w:r>
        <w:rPr>
          <w:rFonts w:ascii="Arial" w:cs="Arial" w:eastAsia="Arial" w:hAnsi="Arial"/>
          <w:b/>
          <w:bCs/>
          <w:color w:val="1B2A4A"/>
          <w:sz w:val="32"/>
          <w:szCs w:val="32"/>
        </w:rPr>
        <w:t xml:space="preserve">1. Architectural Overview</w:t>
      </w:r>
    </w:p>
    <w:p>
      <w:pPr>
        <w:spacing w:after="120"/>
      </w:pPr>
      <w:r>
        <w:rPr>
          <w:rFonts w:ascii="Arial" w:cs="Arial" w:eastAsia="Arial" w:hAnsi="Arial"/>
          <w:sz w:val="22"/>
          <w:szCs w:val="22"/>
        </w:rPr>
        <w:t xml:space="preserve">The 13 compromised URLs recovered from the RedLine stealer log reveal Racami’s complete Software Development Life Cycle (SDLC) infrastructure for their flagship Alchem-e Customer Communications Management (CCM) platform. The naming conventions expose a highly segmented environment architecture: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500"/>
        <w:gridCol w:w="4860"/>
      </w:tblGrid>
      <w:tr>
        <w:tc>
          <w:tcPr>
            <w:tcW w:type="dxa" w:w="2000"/>
            <w:tcBorders>
              <w:top w:val="single" w:color="CBD5E0" w:sz="1"/>
              <w:left w:val="single" w:color="CBD5E0" w:sz="1"/>
              <w:bottom w:val="single" w:color="CBD5E0" w:sz="1"/>
              <w:right w:val="single" w:color="CBD5E0" w:sz="1"/>
            </w:tcBorders>
            <w:shd w:fill="2E86AB" w:val="clear"/>
            <w:tcMar>
              <w:top w:type="dxa" w:w="80"/>
              <w:left w:type="dxa" w:w="120"/>
              <w:bottom w:type="dxa" w:w="80"/>
              <w:right w:type="dxa" w:w="120"/>
            </w:tcMar>
          </w:tcPr>
          <w:p>
            <w:r>
              <w:rPr>
                <w:rFonts w:ascii="Arial" w:cs="Arial" w:eastAsia="Arial" w:hAnsi="Arial"/>
                <w:b/>
                <w:bCs/>
                <w:color w:val="FFFFFF"/>
                <w:sz w:val="20"/>
                <w:szCs w:val="20"/>
              </w:rPr>
              <w:t xml:space="preserve">Environment</w:t>
            </w:r>
          </w:p>
        </w:tc>
        <w:tc>
          <w:tcPr>
            <w:tcW w:type="dxa" w:w="2500"/>
            <w:tcBorders>
              <w:top w:val="single" w:color="CBD5E0" w:sz="1"/>
              <w:left w:val="single" w:color="CBD5E0" w:sz="1"/>
              <w:bottom w:val="single" w:color="CBD5E0" w:sz="1"/>
              <w:right w:val="single" w:color="CBD5E0" w:sz="1"/>
            </w:tcBorders>
            <w:shd w:fill="2E86AB" w:val="clear"/>
            <w:tcMar>
              <w:top w:type="dxa" w:w="80"/>
              <w:left w:type="dxa" w:w="120"/>
              <w:bottom w:type="dxa" w:w="80"/>
              <w:right w:type="dxa" w:w="120"/>
            </w:tcMar>
          </w:tcPr>
          <w:p>
            <w:r>
              <w:rPr>
                <w:rFonts w:ascii="Arial" w:cs="Arial" w:eastAsia="Arial" w:hAnsi="Arial"/>
                <w:b/>
                <w:bCs/>
                <w:color w:val="FFFFFF"/>
                <w:sz w:val="20"/>
                <w:szCs w:val="20"/>
              </w:rPr>
              <w:t xml:space="preserve">Subdomain(s)</w:t>
            </w:r>
          </w:p>
        </w:tc>
        <w:tc>
          <w:tcPr>
            <w:tcW w:type="dxa" w:w="4860"/>
            <w:tcBorders>
              <w:top w:val="single" w:color="CBD5E0" w:sz="1"/>
              <w:left w:val="single" w:color="CBD5E0" w:sz="1"/>
              <w:bottom w:val="single" w:color="CBD5E0" w:sz="1"/>
              <w:right w:val="single" w:color="CBD5E0" w:sz="1"/>
            </w:tcBorders>
            <w:shd w:fill="2E86AB" w:val="clear"/>
            <w:tcMar>
              <w:top w:type="dxa" w:w="80"/>
              <w:left w:type="dxa" w:w="120"/>
              <w:bottom w:type="dxa" w:w="80"/>
              <w:right w:type="dxa" w:w="120"/>
            </w:tcMar>
          </w:tcPr>
          <w:p>
            <w:r>
              <w:rPr>
                <w:rFonts w:ascii="Arial" w:cs="Arial" w:eastAsia="Arial" w:hAnsi="Arial"/>
                <w:b/>
                <w:bCs/>
                <w:color w:val="FFFFFF"/>
                <w:sz w:val="20"/>
                <w:szCs w:val="20"/>
              </w:rPr>
              <w:t xml:space="preserve">Purpose</w:t>
            </w:r>
          </w:p>
        </w:tc>
      </w:tr>
      <w:tr>
        <w:tc>
          <w:tcPr>
            <w:tcW w:type="dxa" w:w="2000"/>
            <w:tcBorders>
              <w:top w:val="single" w:color="CBD5E0" w:sz="1"/>
              <w:left w:val="single" w:color="CBD5E0" w:sz="1"/>
              <w:bottom w:val="single" w:color="CBD5E0" w:sz="1"/>
              <w:right w:val="single" w:color="CBD5E0" w:sz="1"/>
            </w:tcBorders>
            <w:shd w:fill="EDF2F7" w:val="clear"/>
            <w:tcMar>
              <w:top w:type="dxa" w:w="80"/>
              <w:left w:type="dxa" w:w="120"/>
              <w:bottom w:type="dxa" w:w="80"/>
              <w:right w:type="dxa" w:w="120"/>
            </w:tcMar>
          </w:tcPr>
          <w:p>
            <w:r>
              <w:rPr>
                <w:rFonts w:ascii="Arial" w:cs="Arial" w:eastAsia="Arial" w:hAnsi="Arial"/>
                <w:sz w:val="20"/>
                <w:szCs w:val="20"/>
              </w:rPr>
              <w:t xml:space="preserve">Production</w:t>
            </w:r>
          </w:p>
        </w:tc>
        <w:tc>
          <w:tcPr>
            <w:tcW w:type="dxa" w:w="2500"/>
            <w:tcBorders>
              <w:top w:val="single" w:color="CBD5E0" w:sz="1"/>
              <w:left w:val="single" w:color="CBD5E0" w:sz="1"/>
              <w:bottom w:val="single" w:color="CBD5E0" w:sz="1"/>
              <w:right w:val="single" w:color="CBD5E0" w:sz="1"/>
            </w:tcBorders>
            <w:shd w:fill="EDF2F7" w:val="clear"/>
            <w:tcMar>
              <w:top w:type="dxa" w:w="80"/>
              <w:left w:type="dxa" w:w="120"/>
              <w:bottom w:type="dxa" w:w="80"/>
              <w:right w:type="dxa" w:w="120"/>
            </w:tcMar>
          </w:tcPr>
          <w:p>
            <w:r>
              <w:rPr>
                <w:rFonts w:ascii="Arial" w:cs="Arial" w:eastAsia="Arial" w:hAnsi="Arial"/>
                <w:sz w:val="20"/>
                <w:szCs w:val="20"/>
              </w:rPr>
              <w:t xml:space="preserve">cisprod01</w:t>
            </w:r>
          </w:p>
        </w:tc>
        <w:tc>
          <w:tcPr>
            <w:tcW w:type="dxa" w:w="4860"/>
            <w:tcBorders>
              <w:top w:val="single" w:color="CBD5E0" w:sz="1"/>
              <w:left w:val="single" w:color="CBD5E0" w:sz="1"/>
              <w:bottom w:val="single" w:color="CBD5E0" w:sz="1"/>
              <w:right w:val="single" w:color="CBD5E0" w:sz="1"/>
            </w:tcBorders>
            <w:shd w:fill="EDF2F7" w:val="clear"/>
            <w:tcMar>
              <w:top w:type="dxa" w:w="80"/>
              <w:left w:type="dxa" w:w="120"/>
              <w:bottom w:type="dxa" w:w="80"/>
              <w:right w:type="dxa" w:w="120"/>
            </w:tcMar>
          </w:tcPr>
          <w:p>
            <w:r>
              <w:rPr>
                <w:rFonts w:ascii="Arial" w:cs="Arial" w:eastAsia="Arial" w:hAnsi="Arial"/>
                <w:sz w:val="20"/>
                <w:szCs w:val="20"/>
              </w:rPr>
              <w:t xml:space="preserve">Live environment processing actual customer data</w:t>
            </w:r>
          </w:p>
        </w:tc>
      </w:tr>
      <w:tr>
        <w:tc>
          <w:tcPr>
            <w:tcW w:type="dxa" w:w="2000"/>
            <w:tcBorders>
              <w:top w:val="single" w:color="CBD5E0" w:sz="1"/>
              <w:left w:val="single" w:color="CBD5E0" w:sz="1"/>
              <w:bottom w:val="single" w:color="CBD5E0" w:sz="1"/>
              <w:right w:val="single" w:color="CBD5E0" w:sz="1"/>
            </w:tcBorders>
            <w:tcMar>
              <w:top w:type="dxa" w:w="80"/>
              <w:left w:type="dxa" w:w="120"/>
              <w:bottom w:type="dxa" w:w="80"/>
              <w:right w:type="dxa" w:w="120"/>
            </w:tcMar>
          </w:tcPr>
          <w:p>
            <w:r>
              <w:rPr>
                <w:rFonts w:ascii="Arial" w:cs="Arial" w:eastAsia="Arial" w:hAnsi="Arial"/>
                <w:sz w:val="20"/>
                <w:szCs w:val="20"/>
              </w:rPr>
              <w:t xml:space="preserve">Staging</w:t>
            </w:r>
          </w:p>
        </w:tc>
        <w:tc>
          <w:tcPr>
            <w:tcW w:type="dxa" w:w="2500"/>
            <w:tcBorders>
              <w:top w:val="single" w:color="CBD5E0" w:sz="1"/>
              <w:left w:val="single" w:color="CBD5E0" w:sz="1"/>
              <w:bottom w:val="single" w:color="CBD5E0" w:sz="1"/>
              <w:right w:val="single" w:color="CBD5E0" w:sz="1"/>
            </w:tcBorders>
            <w:tcMar>
              <w:top w:type="dxa" w:w="80"/>
              <w:left w:type="dxa" w:w="120"/>
              <w:bottom w:type="dxa" w:w="80"/>
              <w:right w:type="dxa" w:w="120"/>
            </w:tcMar>
          </w:tcPr>
          <w:p>
            <w:r>
              <w:rPr>
                <w:rFonts w:ascii="Arial" w:cs="Arial" w:eastAsia="Arial" w:hAnsi="Arial"/>
                <w:sz w:val="20"/>
                <w:szCs w:val="20"/>
              </w:rPr>
              <w:t xml:space="preserve">cisstg01</w:t>
            </w:r>
          </w:p>
        </w:tc>
        <w:tc>
          <w:tcPr>
            <w:tcW w:type="dxa" w:w="4860"/>
            <w:tcBorders>
              <w:top w:val="single" w:color="CBD5E0" w:sz="1"/>
              <w:left w:val="single" w:color="CBD5E0" w:sz="1"/>
              <w:bottom w:val="single" w:color="CBD5E0" w:sz="1"/>
              <w:right w:val="single" w:color="CBD5E0" w:sz="1"/>
            </w:tcBorders>
            <w:tcMar>
              <w:top w:type="dxa" w:w="80"/>
              <w:left w:type="dxa" w:w="120"/>
              <w:bottom w:type="dxa" w:w="80"/>
              <w:right w:type="dxa" w:w="120"/>
            </w:tcMar>
          </w:tcPr>
          <w:p>
            <w:r>
              <w:rPr>
                <w:rFonts w:ascii="Arial" w:cs="Arial" w:eastAsia="Arial" w:hAnsi="Arial"/>
                <w:sz w:val="20"/>
                <w:szCs w:val="20"/>
              </w:rPr>
              <w:t xml:space="preserve">Pre-production mirror for final deployment validation</w:t>
            </w:r>
          </w:p>
        </w:tc>
      </w:tr>
      <w:tr>
        <w:tc>
          <w:tcPr>
            <w:tcW w:type="dxa" w:w="2000"/>
            <w:tcBorders>
              <w:top w:val="single" w:color="CBD5E0" w:sz="1"/>
              <w:left w:val="single" w:color="CBD5E0" w:sz="1"/>
              <w:bottom w:val="single" w:color="CBD5E0" w:sz="1"/>
              <w:right w:val="single" w:color="CBD5E0" w:sz="1"/>
            </w:tcBorders>
            <w:shd w:fill="EDF2F7" w:val="clear"/>
            <w:tcMar>
              <w:top w:type="dxa" w:w="80"/>
              <w:left w:type="dxa" w:w="120"/>
              <w:bottom w:type="dxa" w:w="80"/>
              <w:right w:type="dxa" w:w="120"/>
            </w:tcMar>
          </w:tcPr>
          <w:p>
            <w:r>
              <w:rPr>
                <w:rFonts w:ascii="Arial" w:cs="Arial" w:eastAsia="Arial" w:hAnsi="Arial"/>
                <w:sz w:val="20"/>
                <w:szCs w:val="20"/>
              </w:rPr>
              <w:t xml:space="preserve">UAT</w:t>
            </w:r>
          </w:p>
        </w:tc>
        <w:tc>
          <w:tcPr>
            <w:tcW w:type="dxa" w:w="2500"/>
            <w:tcBorders>
              <w:top w:val="single" w:color="CBD5E0" w:sz="1"/>
              <w:left w:val="single" w:color="CBD5E0" w:sz="1"/>
              <w:bottom w:val="single" w:color="CBD5E0" w:sz="1"/>
              <w:right w:val="single" w:color="CBD5E0" w:sz="1"/>
            </w:tcBorders>
            <w:shd w:fill="EDF2F7" w:val="clear"/>
            <w:tcMar>
              <w:top w:type="dxa" w:w="80"/>
              <w:left w:type="dxa" w:w="120"/>
              <w:bottom w:type="dxa" w:w="80"/>
              <w:right w:type="dxa" w:w="120"/>
            </w:tcMar>
          </w:tcPr>
          <w:p>
            <w:r>
              <w:rPr>
                <w:rFonts w:ascii="Arial" w:cs="Arial" w:eastAsia="Arial" w:hAnsi="Arial"/>
                <w:sz w:val="20"/>
                <w:szCs w:val="20"/>
              </w:rPr>
              <w:t xml:space="preserve">cisuat03</w:t>
            </w:r>
          </w:p>
        </w:tc>
        <w:tc>
          <w:tcPr>
            <w:tcW w:type="dxa" w:w="4860"/>
            <w:tcBorders>
              <w:top w:val="single" w:color="CBD5E0" w:sz="1"/>
              <w:left w:val="single" w:color="CBD5E0" w:sz="1"/>
              <w:bottom w:val="single" w:color="CBD5E0" w:sz="1"/>
              <w:right w:val="single" w:color="CBD5E0" w:sz="1"/>
            </w:tcBorders>
            <w:shd w:fill="EDF2F7" w:val="clear"/>
            <w:tcMar>
              <w:top w:type="dxa" w:w="80"/>
              <w:left w:type="dxa" w:w="120"/>
              <w:bottom w:type="dxa" w:w="80"/>
              <w:right w:type="dxa" w:w="120"/>
            </w:tcMar>
          </w:tcPr>
          <w:p>
            <w:r>
              <w:rPr>
                <w:rFonts w:ascii="Arial" w:cs="Arial" w:eastAsia="Arial" w:hAnsi="Arial"/>
                <w:sz w:val="20"/>
                <w:szCs w:val="20"/>
              </w:rPr>
              <w:t xml:space="preserve">User Acceptance Testing — client/stakeholder feature validation</w:t>
            </w:r>
          </w:p>
        </w:tc>
      </w:tr>
      <w:tr>
        <w:tc>
          <w:tcPr>
            <w:tcW w:type="dxa" w:w="2000"/>
            <w:tcBorders>
              <w:top w:val="single" w:color="CBD5E0" w:sz="1"/>
              <w:left w:val="single" w:color="CBD5E0" w:sz="1"/>
              <w:bottom w:val="single" w:color="CBD5E0" w:sz="1"/>
              <w:right w:val="single" w:color="CBD5E0" w:sz="1"/>
            </w:tcBorders>
            <w:tcMar>
              <w:top w:type="dxa" w:w="80"/>
              <w:left w:type="dxa" w:w="120"/>
              <w:bottom w:type="dxa" w:w="80"/>
              <w:right w:type="dxa" w:w="120"/>
            </w:tcMar>
          </w:tcPr>
          <w:p>
            <w:r>
              <w:rPr>
                <w:rFonts w:ascii="Arial" w:cs="Arial" w:eastAsia="Arial" w:hAnsi="Arial"/>
                <w:sz w:val="20"/>
                <w:szCs w:val="20"/>
              </w:rPr>
              <w:t xml:space="preserve">QA</w:t>
            </w:r>
          </w:p>
        </w:tc>
        <w:tc>
          <w:tcPr>
            <w:tcW w:type="dxa" w:w="2500"/>
            <w:tcBorders>
              <w:top w:val="single" w:color="CBD5E0" w:sz="1"/>
              <w:left w:val="single" w:color="CBD5E0" w:sz="1"/>
              <w:bottom w:val="single" w:color="CBD5E0" w:sz="1"/>
              <w:right w:val="single" w:color="CBD5E0" w:sz="1"/>
            </w:tcBorders>
            <w:tcMar>
              <w:top w:type="dxa" w:w="80"/>
              <w:left w:type="dxa" w:w="120"/>
              <w:bottom w:type="dxa" w:w="80"/>
              <w:right w:type="dxa" w:w="120"/>
            </w:tcMar>
          </w:tcPr>
          <w:p>
            <w:r>
              <w:rPr>
                <w:rFonts w:ascii="Arial" w:cs="Arial" w:eastAsia="Arial" w:hAnsi="Arial"/>
                <w:sz w:val="20"/>
                <w:szCs w:val="20"/>
              </w:rPr>
              <w:t xml:space="preserve">cisqa01 – cisqa05</w:t>
            </w:r>
          </w:p>
        </w:tc>
        <w:tc>
          <w:tcPr>
            <w:tcW w:type="dxa" w:w="4860"/>
            <w:tcBorders>
              <w:top w:val="single" w:color="CBD5E0" w:sz="1"/>
              <w:left w:val="single" w:color="CBD5E0" w:sz="1"/>
              <w:bottom w:val="single" w:color="CBD5E0" w:sz="1"/>
              <w:right w:val="single" w:color="CBD5E0" w:sz="1"/>
            </w:tcBorders>
            <w:tcMar>
              <w:top w:type="dxa" w:w="80"/>
              <w:left w:type="dxa" w:w="120"/>
              <w:bottom w:type="dxa" w:w="80"/>
              <w:right w:type="dxa" w:w="120"/>
            </w:tcMar>
          </w:tcPr>
          <w:p>
            <w:r>
              <w:rPr>
                <w:rFonts w:ascii="Arial" w:cs="Arial" w:eastAsia="Arial" w:hAnsi="Arial"/>
                <w:sz w:val="20"/>
                <w:szCs w:val="20"/>
              </w:rPr>
              <w:t xml:space="preserve">Internal quality assurance nodes for developers and testers</w:t>
            </w:r>
          </w:p>
        </w:tc>
      </w:tr>
      <w:tr>
        <w:tc>
          <w:tcPr>
            <w:tcW w:type="dxa" w:w="2000"/>
            <w:tcBorders>
              <w:top w:val="single" w:color="CBD5E0" w:sz="1"/>
              <w:left w:val="single" w:color="CBD5E0" w:sz="1"/>
              <w:bottom w:val="single" w:color="CBD5E0" w:sz="1"/>
              <w:right w:val="single" w:color="CBD5E0" w:sz="1"/>
            </w:tcBorders>
            <w:shd w:fill="EDF2F7" w:val="clear"/>
            <w:tcMar>
              <w:top w:type="dxa" w:w="80"/>
              <w:left w:type="dxa" w:w="120"/>
              <w:bottom w:type="dxa" w:w="80"/>
              <w:right w:type="dxa" w:w="120"/>
            </w:tcMar>
          </w:tcPr>
          <w:p>
            <w:r>
              <w:rPr>
                <w:rFonts w:ascii="Arial" w:cs="Arial" w:eastAsia="Arial" w:hAnsi="Arial"/>
                <w:sz w:val="20"/>
                <w:szCs w:val="20"/>
              </w:rPr>
              <w:t xml:space="preserve">DevOps</w:t>
            </w:r>
          </w:p>
        </w:tc>
        <w:tc>
          <w:tcPr>
            <w:tcW w:type="dxa" w:w="2500"/>
            <w:tcBorders>
              <w:top w:val="single" w:color="CBD5E0" w:sz="1"/>
              <w:left w:val="single" w:color="CBD5E0" w:sz="1"/>
              <w:bottom w:val="single" w:color="CBD5E0" w:sz="1"/>
              <w:right w:val="single" w:color="CBD5E0" w:sz="1"/>
            </w:tcBorders>
            <w:shd w:fill="EDF2F7" w:val="clear"/>
            <w:tcMar>
              <w:top w:type="dxa" w:w="80"/>
              <w:left w:type="dxa" w:w="120"/>
              <w:bottom w:type="dxa" w:w="80"/>
              <w:right w:type="dxa" w:w="120"/>
            </w:tcMar>
          </w:tcPr>
          <w:p>
            <w:r>
              <w:rPr>
                <w:rFonts w:ascii="Arial" w:cs="Arial" w:eastAsia="Arial" w:hAnsi="Arial"/>
                <w:sz w:val="20"/>
                <w:szCs w:val="20"/>
              </w:rPr>
              <w:t xml:space="preserve">git.racami.com</w:t>
            </w:r>
          </w:p>
        </w:tc>
        <w:tc>
          <w:tcPr>
            <w:tcW w:type="dxa" w:w="4860"/>
            <w:tcBorders>
              <w:top w:val="single" w:color="CBD5E0" w:sz="1"/>
              <w:left w:val="single" w:color="CBD5E0" w:sz="1"/>
              <w:bottom w:val="single" w:color="CBD5E0" w:sz="1"/>
              <w:right w:val="single" w:color="CBD5E0" w:sz="1"/>
            </w:tcBorders>
            <w:shd w:fill="EDF2F7" w:val="clear"/>
            <w:tcMar>
              <w:top w:type="dxa" w:w="80"/>
              <w:left w:type="dxa" w:w="120"/>
              <w:bottom w:type="dxa" w:w="80"/>
              <w:right w:type="dxa" w:w="120"/>
            </w:tcMar>
          </w:tcPr>
          <w:p>
            <w:r>
              <w:rPr>
                <w:rFonts w:ascii="Arial" w:cs="Arial" w:eastAsia="Arial" w:hAnsi="Arial"/>
                <w:sz w:val="20"/>
                <w:szCs w:val="20"/>
              </w:rPr>
              <w:t xml:space="preserve">Self-hosted GitLab instance — code repository</w:t>
            </w:r>
          </w:p>
        </w:tc>
      </w:tr>
      <w:tr>
        <w:tc>
          <w:tcPr>
            <w:tcW w:type="dxa" w:w="2000"/>
            <w:tcBorders>
              <w:top w:val="single" w:color="CBD5E0" w:sz="1"/>
              <w:left w:val="single" w:color="CBD5E0" w:sz="1"/>
              <w:bottom w:val="single" w:color="CBD5E0" w:sz="1"/>
              <w:right w:val="single" w:color="CBD5E0" w:sz="1"/>
            </w:tcBorders>
            <w:tcMar>
              <w:top w:type="dxa" w:w="80"/>
              <w:left w:type="dxa" w:w="120"/>
              <w:bottom w:type="dxa" w:w="80"/>
              <w:right w:type="dxa" w:w="120"/>
            </w:tcMar>
          </w:tcPr>
          <w:p>
            <w:r>
              <w:rPr>
                <w:rFonts w:ascii="Arial" w:cs="Arial" w:eastAsia="Arial" w:hAnsi="Arial"/>
                <w:sz w:val="20"/>
                <w:szCs w:val="20"/>
              </w:rPr>
              <w:t xml:space="preserve">Management</w:t>
            </w:r>
          </w:p>
        </w:tc>
        <w:tc>
          <w:tcPr>
            <w:tcW w:type="dxa" w:w="2500"/>
            <w:tcBorders>
              <w:top w:val="single" w:color="CBD5E0" w:sz="1"/>
              <w:left w:val="single" w:color="CBD5E0" w:sz="1"/>
              <w:bottom w:val="single" w:color="CBD5E0" w:sz="1"/>
              <w:right w:val="single" w:color="CBD5E0" w:sz="1"/>
            </w:tcBorders>
            <w:tcMar>
              <w:top w:type="dxa" w:w="80"/>
              <w:left w:type="dxa" w:w="120"/>
              <w:bottom w:type="dxa" w:w="80"/>
              <w:right w:type="dxa" w:w="120"/>
            </w:tcMar>
          </w:tcPr>
          <w:p>
            <w:r>
              <w:rPr>
                <w:rFonts w:ascii="Arial" w:cs="Arial" w:eastAsia="Arial" w:hAnsi="Arial"/>
                <w:sz w:val="20"/>
                <w:szCs w:val="20"/>
              </w:rPr>
              <w:t xml:space="preserve">work.racami.com</w:t>
            </w:r>
          </w:p>
        </w:tc>
        <w:tc>
          <w:tcPr>
            <w:tcW w:type="dxa" w:w="4860"/>
            <w:tcBorders>
              <w:top w:val="single" w:color="CBD5E0" w:sz="1"/>
              <w:left w:val="single" w:color="CBD5E0" w:sz="1"/>
              <w:bottom w:val="single" w:color="CBD5E0" w:sz="1"/>
              <w:right w:val="single" w:color="CBD5E0" w:sz="1"/>
            </w:tcBorders>
            <w:tcMar>
              <w:top w:type="dxa" w:w="80"/>
              <w:left w:type="dxa" w:w="120"/>
              <w:bottom w:type="dxa" w:w="80"/>
              <w:right w:type="dxa" w:w="120"/>
            </w:tcMar>
          </w:tcPr>
          <w:p>
            <w:r>
              <w:rPr>
                <w:rFonts w:ascii="Arial" w:cs="Arial" w:eastAsia="Arial" w:hAnsi="Arial"/>
                <w:sz w:val="20"/>
                <w:szCs w:val="20"/>
              </w:rPr>
              <w:t xml:space="preserve">Atlassian Jira instance — project tracking, sprint planning</w:t>
            </w:r>
          </w:p>
        </w:tc>
      </w:tr>
    </w:tbl>
    <w:p>
      <w:pPr>
        <w:pStyle w:val="Heading1"/>
        <w:spacing w:before="360" w:after="200"/>
      </w:pPr>
      <w:r>
        <w:rPr>
          <w:rFonts w:ascii="Arial" w:cs="Arial" w:eastAsia="Arial" w:hAnsi="Arial"/>
          <w:b/>
          <w:bCs/>
          <w:color w:val="1B2A4A"/>
          <w:sz w:val="32"/>
          <w:szCs w:val="32"/>
        </w:rPr>
        <w:t xml:space="preserve">2. Service and Application Identification</w:t>
      </w:r>
    </w:p>
    <w:p>
      <w:pPr>
        <w:pStyle w:val="Heading2"/>
        <w:spacing w:before="280" w:after="160"/>
      </w:pPr>
      <w:r>
        <w:rPr>
          <w:rFonts w:ascii="Arial" w:cs="Arial" w:eastAsia="Arial" w:hAnsi="Arial"/>
          <w:b/>
          <w:bCs/>
          <w:color w:val="2E86AB"/>
          <w:sz w:val="26"/>
          <w:szCs w:val="26"/>
        </w:rPr>
        <w:t xml:space="preserve">2.1 The CIS Application (Alchem-e)</w:t>
      </w:r>
    </w:p>
    <w:p>
      <w:pPr>
        <w:spacing w:after="120"/>
      </w:pPr>
      <w:r>
        <w:rPr>
          <w:rFonts w:ascii="Arial" w:cs="Arial" w:eastAsia="Arial" w:hAnsi="Arial"/>
          <w:sz w:val="22"/>
          <w:szCs w:val="22"/>
        </w:rPr>
        <w:t xml:space="preserve">The majority of compromised URLs point to /CIS/login/, which refers to the Customer Information System — the management portal for the Alchem-e platform. This application is used to track print jobs, digital communications, mail tracking (IMb), and workflow automation.</w:t>
      </w:r>
    </w:p>
    <w:p>
      <w:pPr>
        <w:spacing w:after="120"/>
      </w:pPr>
      <w:r>
        <w:rPr>
          <w:rFonts w:ascii="Arial" w:cs="Arial" w:eastAsia="Arial" w:hAnsi="Arial"/>
          <w:b/>
          <w:bCs/>
          <w:sz w:val="22"/>
          <w:szCs w:val="22"/>
        </w:rPr>
        <w:t xml:space="preserve">Multi-Tenancy: </w:t>
      </w:r>
      <w:r>
        <w:rPr>
          <w:rFonts w:ascii="Arial" w:cs="Arial" w:eastAsia="Arial" w:hAnsi="Arial"/>
          <w:sz w:val="22"/>
          <w:szCs w:val="22"/>
        </w:rPr>
        <w:t xml:space="preserve">The URLs for “chen co” and “pay+” indicate a multi-tenant architecture where specific clients have their own branded or isolated login paths, exposing client identities through URL structure.</w:t>
      </w:r>
    </w:p>
    <w:p>
      <w:pPr>
        <w:pStyle w:val="Heading2"/>
        <w:spacing w:before="280" w:after="160"/>
      </w:pPr>
      <w:r>
        <w:rPr>
          <w:rFonts w:ascii="Arial" w:cs="Arial" w:eastAsia="Arial" w:hAnsi="Arial"/>
          <w:b/>
          <w:bCs/>
          <w:color w:val="2E86AB"/>
          <w:sz w:val="26"/>
          <w:szCs w:val="26"/>
        </w:rPr>
        <w:t xml:space="preserve">2.2 Infrastructure Tools</w:t>
      </w:r>
    </w:p>
    <w:p>
      <w:pPr>
        <w:spacing w:after="120"/>
      </w:pPr>
      <w:r>
        <w:rPr>
          <w:rFonts w:ascii="Arial" w:cs="Arial" w:eastAsia="Arial" w:hAnsi="Arial"/>
          <w:b/>
          <w:bCs/>
          <w:sz w:val="22"/>
          <w:szCs w:val="22"/>
        </w:rPr>
        <w:t xml:space="preserve">GitLab (git.racami.com): </w:t>
      </w:r>
      <w:r>
        <w:rPr>
          <w:rFonts w:ascii="Arial" w:cs="Arial" w:eastAsia="Arial" w:hAnsi="Arial"/>
          <w:sz w:val="22"/>
          <w:szCs w:val="22"/>
        </w:rPr>
        <w:t xml:space="preserve">The /users/sign_in path confirms a self-hosted GitLab instance used by engineering teams to store source code. This is a Tier-0 asset — compromise enables supply-chain attacks against all Racami customers.</w:t>
      </w:r>
    </w:p>
    <w:p>
      <w:pPr>
        <w:spacing w:after="120"/>
      </w:pPr>
      <w:r>
        <w:rPr>
          <w:rFonts w:ascii="Arial" w:cs="Arial" w:eastAsia="Arial" w:hAnsi="Arial"/>
          <w:b/>
          <w:bCs/>
          <w:sz w:val="22"/>
          <w:szCs w:val="22"/>
        </w:rPr>
        <w:t xml:space="preserve">Jira (work.racami.com): </w:t>
      </w:r>
      <w:r>
        <w:rPr>
          <w:rFonts w:ascii="Arial" w:cs="Arial" w:eastAsia="Arial" w:hAnsi="Arial"/>
          <w:sz w:val="22"/>
          <w:szCs w:val="22"/>
        </w:rPr>
        <w:t xml:space="preserve">The /secure/Dashboard.jspa path is the signature URL for Atlassian Jira. This system contains project management data, issue tracking, sprint planning, and critically — information about unpatched software vulnerabilities. This is the exact entry point HellCat exploited in the April 2025 breach.</w:t>
      </w:r>
    </w:p>
    <w:p>
      <w:pPr>
        <w:pStyle w:val="Heading1"/>
        <w:spacing w:before="360" w:after="200"/>
      </w:pPr>
      <w:r>
        <w:rPr>
          <w:rFonts w:ascii="Arial" w:cs="Arial" w:eastAsia="Arial" w:hAnsi="Arial"/>
          <w:b/>
          <w:bCs/>
          <w:color w:val="1B2A4A"/>
          <w:sz w:val="32"/>
          <w:szCs w:val="32"/>
        </w:rPr>
        <w:t xml:space="preserve">3. Individual URL Analysis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500"/>
        <w:gridCol w:w="1300"/>
        <w:gridCol w:w="3360"/>
      </w:tblGrid>
      <w:tr>
        <w:tc>
          <w:tcPr>
            <w:tcW w:type="dxa" w:w="3200"/>
            <w:tcBorders>
              <w:top w:val="single" w:color="CBD5E0" w:sz="1"/>
              <w:left w:val="single" w:color="CBD5E0" w:sz="1"/>
              <w:bottom w:val="single" w:color="CBD5E0" w:sz="1"/>
              <w:right w:val="single" w:color="CBD5E0" w:sz="1"/>
            </w:tcBorders>
            <w:shd w:fill="2E86AB" w:val="clear"/>
            <w:tcMar>
              <w:top w:type="dxa" w:w="80"/>
              <w:left w:type="dxa" w:w="120"/>
              <w:bottom w:type="dxa" w:w="80"/>
              <w:right w:type="dxa" w:w="120"/>
            </w:tcMar>
          </w:tcPr>
          <w:p>
            <w:r>
              <w:rPr>
                <w:rFonts w:ascii="Arial" w:cs="Arial" w:eastAsia="Arial" w:hAnsi="Arial"/>
                <w:b/>
                <w:bCs/>
                <w:color w:val="FFFFFF"/>
                <w:sz w:val="20"/>
                <w:szCs w:val="20"/>
              </w:rPr>
              <w:t xml:space="preserve">URL Host</w:t>
            </w:r>
          </w:p>
        </w:tc>
        <w:tc>
          <w:tcPr>
            <w:tcW w:type="dxa" w:w="1500"/>
            <w:tcBorders>
              <w:top w:val="single" w:color="CBD5E0" w:sz="1"/>
              <w:left w:val="single" w:color="CBD5E0" w:sz="1"/>
              <w:bottom w:val="single" w:color="CBD5E0" w:sz="1"/>
              <w:right w:val="single" w:color="CBD5E0" w:sz="1"/>
            </w:tcBorders>
            <w:shd w:fill="2E86AB" w:val="clear"/>
            <w:tcMar>
              <w:top w:type="dxa" w:w="80"/>
              <w:left w:type="dxa" w:w="120"/>
              <w:bottom w:type="dxa" w:w="80"/>
              <w:right w:type="dxa" w:w="120"/>
            </w:tcMar>
          </w:tcPr>
          <w:p>
            <w:r>
              <w:rPr>
                <w:rFonts w:ascii="Arial" w:cs="Arial" w:eastAsia="Arial" w:hAnsi="Arial"/>
                <w:b/>
                <w:bCs/>
                <w:color w:val="FFFFFF"/>
                <w:sz w:val="20"/>
                <w:szCs w:val="20"/>
              </w:rPr>
              <w:t xml:space="preserve">Environment</w:t>
            </w:r>
          </w:p>
        </w:tc>
        <w:tc>
          <w:tcPr>
            <w:tcW w:type="dxa" w:w="1300"/>
            <w:tcBorders>
              <w:top w:val="single" w:color="CBD5E0" w:sz="1"/>
              <w:left w:val="single" w:color="CBD5E0" w:sz="1"/>
              <w:bottom w:val="single" w:color="CBD5E0" w:sz="1"/>
              <w:right w:val="single" w:color="CBD5E0" w:sz="1"/>
            </w:tcBorders>
            <w:shd w:fill="2E86AB" w:val="clear"/>
            <w:tcMar>
              <w:top w:type="dxa" w:w="80"/>
              <w:left w:type="dxa" w:w="120"/>
              <w:bottom w:type="dxa" w:w="80"/>
              <w:right w:type="dxa" w:w="120"/>
            </w:tcMar>
          </w:tcPr>
          <w:p>
            <w:r>
              <w:rPr>
                <w:rFonts w:ascii="Arial" w:cs="Arial" w:eastAsia="Arial" w:hAnsi="Arial"/>
                <w:b/>
                <w:bCs/>
                <w:color w:val="FFFFFF"/>
                <w:sz w:val="20"/>
                <w:szCs w:val="20"/>
              </w:rPr>
              <w:t xml:space="preserve">Risk</w:t>
            </w:r>
          </w:p>
        </w:tc>
        <w:tc>
          <w:tcPr>
            <w:tcW w:type="dxa" w:w="3360"/>
            <w:tcBorders>
              <w:top w:val="single" w:color="CBD5E0" w:sz="1"/>
              <w:left w:val="single" w:color="CBD5E0" w:sz="1"/>
              <w:bottom w:val="single" w:color="CBD5E0" w:sz="1"/>
              <w:right w:val="single" w:color="CBD5E0" w:sz="1"/>
            </w:tcBorders>
            <w:shd w:fill="2E86AB" w:val="clear"/>
            <w:tcMar>
              <w:top w:type="dxa" w:w="80"/>
              <w:left w:type="dxa" w:w="120"/>
              <w:bottom w:type="dxa" w:w="80"/>
              <w:right w:type="dxa" w:w="120"/>
            </w:tcMar>
          </w:tcPr>
          <w:p>
            <w:r>
              <w:rPr>
                <w:rFonts w:ascii="Arial" w:cs="Arial" w:eastAsia="Arial" w:hAnsi="Arial"/>
                <w:b/>
                <w:bCs/>
                <w:color w:val="FFFFFF"/>
                <w:sz w:val="20"/>
                <w:szCs w:val="20"/>
              </w:rPr>
              <w:t xml:space="preserve">Context</w:t>
            </w:r>
          </w:p>
        </w:tc>
      </w:tr>
      <w:tr>
        <w:tc>
          <w:tcPr>
            <w:tcW w:type="dxa" w:w="3200"/>
            <w:tcBorders>
              <w:top w:val="single" w:color="CBD5E0" w:sz="1"/>
              <w:left w:val="single" w:color="CBD5E0" w:sz="1"/>
              <w:bottom w:val="single" w:color="CBD5E0" w:sz="1"/>
              <w:right w:val="single" w:color="CBD5E0" w:sz="1"/>
            </w:tcBorders>
            <w:shd w:fill="EDF2F7" w:val="clear"/>
            <w:tcMar>
              <w:top w:type="dxa" w:w="80"/>
              <w:left w:type="dxa" w:w="120"/>
              <w:bottom w:type="dxa" w:w="80"/>
              <w:right w:type="dxa" w:w="120"/>
            </w:tcMar>
          </w:tcPr>
          <w:p>
            <w:r>
              <w:rPr>
                <w:rFonts w:ascii="Arial" w:cs="Arial" w:eastAsia="Arial" w:hAnsi="Arial"/>
                <w:sz w:val="20"/>
                <w:szCs w:val="20"/>
              </w:rPr>
              <w:t xml:space="preserve">cisprod01.racami.com</w:t>
            </w:r>
          </w:p>
        </w:tc>
        <w:tc>
          <w:tcPr>
            <w:tcW w:type="dxa" w:w="1500"/>
            <w:tcBorders>
              <w:top w:val="single" w:color="CBD5E0" w:sz="1"/>
              <w:left w:val="single" w:color="CBD5E0" w:sz="1"/>
              <w:bottom w:val="single" w:color="CBD5E0" w:sz="1"/>
              <w:right w:val="single" w:color="CBD5E0" w:sz="1"/>
            </w:tcBorders>
            <w:shd w:fill="EDF2F7" w:val="clear"/>
            <w:tcMar>
              <w:top w:type="dxa" w:w="80"/>
              <w:left w:type="dxa" w:w="120"/>
              <w:bottom w:type="dxa" w:w="80"/>
              <w:right w:type="dxa" w:w="120"/>
            </w:tcMar>
          </w:tcPr>
          <w:p>
            <w:r>
              <w:rPr>
                <w:rFonts w:ascii="Arial" w:cs="Arial" w:eastAsia="Arial" w:hAnsi="Arial"/>
                <w:sz w:val="20"/>
                <w:szCs w:val="20"/>
              </w:rPr>
              <w:t xml:space="preserve">Production</w:t>
            </w:r>
          </w:p>
        </w:tc>
        <w:tc>
          <w:tcPr>
            <w:tcW w:type="dxa" w:w="1300"/>
            <w:tcBorders>
              <w:top w:val="single" w:color="CBD5E0" w:sz="1"/>
              <w:left w:val="single" w:color="CBD5E0" w:sz="1"/>
              <w:bottom w:val="single" w:color="CBD5E0" w:sz="1"/>
              <w:right w:val="single" w:color="CBD5E0" w:sz="1"/>
            </w:tcBorders>
            <w:shd w:fill="EDF2F7" w:val="clear"/>
            <w:tcMar>
              <w:top w:type="dxa" w:w="80"/>
              <w:left w:type="dxa" w:w="120"/>
              <w:bottom w:type="dxa" w:w="80"/>
              <w:right w:type="dxa" w:w="120"/>
            </w:tcMar>
          </w:tcPr>
          <w:p>
            <w:r>
              <w:rPr>
                <w:rFonts w:ascii="Arial" w:cs="Arial" w:eastAsia="Arial" w:hAnsi="Arial"/>
                <w:b/>
                <w:bCs/>
                <w:color w:val="C53030"/>
                <w:sz w:val="20"/>
                <w:szCs w:val="20"/>
              </w:rPr>
              <w:t xml:space="preserve">CRITICAL</w:t>
            </w:r>
          </w:p>
        </w:tc>
        <w:tc>
          <w:tcPr>
            <w:tcW w:type="dxa" w:w="3360"/>
            <w:tcBorders>
              <w:top w:val="single" w:color="CBD5E0" w:sz="1"/>
              <w:left w:val="single" w:color="CBD5E0" w:sz="1"/>
              <w:bottom w:val="single" w:color="CBD5E0" w:sz="1"/>
              <w:right w:val="single" w:color="CBD5E0" w:sz="1"/>
            </w:tcBorders>
            <w:shd w:fill="EDF2F7" w:val="clear"/>
            <w:tcMar>
              <w:top w:type="dxa" w:w="80"/>
              <w:left w:type="dxa" w:w="120"/>
              <w:bottom w:type="dxa" w:w="80"/>
              <w:right w:type="dxa" w:w="120"/>
            </w:tcMar>
          </w:tcPr>
          <w:p>
            <w:r>
              <w:rPr>
                <w:rFonts w:ascii="Arial" w:cs="Arial" w:eastAsia="Arial" w:hAnsi="Arial"/>
                <w:sz w:val="20"/>
                <w:szCs w:val="20"/>
              </w:rPr>
              <w:t xml:space="preserve">Live customer-facing Alchem-e CIS login</w:t>
            </w:r>
          </w:p>
        </w:tc>
      </w:tr>
      <w:tr>
        <w:tc>
          <w:tcPr>
            <w:tcW w:type="dxa" w:w="3200"/>
            <w:tcBorders>
              <w:top w:val="single" w:color="CBD5E0" w:sz="1"/>
              <w:left w:val="single" w:color="CBD5E0" w:sz="1"/>
              <w:bottom w:val="single" w:color="CBD5E0" w:sz="1"/>
              <w:right w:val="single" w:color="CBD5E0" w:sz="1"/>
            </w:tcBorders>
            <w:tcMar>
              <w:top w:type="dxa" w:w="80"/>
              <w:left w:type="dxa" w:w="120"/>
              <w:bottom w:type="dxa" w:w="80"/>
              <w:right w:type="dxa" w:w="120"/>
            </w:tcMar>
          </w:tcPr>
          <w:p>
            <w:r>
              <w:rPr>
                <w:rFonts w:ascii="Arial" w:cs="Arial" w:eastAsia="Arial" w:hAnsi="Arial"/>
                <w:sz w:val="20"/>
                <w:szCs w:val="20"/>
              </w:rPr>
              <w:t xml:space="preserve">cisstg01.racami.com</w:t>
            </w:r>
          </w:p>
        </w:tc>
        <w:tc>
          <w:tcPr>
            <w:tcW w:type="dxa" w:w="1500"/>
            <w:tcBorders>
              <w:top w:val="single" w:color="CBD5E0" w:sz="1"/>
              <w:left w:val="single" w:color="CBD5E0" w:sz="1"/>
              <w:bottom w:val="single" w:color="CBD5E0" w:sz="1"/>
              <w:right w:val="single" w:color="CBD5E0" w:sz="1"/>
            </w:tcBorders>
            <w:tcMar>
              <w:top w:type="dxa" w:w="80"/>
              <w:left w:type="dxa" w:w="120"/>
              <w:bottom w:type="dxa" w:w="80"/>
              <w:right w:type="dxa" w:w="120"/>
            </w:tcMar>
          </w:tcPr>
          <w:p>
            <w:r>
              <w:rPr>
                <w:rFonts w:ascii="Arial" w:cs="Arial" w:eastAsia="Arial" w:hAnsi="Arial"/>
                <w:sz w:val="20"/>
                <w:szCs w:val="20"/>
              </w:rPr>
              <w:t xml:space="preserve">Staging</w:t>
            </w:r>
          </w:p>
        </w:tc>
        <w:tc>
          <w:tcPr>
            <w:tcW w:type="dxa" w:w="1300"/>
            <w:tcBorders>
              <w:top w:val="single" w:color="CBD5E0" w:sz="1"/>
              <w:left w:val="single" w:color="CBD5E0" w:sz="1"/>
              <w:bottom w:val="single" w:color="CBD5E0" w:sz="1"/>
              <w:right w:val="single" w:color="CBD5E0" w:sz="1"/>
            </w:tcBorders>
            <w:tcMar>
              <w:top w:type="dxa" w:w="80"/>
              <w:left w:type="dxa" w:w="120"/>
              <w:bottom w:type="dxa" w:w="80"/>
              <w:right w:type="dxa" w:w="120"/>
            </w:tcMar>
          </w:tcPr>
          <w:p>
            <w:r>
              <w:rPr>
                <w:rFonts w:ascii="Arial" w:cs="Arial" w:eastAsia="Arial" w:hAnsi="Arial"/>
                <w:b/>
                <w:bCs/>
                <w:color w:val="DD6B20"/>
                <w:sz w:val="20"/>
                <w:szCs w:val="20"/>
              </w:rPr>
              <w:t xml:space="preserve">HIGH</w:t>
            </w:r>
          </w:p>
        </w:tc>
        <w:tc>
          <w:tcPr>
            <w:tcW w:type="dxa" w:w="3360"/>
            <w:tcBorders>
              <w:top w:val="single" w:color="CBD5E0" w:sz="1"/>
              <w:left w:val="single" w:color="CBD5E0" w:sz="1"/>
              <w:bottom w:val="single" w:color="CBD5E0" w:sz="1"/>
              <w:right w:val="single" w:color="CBD5E0" w:sz="1"/>
            </w:tcBorders>
            <w:tcMar>
              <w:top w:type="dxa" w:w="80"/>
              <w:left w:type="dxa" w:w="120"/>
              <w:bottom w:type="dxa" w:w="80"/>
              <w:right w:type="dxa" w:w="120"/>
            </w:tcMar>
          </w:tcPr>
          <w:p>
            <w:r>
              <w:rPr>
                <w:rFonts w:ascii="Arial" w:cs="Arial" w:eastAsia="Arial" w:hAnsi="Arial"/>
                <w:sz w:val="20"/>
                <w:szCs w:val="20"/>
              </w:rPr>
              <w:t xml:space="preserve">Pre-production mirror for deployment checks</w:t>
            </w:r>
          </w:p>
        </w:tc>
      </w:tr>
      <w:tr>
        <w:tc>
          <w:tcPr>
            <w:tcW w:type="dxa" w:w="3200"/>
            <w:tcBorders>
              <w:top w:val="single" w:color="CBD5E0" w:sz="1"/>
              <w:left w:val="single" w:color="CBD5E0" w:sz="1"/>
              <w:bottom w:val="single" w:color="CBD5E0" w:sz="1"/>
              <w:right w:val="single" w:color="CBD5E0" w:sz="1"/>
            </w:tcBorders>
            <w:shd w:fill="EDF2F7" w:val="clear"/>
            <w:tcMar>
              <w:top w:type="dxa" w:w="80"/>
              <w:left w:type="dxa" w:w="120"/>
              <w:bottom w:type="dxa" w:w="80"/>
              <w:right w:type="dxa" w:w="120"/>
            </w:tcMar>
          </w:tcPr>
          <w:p>
            <w:r>
              <w:rPr>
                <w:rFonts w:ascii="Arial" w:cs="Arial" w:eastAsia="Arial" w:hAnsi="Arial"/>
                <w:sz w:val="20"/>
                <w:szCs w:val="20"/>
              </w:rPr>
              <w:t xml:space="preserve">cisuat03.racami.com</w:t>
            </w:r>
          </w:p>
        </w:tc>
        <w:tc>
          <w:tcPr>
            <w:tcW w:type="dxa" w:w="1500"/>
            <w:tcBorders>
              <w:top w:val="single" w:color="CBD5E0" w:sz="1"/>
              <w:left w:val="single" w:color="CBD5E0" w:sz="1"/>
              <w:bottom w:val="single" w:color="CBD5E0" w:sz="1"/>
              <w:right w:val="single" w:color="CBD5E0" w:sz="1"/>
            </w:tcBorders>
            <w:shd w:fill="EDF2F7" w:val="clear"/>
            <w:tcMar>
              <w:top w:type="dxa" w:w="80"/>
              <w:left w:type="dxa" w:w="120"/>
              <w:bottom w:type="dxa" w:w="80"/>
              <w:right w:type="dxa" w:w="120"/>
            </w:tcMar>
          </w:tcPr>
          <w:p>
            <w:r>
              <w:rPr>
                <w:rFonts w:ascii="Arial" w:cs="Arial" w:eastAsia="Arial" w:hAnsi="Arial"/>
                <w:sz w:val="20"/>
                <w:szCs w:val="20"/>
              </w:rPr>
              <w:t xml:space="preserve">UAT</w:t>
            </w:r>
          </w:p>
        </w:tc>
        <w:tc>
          <w:tcPr>
            <w:tcW w:type="dxa" w:w="1300"/>
            <w:tcBorders>
              <w:top w:val="single" w:color="CBD5E0" w:sz="1"/>
              <w:left w:val="single" w:color="CBD5E0" w:sz="1"/>
              <w:bottom w:val="single" w:color="CBD5E0" w:sz="1"/>
              <w:right w:val="single" w:color="CBD5E0" w:sz="1"/>
            </w:tcBorders>
            <w:shd w:fill="EDF2F7" w:val="clear"/>
            <w:tcMar>
              <w:top w:type="dxa" w:w="80"/>
              <w:left w:type="dxa" w:w="120"/>
              <w:bottom w:type="dxa" w:w="80"/>
              <w:right w:type="dxa" w:w="120"/>
            </w:tcMar>
          </w:tcPr>
          <w:p>
            <w:r>
              <w:rPr>
                <w:rFonts w:ascii="Arial" w:cs="Arial" w:eastAsia="Arial" w:hAnsi="Arial"/>
                <w:b/>
                <w:bCs/>
                <w:color w:val="DD6B20"/>
                <w:sz w:val="20"/>
                <w:szCs w:val="20"/>
              </w:rPr>
              <w:t xml:space="preserve">HIGH</w:t>
            </w:r>
          </w:p>
        </w:tc>
        <w:tc>
          <w:tcPr>
            <w:tcW w:type="dxa" w:w="3360"/>
            <w:tcBorders>
              <w:top w:val="single" w:color="CBD5E0" w:sz="1"/>
              <w:left w:val="single" w:color="CBD5E0" w:sz="1"/>
              <w:bottom w:val="single" w:color="CBD5E0" w:sz="1"/>
              <w:right w:val="single" w:color="CBD5E0" w:sz="1"/>
            </w:tcBorders>
            <w:shd w:fill="EDF2F7" w:val="clear"/>
            <w:tcMar>
              <w:top w:type="dxa" w:w="80"/>
              <w:left w:type="dxa" w:w="120"/>
              <w:bottom w:type="dxa" w:w="80"/>
              <w:right w:type="dxa" w:w="120"/>
            </w:tcMar>
          </w:tcPr>
          <w:p>
            <w:r>
              <w:rPr>
                <w:rFonts w:ascii="Arial" w:cs="Arial" w:eastAsia="Arial" w:hAnsi="Arial"/>
                <w:sz w:val="20"/>
                <w:szCs w:val="20"/>
              </w:rPr>
              <w:t xml:space="preserve">Client-facing testing environment</w:t>
            </w:r>
          </w:p>
        </w:tc>
      </w:tr>
      <w:tr>
        <w:tc>
          <w:tcPr>
            <w:tcW w:type="dxa" w:w="3200"/>
            <w:tcBorders>
              <w:top w:val="single" w:color="CBD5E0" w:sz="1"/>
              <w:left w:val="single" w:color="CBD5E0" w:sz="1"/>
              <w:bottom w:val="single" w:color="CBD5E0" w:sz="1"/>
              <w:right w:val="single" w:color="CBD5E0" w:sz="1"/>
            </w:tcBorders>
            <w:tcMar>
              <w:top w:type="dxa" w:w="80"/>
              <w:left w:type="dxa" w:w="120"/>
              <w:bottom w:type="dxa" w:w="80"/>
              <w:right w:type="dxa" w:w="120"/>
            </w:tcMar>
          </w:tcPr>
          <w:p>
            <w:r>
              <w:rPr>
                <w:rFonts w:ascii="Arial" w:cs="Arial" w:eastAsia="Arial" w:hAnsi="Arial"/>
                <w:sz w:val="20"/>
                <w:szCs w:val="20"/>
              </w:rPr>
              <w:t xml:space="preserve">cisqa01–05.racami.com</w:t>
            </w:r>
          </w:p>
        </w:tc>
        <w:tc>
          <w:tcPr>
            <w:tcW w:type="dxa" w:w="1500"/>
            <w:tcBorders>
              <w:top w:val="single" w:color="CBD5E0" w:sz="1"/>
              <w:left w:val="single" w:color="CBD5E0" w:sz="1"/>
              <w:bottom w:val="single" w:color="CBD5E0" w:sz="1"/>
              <w:right w:val="single" w:color="CBD5E0" w:sz="1"/>
            </w:tcBorders>
            <w:tcMar>
              <w:top w:type="dxa" w:w="80"/>
              <w:left w:type="dxa" w:w="120"/>
              <w:bottom w:type="dxa" w:w="80"/>
              <w:right w:type="dxa" w:w="120"/>
            </w:tcMar>
          </w:tcPr>
          <w:p>
            <w:r>
              <w:rPr>
                <w:rFonts w:ascii="Arial" w:cs="Arial" w:eastAsia="Arial" w:hAnsi="Arial"/>
                <w:sz w:val="20"/>
                <w:szCs w:val="20"/>
              </w:rPr>
              <w:t xml:space="preserve">QA</w:t>
            </w:r>
          </w:p>
        </w:tc>
        <w:tc>
          <w:tcPr>
            <w:tcW w:type="dxa" w:w="1300"/>
            <w:tcBorders>
              <w:top w:val="single" w:color="CBD5E0" w:sz="1"/>
              <w:left w:val="single" w:color="CBD5E0" w:sz="1"/>
              <w:bottom w:val="single" w:color="CBD5E0" w:sz="1"/>
              <w:right w:val="single" w:color="CBD5E0" w:sz="1"/>
            </w:tcBorders>
            <w:tcMar>
              <w:top w:type="dxa" w:w="80"/>
              <w:left w:type="dxa" w:w="120"/>
              <w:bottom w:type="dxa" w:w="80"/>
              <w:right w:type="dxa" w:w="120"/>
            </w:tcMar>
          </w:tcPr>
          <w:p>
            <w:r>
              <w:rPr>
                <w:rFonts w:ascii="Arial" w:cs="Arial" w:eastAsia="Arial" w:hAnsi="Arial"/>
                <w:b/>
                <w:bCs/>
                <w:color w:val="DD6B20"/>
                <w:sz w:val="20"/>
                <w:szCs w:val="20"/>
              </w:rPr>
              <w:t xml:space="preserve">HIGH</w:t>
            </w:r>
          </w:p>
        </w:tc>
        <w:tc>
          <w:tcPr>
            <w:tcW w:type="dxa" w:w="3360"/>
            <w:tcBorders>
              <w:top w:val="single" w:color="CBD5E0" w:sz="1"/>
              <w:left w:val="single" w:color="CBD5E0" w:sz="1"/>
              <w:bottom w:val="single" w:color="CBD5E0" w:sz="1"/>
              <w:right w:val="single" w:color="CBD5E0" w:sz="1"/>
            </w:tcBorders>
            <w:tcMar>
              <w:top w:type="dxa" w:w="80"/>
              <w:left w:type="dxa" w:w="120"/>
              <w:bottom w:type="dxa" w:w="80"/>
              <w:right w:type="dxa" w:w="120"/>
            </w:tcMar>
          </w:tcPr>
          <w:p>
            <w:r>
              <w:rPr>
                <w:rFonts w:ascii="Arial" w:cs="Arial" w:eastAsia="Arial" w:hAnsi="Arial"/>
                <w:sz w:val="20"/>
                <w:szCs w:val="20"/>
              </w:rPr>
              <w:t xml:space="preserve">Internal testing; QA04/QA02 show client paths</w:t>
            </w:r>
          </w:p>
        </w:tc>
      </w:tr>
      <w:tr>
        <w:tc>
          <w:tcPr>
            <w:tcW w:type="dxa" w:w="3200"/>
            <w:tcBorders>
              <w:top w:val="single" w:color="CBD5E0" w:sz="1"/>
              <w:left w:val="single" w:color="CBD5E0" w:sz="1"/>
              <w:bottom w:val="single" w:color="CBD5E0" w:sz="1"/>
              <w:right w:val="single" w:color="CBD5E0" w:sz="1"/>
            </w:tcBorders>
            <w:shd w:fill="EDF2F7" w:val="clear"/>
            <w:tcMar>
              <w:top w:type="dxa" w:w="80"/>
              <w:left w:type="dxa" w:w="120"/>
              <w:bottom w:type="dxa" w:w="80"/>
              <w:right w:type="dxa" w:w="120"/>
            </w:tcMar>
          </w:tcPr>
          <w:p>
            <w:r>
              <w:rPr>
                <w:rFonts w:ascii="Arial" w:cs="Arial" w:eastAsia="Arial" w:hAnsi="Arial"/>
                <w:sz w:val="20"/>
                <w:szCs w:val="20"/>
              </w:rPr>
              <w:t xml:space="preserve">git.racami.com</w:t>
            </w:r>
          </w:p>
        </w:tc>
        <w:tc>
          <w:tcPr>
            <w:tcW w:type="dxa" w:w="1500"/>
            <w:tcBorders>
              <w:top w:val="single" w:color="CBD5E0" w:sz="1"/>
              <w:left w:val="single" w:color="CBD5E0" w:sz="1"/>
              <w:bottom w:val="single" w:color="CBD5E0" w:sz="1"/>
              <w:right w:val="single" w:color="CBD5E0" w:sz="1"/>
            </w:tcBorders>
            <w:shd w:fill="EDF2F7" w:val="clear"/>
            <w:tcMar>
              <w:top w:type="dxa" w:w="80"/>
              <w:left w:type="dxa" w:w="120"/>
              <w:bottom w:type="dxa" w:w="80"/>
              <w:right w:type="dxa" w:w="120"/>
            </w:tcMar>
          </w:tcPr>
          <w:p>
            <w:r>
              <w:rPr>
                <w:rFonts w:ascii="Arial" w:cs="Arial" w:eastAsia="Arial" w:hAnsi="Arial"/>
                <w:sz w:val="20"/>
                <w:szCs w:val="20"/>
              </w:rPr>
              <w:t xml:space="preserve">DevOps</w:t>
            </w:r>
          </w:p>
        </w:tc>
        <w:tc>
          <w:tcPr>
            <w:tcW w:type="dxa" w:w="1300"/>
            <w:tcBorders>
              <w:top w:val="single" w:color="CBD5E0" w:sz="1"/>
              <w:left w:val="single" w:color="CBD5E0" w:sz="1"/>
              <w:bottom w:val="single" w:color="CBD5E0" w:sz="1"/>
              <w:right w:val="single" w:color="CBD5E0" w:sz="1"/>
            </w:tcBorders>
            <w:shd w:fill="EDF2F7" w:val="clear"/>
            <w:tcMar>
              <w:top w:type="dxa" w:w="80"/>
              <w:left w:type="dxa" w:w="120"/>
              <w:bottom w:type="dxa" w:w="80"/>
              <w:right w:type="dxa" w:w="120"/>
            </w:tcMar>
          </w:tcPr>
          <w:p>
            <w:r>
              <w:rPr>
                <w:rFonts w:ascii="Arial" w:cs="Arial" w:eastAsia="Arial" w:hAnsi="Arial"/>
                <w:b/>
                <w:bCs/>
                <w:color w:val="C53030"/>
                <w:sz w:val="20"/>
                <w:szCs w:val="20"/>
              </w:rPr>
              <w:t xml:space="preserve">CRITICAL</w:t>
            </w:r>
          </w:p>
        </w:tc>
        <w:tc>
          <w:tcPr>
            <w:tcW w:type="dxa" w:w="3360"/>
            <w:tcBorders>
              <w:top w:val="single" w:color="CBD5E0" w:sz="1"/>
              <w:left w:val="single" w:color="CBD5E0" w:sz="1"/>
              <w:bottom w:val="single" w:color="CBD5E0" w:sz="1"/>
              <w:right w:val="single" w:color="CBD5E0" w:sz="1"/>
            </w:tcBorders>
            <w:shd w:fill="EDF2F7" w:val="clear"/>
            <w:tcMar>
              <w:top w:type="dxa" w:w="80"/>
              <w:left w:type="dxa" w:w="120"/>
              <w:bottom w:type="dxa" w:w="80"/>
              <w:right w:type="dxa" w:w="120"/>
            </w:tcMar>
          </w:tcPr>
          <w:p>
            <w:r>
              <w:rPr>
                <w:rFonts w:ascii="Arial" w:cs="Arial" w:eastAsia="Arial" w:hAnsi="Arial"/>
                <w:sz w:val="20"/>
                <w:szCs w:val="20"/>
              </w:rPr>
              <w:t xml:space="preserve">Self-hosted GitLab (code repository)</w:t>
            </w:r>
          </w:p>
        </w:tc>
      </w:tr>
      <w:tr>
        <w:tc>
          <w:tcPr>
            <w:tcW w:type="dxa" w:w="3200"/>
            <w:tcBorders>
              <w:top w:val="single" w:color="CBD5E0" w:sz="1"/>
              <w:left w:val="single" w:color="CBD5E0" w:sz="1"/>
              <w:bottom w:val="single" w:color="CBD5E0" w:sz="1"/>
              <w:right w:val="single" w:color="CBD5E0" w:sz="1"/>
            </w:tcBorders>
            <w:tcMar>
              <w:top w:type="dxa" w:w="80"/>
              <w:left w:type="dxa" w:w="120"/>
              <w:bottom w:type="dxa" w:w="80"/>
              <w:right w:type="dxa" w:w="120"/>
            </w:tcMar>
          </w:tcPr>
          <w:p>
            <w:r>
              <w:rPr>
                <w:rFonts w:ascii="Arial" w:cs="Arial" w:eastAsia="Arial" w:hAnsi="Arial"/>
                <w:sz w:val="20"/>
                <w:szCs w:val="20"/>
              </w:rPr>
              <w:t xml:space="preserve">work.racami.com</w:t>
            </w:r>
          </w:p>
        </w:tc>
        <w:tc>
          <w:tcPr>
            <w:tcW w:type="dxa" w:w="1500"/>
            <w:tcBorders>
              <w:top w:val="single" w:color="CBD5E0" w:sz="1"/>
              <w:left w:val="single" w:color="CBD5E0" w:sz="1"/>
              <w:bottom w:val="single" w:color="CBD5E0" w:sz="1"/>
              <w:right w:val="single" w:color="CBD5E0" w:sz="1"/>
            </w:tcBorders>
            <w:tcMar>
              <w:top w:type="dxa" w:w="80"/>
              <w:left w:type="dxa" w:w="120"/>
              <w:bottom w:type="dxa" w:w="80"/>
              <w:right w:type="dxa" w:w="120"/>
            </w:tcMar>
          </w:tcPr>
          <w:p>
            <w:r>
              <w:rPr>
                <w:rFonts w:ascii="Arial" w:cs="Arial" w:eastAsia="Arial" w:hAnsi="Arial"/>
                <w:sz w:val="20"/>
                <w:szCs w:val="20"/>
              </w:rPr>
              <w:t xml:space="preserve">Management</w:t>
            </w:r>
          </w:p>
        </w:tc>
        <w:tc>
          <w:tcPr>
            <w:tcW w:type="dxa" w:w="1300"/>
            <w:tcBorders>
              <w:top w:val="single" w:color="CBD5E0" w:sz="1"/>
              <w:left w:val="single" w:color="CBD5E0" w:sz="1"/>
              <w:bottom w:val="single" w:color="CBD5E0" w:sz="1"/>
              <w:right w:val="single" w:color="CBD5E0" w:sz="1"/>
            </w:tcBorders>
            <w:tcMar>
              <w:top w:type="dxa" w:w="80"/>
              <w:left w:type="dxa" w:w="120"/>
              <w:bottom w:type="dxa" w:w="80"/>
              <w:right w:type="dxa" w:w="120"/>
            </w:tcMar>
          </w:tcPr>
          <w:p>
            <w:r>
              <w:rPr>
                <w:rFonts w:ascii="Arial" w:cs="Arial" w:eastAsia="Arial" w:hAnsi="Arial"/>
                <w:b/>
                <w:bCs/>
                <w:color w:val="C53030"/>
                <w:sz w:val="20"/>
                <w:szCs w:val="20"/>
              </w:rPr>
              <w:t xml:space="preserve">CRITICAL</w:t>
            </w:r>
          </w:p>
        </w:tc>
        <w:tc>
          <w:tcPr>
            <w:tcW w:type="dxa" w:w="3360"/>
            <w:tcBorders>
              <w:top w:val="single" w:color="CBD5E0" w:sz="1"/>
              <w:left w:val="single" w:color="CBD5E0" w:sz="1"/>
              <w:bottom w:val="single" w:color="CBD5E0" w:sz="1"/>
              <w:right w:val="single" w:color="CBD5E0" w:sz="1"/>
            </w:tcBorders>
            <w:tcMar>
              <w:top w:type="dxa" w:w="80"/>
              <w:left w:type="dxa" w:w="120"/>
              <w:bottom w:type="dxa" w:w="80"/>
              <w:right w:type="dxa" w:w="120"/>
            </w:tcMar>
          </w:tcPr>
          <w:p>
            <w:r>
              <w:rPr>
                <w:rFonts w:ascii="Arial" w:cs="Arial" w:eastAsia="Arial" w:hAnsi="Arial"/>
                <w:sz w:val="20"/>
                <w:szCs w:val="20"/>
              </w:rPr>
              <w:t xml:space="preserve">Atlassian Jira (project tracking) — HellCat entry point</w:t>
            </w:r>
          </w:p>
        </w:tc>
      </w:tr>
    </w:tbl>
    <w:p>
      <w:pPr>
        <w:pStyle w:val="Heading1"/>
        <w:spacing w:before="360" w:after="200"/>
      </w:pPr>
      <w:r>
        <w:rPr>
          <w:rFonts w:ascii="Arial" w:cs="Arial" w:eastAsia="Arial" w:hAnsi="Arial"/>
          <w:b/>
          <w:bCs/>
          <w:color w:val="1B2A4A"/>
          <w:sz w:val="32"/>
          <w:szCs w:val="32"/>
        </w:rPr>
        <w:t xml:space="preserve">4. Cybersecurity Observations and Risks</w:t>
      </w:r>
    </w:p>
    <w:p>
      <w:pPr>
        <w:pStyle w:val="Heading2"/>
        <w:spacing w:before="280" w:after="160"/>
      </w:pPr>
      <w:r>
        <w:rPr>
          <w:rFonts w:ascii="Arial" w:cs="Arial" w:eastAsia="Arial" w:hAnsi="Arial"/>
          <w:b/>
          <w:bCs/>
          <w:color w:val="2E86AB"/>
          <w:sz w:val="26"/>
          <w:szCs w:val="26"/>
        </w:rPr>
        <w:t xml:space="preserve">4.1 Attack Surface Exposure</w:t>
      </w:r>
    </w:p>
    <w:p>
      <w:pPr>
        <w:spacing w:after="120"/>
      </w:pPr>
      <w:r>
        <w:rPr>
          <w:rFonts w:ascii="Arial" w:cs="Arial" w:eastAsia="Arial" w:hAnsi="Arial"/>
          <w:sz w:val="22"/>
          <w:szCs w:val="22"/>
        </w:rPr>
        <w:t xml:space="preserve">The QA, Staging, and UAT environments are publicly resolvable on the internet, significantly expanding the attack surface. Best practice dictates these environments should be restricted to company IP ranges or accessed exclusively via VPN. Non-production environments frequently run debug modes or unpatched code not yet ready for production, making them softer targets for exploitation.</w:t>
      </w:r>
    </w:p>
    <w:p>
      <w:pPr>
        <w:pStyle w:val="Heading2"/>
        <w:spacing w:before="280" w:after="160"/>
      </w:pPr>
      <w:r>
        <w:rPr>
          <w:rFonts w:ascii="Arial" w:cs="Arial" w:eastAsia="Arial" w:hAnsi="Arial"/>
          <w:b/>
          <w:bCs/>
          <w:color w:val="2E86AB"/>
          <w:sz w:val="26"/>
          <w:szCs w:val="26"/>
        </w:rPr>
        <w:t xml:space="preserve">4.2 Information Leakage (Client Names)</w:t>
      </w:r>
    </w:p>
    <w:p>
      <w:pPr>
        <w:spacing w:after="120"/>
      </w:pPr>
      <w:r>
        <w:rPr>
          <w:rFonts w:ascii="Arial" w:cs="Arial" w:eastAsia="Arial" w:hAnsi="Arial"/>
          <w:sz w:val="22"/>
          <w:szCs w:val="22"/>
        </w:rPr>
        <w:t xml:space="preserve">The URL paths /login/chen%20co and /login/pay+ reveal client names or test client identifiers. In the competitive Customer Communications Management market, this represents information leakage that could be leveraged for social engineering, competitive intelligence gathering, or targeted phishing campaigns against Racami’s clients.</w:t>
      </w:r>
    </w:p>
    <w:p>
      <w:pPr>
        <w:pStyle w:val="Heading2"/>
        <w:spacing w:before="280" w:after="160"/>
      </w:pPr>
      <w:r>
        <w:rPr>
          <w:rFonts w:ascii="Arial" w:cs="Arial" w:eastAsia="Arial" w:hAnsi="Arial"/>
          <w:b/>
          <w:bCs/>
          <w:color w:val="2E86AB"/>
          <w:sz w:val="26"/>
          <w:szCs w:val="26"/>
        </w:rPr>
        <w:t xml:space="preserve">4.3 High-Value Targets</w:t>
      </w:r>
    </w:p>
    <w:p>
      <w:pPr>
        <w:spacing w:after="120"/>
      </w:pPr>
      <w:r>
        <w:rPr>
          <w:rFonts w:ascii="Arial" w:cs="Arial" w:eastAsia="Arial" w:hAnsi="Arial"/>
          <w:b/>
          <w:bCs/>
          <w:sz w:val="22"/>
          <w:szCs w:val="22"/>
        </w:rPr>
        <w:t xml:space="preserve">GitLab (git.racami.com) — Tier-0 Asset: </w:t>
      </w:r>
      <w:r>
        <w:rPr>
          <w:rFonts w:ascii="Arial" w:cs="Arial" w:eastAsia="Arial" w:hAnsi="Arial"/>
          <w:sz w:val="22"/>
          <w:szCs w:val="22"/>
        </w:rPr>
        <w:t xml:space="preserve">Compromise of this system would enable an attacker to inject malicious code into the Alchem-e platform, leading to a supply-chain attack affecting all downstream customers across financial services, healthcare, and insurance sectors.</w:t>
      </w:r>
    </w:p>
    <w:p>
      <w:pPr>
        <w:spacing w:after="120"/>
      </w:pPr>
      <w:r>
        <w:rPr>
          <w:rFonts w:ascii="Arial" w:cs="Arial" w:eastAsia="Arial" w:hAnsi="Arial"/>
          <w:b/>
          <w:bCs/>
          <w:sz w:val="22"/>
          <w:szCs w:val="22"/>
        </w:rPr>
        <w:t xml:space="preserve">Jira (work.racami.com) — Tier-0 Asset: </w:t>
      </w:r>
      <w:r>
        <w:rPr>
          <w:rFonts w:ascii="Arial" w:cs="Arial" w:eastAsia="Arial" w:hAnsi="Arial"/>
          <w:sz w:val="22"/>
          <w:szCs w:val="22"/>
        </w:rPr>
        <w:t xml:space="preserve">Jira instances typically contain sensitive information about unpatched software vulnerabilities, internal network documentation, authentication workflows, and sprint planning data. HellCat’s exploitation of this exact system in April 2025 using the stolen credentials from this stealer log validates this risk assessment.</w:t>
      </w:r>
    </w:p>
    <w:p>
      <w:pPr>
        <w:pStyle w:val="Heading2"/>
        <w:spacing w:before="280" w:after="160"/>
      </w:pPr>
      <w:r>
        <w:rPr>
          <w:rFonts w:ascii="Arial" w:cs="Arial" w:eastAsia="Arial" w:hAnsi="Arial"/>
          <w:b/>
          <w:bCs/>
          <w:color w:val="2E86AB"/>
          <w:sz w:val="26"/>
          <w:szCs w:val="26"/>
        </w:rPr>
        <w:t xml:space="preserve">4.4 Technology Stack (Inferred)</w:t>
      </w:r>
    </w:p>
    <w:p>
      <w:pPr>
        <w:pStyle w:val="ListParagraph"/>
        <w:numPr>
          <w:ilvl w:val="0"/>
          <w:numId w:val="2"/>
        </w:numPr>
        <w:spacing w:after="80"/>
      </w:pPr>
      <w:r>
        <w:rPr>
          <w:rFonts w:ascii="Arial" w:cs="Arial" w:eastAsia="Arial" w:hAnsi="Arial"/>
          <w:b/>
          <w:bCs/>
          <w:sz w:val="22"/>
          <w:szCs w:val="22"/>
        </w:rPr>
        <w:t xml:space="preserve">Web Server: </w:t>
      </w:r>
      <w:r>
        <w:rPr>
          <w:rFonts w:ascii="Arial" w:cs="Arial" w:eastAsia="Arial" w:hAnsi="Arial"/>
          <w:sz w:val="22"/>
          <w:szCs w:val="22"/>
        </w:rPr>
        <w:t xml:space="preserve">Likely Apache or Nginx (reverse proxy)</w:t>
      </w:r>
    </w:p>
    <w:p>
      <w:pPr>
        <w:pStyle w:val="ListParagraph"/>
        <w:numPr>
          <w:ilvl w:val="0"/>
          <w:numId w:val="2"/>
        </w:numPr>
        <w:spacing w:after="80"/>
      </w:pPr>
      <w:r>
        <w:rPr>
          <w:rFonts w:ascii="Arial" w:cs="Arial" w:eastAsia="Arial" w:hAnsi="Arial"/>
          <w:b/>
          <w:bCs/>
          <w:sz w:val="22"/>
          <w:szCs w:val="22"/>
        </w:rPr>
        <w:t xml:space="preserve">Backend: </w:t>
      </w:r>
      <w:r>
        <w:rPr>
          <w:rFonts w:ascii="Arial" w:cs="Arial" w:eastAsia="Arial" w:hAnsi="Arial"/>
          <w:sz w:val="22"/>
          <w:szCs w:val="22"/>
        </w:rPr>
        <w:t xml:space="preserve">Java technologies (indicated by .jspa extension and CCM architecture patterns)</w:t>
      </w:r>
    </w:p>
    <w:p>
      <w:pPr>
        <w:pStyle w:val="ListParagraph"/>
        <w:numPr>
          <w:ilvl w:val="0"/>
          <w:numId w:val="2"/>
        </w:numPr>
        <w:spacing w:after="80"/>
      </w:pPr>
      <w:r>
        <w:rPr>
          <w:rFonts w:ascii="Arial" w:cs="Arial" w:eastAsia="Arial" w:hAnsi="Arial"/>
          <w:b/>
          <w:bCs/>
          <w:sz w:val="22"/>
          <w:szCs w:val="22"/>
        </w:rPr>
        <w:t xml:space="preserve">Authentication: </w:t>
      </w:r>
      <w:r>
        <w:rPr>
          <w:rFonts w:ascii="Arial" w:cs="Arial" w:eastAsia="Arial" w:hAnsi="Arial"/>
          <w:sz w:val="22"/>
          <w:szCs w:val="22"/>
        </w:rPr>
        <w:t xml:space="preserve">Login portals likely hook into LDAP or Active Directory for internal users; clients use local DB or SSO</w:t>
      </w:r>
    </w:p>
    <w:p>
      <w:pPr>
        <w:pStyle w:val="ListParagraph"/>
        <w:numPr>
          <w:ilvl w:val="0"/>
          <w:numId w:val="2"/>
        </w:numPr>
        <w:spacing w:after="120"/>
      </w:pPr>
      <w:r>
        <w:rPr>
          <w:rFonts w:ascii="Arial" w:cs="Arial" w:eastAsia="Arial" w:hAnsi="Arial"/>
          <w:b/>
          <w:bCs/>
          <w:sz w:val="22"/>
          <w:szCs w:val="22"/>
        </w:rPr>
        <w:t xml:space="preserve">Multi-Tenancy: </w:t>
      </w:r>
      <w:r>
        <w:rPr>
          <w:rFonts w:ascii="Arial" w:cs="Arial" w:eastAsia="Arial" w:hAnsi="Arial"/>
          <w:sz w:val="22"/>
          <w:szCs w:val="22"/>
        </w:rPr>
        <w:t xml:space="preserve">URL-path-based tenant isolation (client-specific login endpoints)</w:t>
      </w:r>
    </w:p>
    <w:p>
      <w:pPr>
        <w:pStyle w:val="Heading1"/>
        <w:spacing w:before="360" w:after="200"/>
      </w:pPr>
      <w:r>
        <w:rPr>
          <w:rFonts w:ascii="Arial" w:cs="Arial" w:eastAsia="Arial" w:hAnsi="Arial"/>
          <w:b/>
          <w:bCs/>
          <w:color w:val="1B2A4A"/>
          <w:sz w:val="32"/>
          <w:szCs w:val="32"/>
        </w:rPr>
        <w:t xml:space="preserve">5. Recommendations</w:t>
      </w:r>
    </w:p>
    <w:p>
      <w:pPr>
        <w:pStyle w:val="ListParagraph"/>
        <w:numPr>
          <w:ilvl w:val="0"/>
          <w:numId w:val="3"/>
        </w:numPr>
        <w:spacing w:after="100"/>
      </w:pPr>
      <w:r>
        <w:rPr>
          <w:rFonts w:ascii="Arial" w:cs="Arial" w:eastAsia="Arial" w:hAnsi="Arial"/>
          <w:b/>
          <w:bCs/>
          <w:sz w:val="22"/>
          <w:szCs w:val="22"/>
        </w:rPr>
        <w:t xml:space="preserve">Restrict non-production environments </w:t>
      </w:r>
      <w:r>
        <w:rPr>
          <w:rFonts w:ascii="Arial" w:cs="Arial" w:eastAsia="Arial" w:hAnsi="Arial"/>
          <w:sz w:val="22"/>
          <w:szCs w:val="22"/>
        </w:rPr>
        <w:t xml:space="preserve">(QA, STG, UAT) to internal IP ranges or VPN-only access immediately.</w:t>
      </w:r>
    </w:p>
    <w:p>
      <w:pPr>
        <w:pStyle w:val="ListParagraph"/>
        <w:numPr>
          <w:ilvl w:val="0"/>
          <w:numId w:val="3"/>
        </w:numPr>
        <w:spacing w:after="100"/>
      </w:pPr>
      <w:r>
        <w:rPr>
          <w:rFonts w:ascii="Arial" w:cs="Arial" w:eastAsia="Arial" w:hAnsi="Arial"/>
          <w:b/>
          <w:bCs/>
          <w:sz w:val="22"/>
          <w:szCs w:val="22"/>
        </w:rPr>
        <w:t xml:space="preserve">Enforce MFA on git.racami.com </w:t>
      </w:r>
      <w:r>
        <w:rPr>
          <w:rFonts w:ascii="Arial" w:cs="Arial" w:eastAsia="Arial" w:hAnsi="Arial"/>
          <w:sz w:val="22"/>
          <w:szCs w:val="22"/>
        </w:rPr>
        <w:t xml:space="preserve">given its role as the source code repository and supply-chain attack vector.</w:t>
      </w:r>
    </w:p>
    <w:p>
      <w:pPr>
        <w:pStyle w:val="ListParagraph"/>
        <w:numPr>
          <w:ilvl w:val="0"/>
          <w:numId w:val="3"/>
        </w:numPr>
        <w:spacing w:after="100"/>
      </w:pPr>
      <w:r>
        <w:rPr>
          <w:rFonts w:ascii="Arial" w:cs="Arial" w:eastAsia="Arial" w:hAnsi="Arial"/>
          <w:b/>
          <w:bCs/>
          <w:sz w:val="22"/>
          <w:szCs w:val="22"/>
        </w:rPr>
        <w:t xml:space="preserve">Eliminate superadmin credential reuse </w:t>
      </w:r>
      <w:r>
        <w:rPr>
          <w:rFonts w:ascii="Arial" w:cs="Arial" w:eastAsia="Arial" w:hAnsi="Arial"/>
          <w:sz w:val="22"/>
          <w:szCs w:val="22"/>
        </w:rPr>
        <w:t xml:space="preserve">across all 9 CIS environments with unique, per-environment service accounts.</w:t>
      </w:r>
    </w:p>
    <w:p>
      <w:pPr>
        <w:pStyle w:val="ListParagraph"/>
        <w:numPr>
          <w:ilvl w:val="0"/>
          <w:numId w:val="3"/>
        </w:numPr>
        <w:spacing w:after="100"/>
      </w:pPr>
      <w:r>
        <w:rPr>
          <w:rFonts w:ascii="Arial" w:cs="Arial" w:eastAsia="Arial" w:hAnsi="Arial"/>
          <w:b/>
          <w:bCs/>
          <w:sz w:val="22"/>
          <w:szCs w:val="22"/>
        </w:rPr>
        <w:t xml:space="preserve">Remove client identifiers from URL paths </w:t>
      </w:r>
      <w:r>
        <w:rPr>
          <w:rFonts w:ascii="Arial" w:cs="Arial" w:eastAsia="Arial" w:hAnsi="Arial"/>
          <w:sz w:val="22"/>
          <w:szCs w:val="22"/>
        </w:rPr>
        <w:t xml:space="preserve">to prevent information leakage and social engineering targeting.</w:t>
      </w:r>
    </w:p>
    <w:p>
      <w:pPr>
        <w:pStyle w:val="ListParagraph"/>
        <w:numPr>
          <w:ilvl w:val="0"/>
          <w:numId w:val="3"/>
        </w:numPr>
        <w:spacing w:after="100"/>
      </w:pPr>
      <w:r>
        <w:rPr>
          <w:rFonts w:ascii="Arial" w:cs="Arial" w:eastAsia="Arial" w:hAnsi="Arial"/>
          <w:b/>
          <w:bCs/>
          <w:sz w:val="22"/>
          <w:szCs w:val="22"/>
        </w:rPr>
        <w:t xml:space="preserve">Implement credential rotation policy </w:t>
      </w:r>
      <w:r>
        <w:rPr>
          <w:rFonts w:ascii="Arial" w:cs="Arial" w:eastAsia="Arial" w:hAnsi="Arial"/>
          <w:sz w:val="22"/>
          <w:szCs w:val="22"/>
        </w:rPr>
        <w:t xml:space="preserve">with a maximum 90-day lifetime for all privileged accounts to prevent the 29-month dwell scenario.</w:t>
      </w:r>
    </w:p>
    <w:p>
      <w:r>
        <w:br w:type="page"/>
      </w:r>
    </w:p>
    <w:p>
      <w:pPr>
        <w:pStyle w:val="Heading1"/>
        <w:spacing w:before="360" w:after="200"/>
      </w:pPr>
      <w:r>
        <w:rPr>
          <w:rFonts w:ascii="Arial" w:cs="Arial" w:eastAsia="Arial" w:hAnsi="Arial"/>
          <w:b/>
          <w:bCs/>
          <w:color w:val="1B2A4A"/>
          <w:sz w:val="32"/>
          <w:szCs w:val="32"/>
        </w:rPr>
        <w:t xml:space="preserve">References</w:t>
      </w:r>
    </w:p>
    <w:p>
      <w:pPr>
        <w:pStyle w:val="ListParagraph"/>
        <w:numPr>
          <w:ilvl w:val="0"/>
          <w:numId w:val="3"/>
        </w:numPr>
        <w:spacing w:after="80"/>
      </w:pPr>
      <w:r>
        <w:rPr>
          <w:rFonts w:ascii="Arial" w:cs="Arial" w:eastAsia="Arial" w:hAnsi="Arial"/>
          <w:sz w:val="20"/>
          <w:szCs w:val="20"/>
        </w:rPr>
        <w:t xml:space="preserve">Hudson Rock / Cavalier Platform. Stealer Log GH[984304A1DB022880654C9054CBD33F2D] — racami.com. 13 credential pairs. RedLine Stealer.</w:t>
      </w:r>
    </w:p>
    <w:p>
      <w:pPr>
        <w:pStyle w:val="ListParagraph"/>
        <w:numPr>
          <w:ilvl w:val="0"/>
          <w:numId w:val="3"/>
        </w:numPr>
        <w:spacing w:after="80"/>
      </w:pPr>
      <w:r>
        <w:rPr>
          <w:rFonts w:ascii="Arial" w:cs="Arial" w:eastAsia="Arial" w:hAnsi="Arial"/>
          <w:sz w:val="20"/>
          <w:szCs w:val="20"/>
        </w:rPr>
        <w:t xml:space="preserve">Hudson Rock / InfoStealers.com. “HellCat Ransomware Group Strikes Again.” April 5, 2025.</w:t>
      </w:r>
    </w:p>
    <w:p>
      <w:pPr>
        <w:pStyle w:val="ListParagraph"/>
        <w:numPr>
          <w:ilvl w:val="0"/>
          <w:numId w:val="3"/>
        </w:numPr>
        <w:spacing w:after="80"/>
      </w:pPr>
      <w:r>
        <w:rPr>
          <w:rFonts w:ascii="Arial" w:cs="Arial" w:eastAsia="Arial" w:hAnsi="Arial"/>
          <w:sz w:val="20"/>
          <w:szCs w:val="20"/>
        </w:rPr>
        <w:t xml:space="preserve">BleepingComputer. “HellCat hackers go on a worldwide Jira hacking spree.” March 20, 2025.</w:t>
      </w:r>
    </w:p>
    <w:p>
      <w:pPr>
        <w:pStyle w:val="ListParagraph"/>
        <w:numPr>
          <w:ilvl w:val="0"/>
          <w:numId w:val="3"/>
        </w:numPr>
        <w:spacing w:after="80"/>
      </w:pPr>
      <w:r>
        <w:rPr>
          <w:rFonts w:ascii="Arial" w:cs="Arial" w:eastAsia="Arial" w:hAnsi="Arial"/>
          <w:sz w:val="20"/>
          <w:szCs w:val="20"/>
        </w:rPr>
        <w:t xml:space="preserve">MITRE ATT&amp;CK. Enterprise Techniques Matrix (v14). https://attack.mitre.org/</w:t>
      </w:r>
    </w:p>
    <w:p>
      <w:pPr>
        <w:pBdr>
          <w:bottom w:val="single" w:color="CBD5E0" w:sz="1" w:space="1"/>
        </w:pBdr>
        <w:spacing w:before="400" w:after="200"/>
      </w:pPr>
    </w:p>
    <w:p>
      <w:pPr>
        <w:pStyle w:val="Heading1"/>
        <w:spacing w:before="360" w:after="200"/>
      </w:pPr>
      <w:r>
        <w:rPr>
          <w:rFonts w:ascii="Arial" w:cs="Arial" w:eastAsia="Arial" w:hAnsi="Arial"/>
          <w:b/>
          <w:bCs/>
          <w:color w:val="1B2A4A"/>
          <w:sz w:val="32"/>
          <w:szCs w:val="32"/>
        </w:rPr>
        <w:t xml:space="preserve">Document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CBD5E0" w:sz="1"/>
              <w:left w:val="single" w:color="CBD5E0" w:sz="1"/>
              <w:bottom w:val="single" w:color="CBD5E0" w:sz="1"/>
              <w:right w:val="single" w:color="CBD5E0" w:sz="1"/>
            </w:tcBorders>
            <w:shd w:fill="2E86AB" w:val="clear"/>
            <w:tcMar>
              <w:top w:type="dxa" w:w="80"/>
              <w:left w:type="dxa" w:w="120"/>
              <w:bottom w:type="dxa" w:w="80"/>
              <w:right w:type="dxa" w:w="120"/>
            </w:tcMar>
          </w:tcPr>
          <w:p>
            <w:r>
              <w:rPr>
                <w:rFonts w:ascii="Arial" w:cs="Arial" w:eastAsia="Arial" w:hAnsi="Arial"/>
                <w:b/>
                <w:bCs/>
                <w:color w:val="FFFFFF"/>
                <w:sz w:val="20"/>
                <w:szCs w:val="20"/>
              </w:rPr>
              <w:t xml:space="preserve">Field</w:t>
            </w:r>
          </w:p>
        </w:tc>
        <w:tc>
          <w:tcPr>
            <w:tcW w:type="dxa" w:w="6360"/>
            <w:tcBorders>
              <w:top w:val="single" w:color="CBD5E0" w:sz="1"/>
              <w:left w:val="single" w:color="CBD5E0" w:sz="1"/>
              <w:bottom w:val="single" w:color="CBD5E0" w:sz="1"/>
              <w:right w:val="single" w:color="CBD5E0" w:sz="1"/>
            </w:tcBorders>
            <w:shd w:fill="2E86AB" w:val="clear"/>
            <w:tcMar>
              <w:top w:type="dxa" w:w="80"/>
              <w:left w:type="dxa" w:w="120"/>
              <w:bottom w:type="dxa" w:w="80"/>
              <w:right w:type="dxa" w:w="120"/>
            </w:tcMar>
          </w:tcPr>
          <w:p>
            <w:r>
              <w:rPr>
                <w:rFonts w:ascii="Arial" w:cs="Arial" w:eastAsia="Arial" w:hAnsi="Arial"/>
                <w:b/>
                <w:bCs/>
                <w:color w:val="FFFFFF"/>
                <w:sz w:val="20"/>
                <w:szCs w:val="20"/>
              </w:rPr>
              <w:t xml:space="preserve">Value</w:t>
            </w:r>
          </w:p>
        </w:tc>
      </w:tr>
      <w:tr>
        <w:tc>
          <w:tcPr>
            <w:tcW w:type="dxa" w:w="3000"/>
            <w:tcBorders>
              <w:top w:val="single" w:color="CBD5E0" w:sz="1"/>
              <w:left w:val="single" w:color="CBD5E0" w:sz="1"/>
              <w:bottom w:val="single" w:color="CBD5E0" w:sz="1"/>
              <w:right w:val="single" w:color="CBD5E0" w:sz="1"/>
            </w:tcBorders>
            <w:shd w:fill="EDF2F7" w:val="clear"/>
            <w:tcMar>
              <w:top w:type="dxa" w:w="80"/>
              <w:left w:type="dxa" w:w="120"/>
              <w:bottom w:type="dxa" w:w="80"/>
              <w:right w:type="dxa" w:w="120"/>
            </w:tcMar>
          </w:tcPr>
          <w:p>
            <w:r>
              <w:rPr>
                <w:rFonts w:ascii="Arial" w:cs="Arial" w:eastAsia="Arial" w:hAnsi="Arial"/>
                <w:sz w:val="20"/>
                <w:szCs w:val="20"/>
              </w:rPr>
              <w:t xml:space="preserve">Document ID</w:t>
            </w:r>
          </w:p>
        </w:tc>
        <w:tc>
          <w:tcPr>
            <w:tcW w:type="dxa" w:w="6360"/>
            <w:tcBorders>
              <w:top w:val="single" w:color="CBD5E0" w:sz="1"/>
              <w:left w:val="single" w:color="CBD5E0" w:sz="1"/>
              <w:bottom w:val="single" w:color="CBD5E0" w:sz="1"/>
              <w:right w:val="single" w:color="CBD5E0" w:sz="1"/>
            </w:tcBorders>
            <w:shd w:fill="EDF2F7" w:val="clear"/>
            <w:tcMar>
              <w:top w:type="dxa" w:w="80"/>
              <w:left w:type="dxa" w:w="120"/>
              <w:bottom w:type="dxa" w:w="80"/>
              <w:right w:type="dxa" w:w="120"/>
            </w:tcMar>
          </w:tcPr>
          <w:p>
            <w:r>
              <w:rPr>
                <w:rFonts w:ascii="Arial" w:cs="Arial" w:eastAsia="Arial" w:hAnsi="Arial"/>
                <w:sz w:val="20"/>
                <w:szCs w:val="20"/>
              </w:rPr>
              <w:t xml:space="preserve">TD-10</w:t>
            </w:r>
          </w:p>
        </w:tc>
      </w:tr>
      <w:tr>
        <w:tc>
          <w:tcPr>
            <w:tcW w:type="dxa" w:w="3000"/>
            <w:tcBorders>
              <w:top w:val="single" w:color="CBD5E0" w:sz="1"/>
              <w:left w:val="single" w:color="CBD5E0" w:sz="1"/>
              <w:bottom w:val="single" w:color="CBD5E0" w:sz="1"/>
              <w:right w:val="single" w:color="CBD5E0" w:sz="1"/>
            </w:tcBorders>
            <w:tcMar>
              <w:top w:type="dxa" w:w="80"/>
              <w:left w:type="dxa" w:w="120"/>
              <w:bottom w:type="dxa" w:w="80"/>
              <w:right w:type="dxa" w:w="120"/>
            </w:tcMar>
          </w:tcPr>
          <w:p>
            <w:r>
              <w:rPr>
                <w:rFonts w:ascii="Arial" w:cs="Arial" w:eastAsia="Arial" w:hAnsi="Arial"/>
                <w:sz w:val="20"/>
                <w:szCs w:val="20"/>
              </w:rPr>
              <w:t xml:space="preserve">Title</w:t>
            </w:r>
          </w:p>
        </w:tc>
        <w:tc>
          <w:tcPr>
            <w:tcW w:type="dxa" w:w="6360"/>
            <w:tcBorders>
              <w:top w:val="single" w:color="CBD5E0" w:sz="1"/>
              <w:left w:val="single" w:color="CBD5E0" w:sz="1"/>
              <w:bottom w:val="single" w:color="CBD5E0" w:sz="1"/>
              <w:right w:val="single" w:color="CBD5E0" w:sz="1"/>
            </w:tcBorders>
            <w:tcMar>
              <w:top w:type="dxa" w:w="80"/>
              <w:left w:type="dxa" w:w="120"/>
              <w:bottom w:type="dxa" w:w="80"/>
              <w:right w:type="dxa" w:w="120"/>
            </w:tcMar>
          </w:tcPr>
          <w:p>
            <w:r>
              <w:rPr>
                <w:rFonts w:ascii="Arial" w:cs="Arial" w:eastAsia="Arial" w:hAnsi="Arial"/>
                <w:sz w:val="20"/>
                <w:szCs w:val="20"/>
              </w:rPr>
              <w:t xml:space="preserve">Racami URL Analysis</w:t>
            </w:r>
          </w:p>
        </w:tc>
      </w:tr>
      <w:tr>
        <w:tc>
          <w:tcPr>
            <w:tcW w:type="dxa" w:w="3000"/>
            <w:tcBorders>
              <w:top w:val="single" w:color="CBD5E0" w:sz="1"/>
              <w:left w:val="single" w:color="CBD5E0" w:sz="1"/>
              <w:bottom w:val="single" w:color="CBD5E0" w:sz="1"/>
              <w:right w:val="single" w:color="CBD5E0" w:sz="1"/>
            </w:tcBorders>
            <w:shd w:fill="EDF2F7" w:val="clear"/>
            <w:tcMar>
              <w:top w:type="dxa" w:w="80"/>
              <w:left w:type="dxa" w:w="120"/>
              <w:bottom w:type="dxa" w:w="80"/>
              <w:right w:type="dxa" w:w="120"/>
            </w:tcMar>
          </w:tcPr>
          <w:p>
            <w:r>
              <w:rPr>
                <w:rFonts w:ascii="Arial" w:cs="Arial" w:eastAsia="Arial" w:hAnsi="Arial"/>
                <w:sz w:val="20"/>
                <w:szCs w:val="20"/>
              </w:rPr>
              <w:t xml:space="preserve">Version</w:t>
            </w:r>
          </w:p>
        </w:tc>
        <w:tc>
          <w:tcPr>
            <w:tcW w:type="dxa" w:w="6360"/>
            <w:tcBorders>
              <w:top w:val="single" w:color="CBD5E0" w:sz="1"/>
              <w:left w:val="single" w:color="CBD5E0" w:sz="1"/>
              <w:bottom w:val="single" w:color="CBD5E0" w:sz="1"/>
              <w:right w:val="single" w:color="CBD5E0" w:sz="1"/>
            </w:tcBorders>
            <w:shd w:fill="EDF2F7" w:val="clear"/>
            <w:tcMar>
              <w:top w:type="dxa" w:w="80"/>
              <w:left w:type="dxa" w:w="120"/>
              <w:bottom w:type="dxa" w:w="80"/>
              <w:right w:type="dxa" w:w="120"/>
            </w:tcMar>
          </w:tcPr>
          <w:p>
            <w:r>
              <w:rPr>
                <w:rFonts w:ascii="Arial" w:cs="Arial" w:eastAsia="Arial" w:hAnsi="Arial"/>
                <w:sz w:val="20"/>
                <w:szCs w:val="20"/>
              </w:rPr>
              <w:t xml:space="preserve">1.0</w:t>
            </w:r>
          </w:p>
        </w:tc>
      </w:tr>
      <w:tr>
        <w:tc>
          <w:tcPr>
            <w:tcW w:type="dxa" w:w="3000"/>
            <w:tcBorders>
              <w:top w:val="single" w:color="CBD5E0" w:sz="1"/>
              <w:left w:val="single" w:color="CBD5E0" w:sz="1"/>
              <w:bottom w:val="single" w:color="CBD5E0" w:sz="1"/>
              <w:right w:val="single" w:color="CBD5E0" w:sz="1"/>
            </w:tcBorders>
            <w:tcMar>
              <w:top w:type="dxa" w:w="80"/>
              <w:left w:type="dxa" w:w="120"/>
              <w:bottom w:type="dxa" w:w="80"/>
              <w:right w:type="dxa" w:w="120"/>
            </w:tcMar>
          </w:tcPr>
          <w:p>
            <w:r>
              <w:rPr>
                <w:rFonts w:ascii="Arial" w:cs="Arial" w:eastAsia="Arial" w:hAnsi="Arial"/>
                <w:sz w:val="20"/>
                <w:szCs w:val="20"/>
              </w:rPr>
              <w:t xml:space="preserve">Date</w:t>
            </w:r>
          </w:p>
        </w:tc>
        <w:tc>
          <w:tcPr>
            <w:tcW w:type="dxa" w:w="6360"/>
            <w:tcBorders>
              <w:top w:val="single" w:color="CBD5E0" w:sz="1"/>
              <w:left w:val="single" w:color="CBD5E0" w:sz="1"/>
              <w:bottom w:val="single" w:color="CBD5E0" w:sz="1"/>
              <w:right w:val="single" w:color="CBD5E0" w:sz="1"/>
            </w:tcBorders>
            <w:tcMar>
              <w:top w:type="dxa" w:w="80"/>
              <w:left w:type="dxa" w:w="120"/>
              <w:bottom w:type="dxa" w:w="80"/>
              <w:right w:type="dxa" w:w="120"/>
            </w:tcMar>
          </w:tcPr>
          <w:p>
            <w:r>
              <w:rPr>
                <w:rFonts w:ascii="Arial" w:cs="Arial" w:eastAsia="Arial" w:hAnsi="Arial"/>
                <w:sz w:val="20"/>
                <w:szCs w:val="20"/>
              </w:rPr>
              <w:t xml:space="preserve">February 12, 2026</w:t>
            </w:r>
          </w:p>
        </w:tc>
      </w:tr>
      <w:tr>
        <w:tc>
          <w:tcPr>
            <w:tcW w:type="dxa" w:w="3000"/>
            <w:tcBorders>
              <w:top w:val="single" w:color="CBD5E0" w:sz="1"/>
              <w:left w:val="single" w:color="CBD5E0" w:sz="1"/>
              <w:bottom w:val="single" w:color="CBD5E0" w:sz="1"/>
              <w:right w:val="single" w:color="CBD5E0" w:sz="1"/>
            </w:tcBorders>
            <w:shd w:fill="EDF2F7" w:val="clear"/>
            <w:tcMar>
              <w:top w:type="dxa" w:w="80"/>
              <w:left w:type="dxa" w:w="120"/>
              <w:bottom w:type="dxa" w:w="80"/>
              <w:right w:type="dxa" w:w="120"/>
            </w:tcMar>
          </w:tcPr>
          <w:p>
            <w:r>
              <w:rPr>
                <w:rFonts w:ascii="Arial" w:cs="Arial" w:eastAsia="Arial" w:hAnsi="Arial"/>
                <w:sz w:val="20"/>
                <w:szCs w:val="20"/>
              </w:rPr>
              <w:t xml:space="preserve">Author</w:t>
            </w:r>
          </w:p>
        </w:tc>
        <w:tc>
          <w:tcPr>
            <w:tcW w:type="dxa" w:w="6360"/>
            <w:tcBorders>
              <w:top w:val="single" w:color="CBD5E0" w:sz="1"/>
              <w:left w:val="single" w:color="CBD5E0" w:sz="1"/>
              <w:bottom w:val="single" w:color="CBD5E0" w:sz="1"/>
              <w:right w:val="single" w:color="CBD5E0" w:sz="1"/>
            </w:tcBorders>
            <w:shd w:fill="EDF2F7" w:val="clear"/>
            <w:tcMar>
              <w:top w:type="dxa" w:w="80"/>
              <w:left w:type="dxa" w:w="120"/>
              <w:bottom w:type="dxa" w:w="80"/>
              <w:right w:type="dxa" w:w="120"/>
            </w:tcMar>
          </w:tcPr>
          <w:p>
            <w:r>
              <w:rPr>
                <w:rFonts w:ascii="Arial" w:cs="Arial" w:eastAsia="Arial" w:hAnsi="Arial"/>
                <w:sz w:val="20"/>
                <w:szCs w:val="20"/>
              </w:rPr>
              <w:t xml:space="preserve">Team Delta</w:t>
            </w:r>
          </w:p>
        </w:tc>
      </w:tr>
      <w:tr>
        <w:tc>
          <w:tcPr>
            <w:tcW w:type="dxa" w:w="3000"/>
            <w:tcBorders>
              <w:top w:val="single" w:color="CBD5E0" w:sz="1"/>
              <w:left w:val="single" w:color="CBD5E0" w:sz="1"/>
              <w:bottom w:val="single" w:color="CBD5E0" w:sz="1"/>
              <w:right w:val="single" w:color="CBD5E0" w:sz="1"/>
            </w:tcBorders>
            <w:tcMar>
              <w:top w:type="dxa" w:w="80"/>
              <w:left w:type="dxa" w:w="120"/>
              <w:bottom w:type="dxa" w:w="80"/>
              <w:right w:type="dxa" w:w="120"/>
            </w:tcMar>
          </w:tcPr>
          <w:p>
            <w:r>
              <w:rPr>
                <w:rFonts w:ascii="Arial" w:cs="Arial" w:eastAsia="Arial" w:hAnsi="Arial"/>
                <w:sz w:val="20"/>
                <w:szCs w:val="20"/>
              </w:rPr>
              <w:t xml:space="preserve">Classification</w:t>
            </w:r>
          </w:p>
        </w:tc>
        <w:tc>
          <w:tcPr>
            <w:tcW w:type="dxa" w:w="6360"/>
            <w:tcBorders>
              <w:top w:val="single" w:color="CBD5E0" w:sz="1"/>
              <w:left w:val="single" w:color="CBD5E0" w:sz="1"/>
              <w:bottom w:val="single" w:color="CBD5E0" w:sz="1"/>
              <w:right w:val="single" w:color="CBD5E0" w:sz="1"/>
            </w:tcBorders>
            <w:tcMar>
              <w:top w:type="dxa" w:w="80"/>
              <w:left w:type="dxa" w:w="120"/>
              <w:bottom w:type="dxa" w:w="80"/>
              <w:right w:type="dxa" w:w="120"/>
            </w:tcMar>
          </w:tcPr>
          <w:p>
            <w:r>
              <w:rPr>
                <w:rFonts w:ascii="Arial" w:cs="Arial" w:eastAsia="Arial" w:hAnsi="Arial"/>
                <w:sz w:val="20"/>
                <w:szCs w:val="20"/>
              </w:rPr>
              <w:t xml:space="preserve">CONFIDENTIAL</w:t>
            </w:r>
          </w:p>
        </w:tc>
      </w:tr>
      <w:tr>
        <w:tc>
          <w:tcPr>
            <w:tcW w:type="dxa" w:w="3000"/>
            <w:tcBorders>
              <w:top w:val="single" w:color="CBD5E0" w:sz="1"/>
              <w:left w:val="single" w:color="CBD5E0" w:sz="1"/>
              <w:bottom w:val="single" w:color="CBD5E0" w:sz="1"/>
              <w:right w:val="single" w:color="CBD5E0" w:sz="1"/>
            </w:tcBorders>
            <w:shd w:fill="EDF2F7" w:val="clear"/>
            <w:tcMar>
              <w:top w:type="dxa" w:w="80"/>
              <w:left w:type="dxa" w:w="120"/>
              <w:bottom w:type="dxa" w:w="80"/>
              <w:right w:type="dxa" w:w="120"/>
            </w:tcMar>
          </w:tcPr>
          <w:p>
            <w:r>
              <w:rPr>
                <w:rFonts w:ascii="Arial" w:cs="Arial" w:eastAsia="Arial" w:hAnsi="Arial"/>
                <w:sz w:val="20"/>
                <w:szCs w:val="20"/>
              </w:rPr>
              <w:t xml:space="preserve">Related Documents</w:t>
            </w:r>
          </w:p>
        </w:tc>
        <w:tc>
          <w:tcPr>
            <w:tcW w:type="dxa" w:w="6360"/>
            <w:tcBorders>
              <w:top w:val="single" w:color="CBD5E0" w:sz="1"/>
              <w:left w:val="single" w:color="CBD5E0" w:sz="1"/>
              <w:bottom w:val="single" w:color="CBD5E0" w:sz="1"/>
              <w:right w:val="single" w:color="CBD5E0" w:sz="1"/>
            </w:tcBorders>
            <w:shd w:fill="EDF2F7" w:val="clear"/>
            <w:tcMar>
              <w:top w:type="dxa" w:w="80"/>
              <w:left w:type="dxa" w:w="120"/>
              <w:bottom w:type="dxa" w:w="80"/>
              <w:right w:type="dxa" w:w="120"/>
            </w:tcMar>
          </w:tcPr>
          <w:p>
            <w:r>
              <w:rPr>
                <w:rFonts w:ascii="Arial" w:cs="Arial" w:eastAsia="Arial" w:hAnsi="Arial"/>
                <w:sz w:val="20"/>
                <w:szCs w:val="20"/>
              </w:rPr>
              <w:t xml:space="preserve">TD-01 (Evidence), TD-02 (MITRE ATT&amp;CK), TD-03 (Risk Assessment)</w:t>
            </w:r>
          </w:p>
        </w:tc>
      </w:tr>
    </w:tbl>
    <w:sectPr>
      <w:headerReference w:type="default" r:id="rId6"/>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18096"/>
        <w:sz w:val="16"/>
        <w:szCs w:val="16"/>
      </w:rPr>
      <w:t xml:space="preserve">Page </w:t>
    </w:r>
    <w:r>
      <w:rPr>
        <w:rFonts w:ascii="Arial" w:cs="Arial" w:eastAsia="Arial" w:hAnsi="Arial"/>
        <w:color w:val="71809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b/>
        <w:bCs/>
        <w:color w:val="1B2A4A"/>
        <w:sz w:val="16"/>
        <w:szCs w:val="16"/>
      </w:rPr>
      <w:t xml:space="preserve">TEAM DELTA</w:t>
    </w:r>
    <w:r>
      <w:rPr>
        <w:rFonts w:ascii="Arial" w:cs="Arial" w:eastAsia="Arial" w:hAnsi="Arial"/>
        <w:color w:val="718096"/>
        <w:sz w:val="16"/>
        <w:szCs w:val="16"/>
      </w:rPr>
      <w:t xml:space="preserve">  |  TD-10 Racami URL Analysis  |  CONFIDENTIAL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200"/>
      <w:outlineLvl w:val="0"/>
    </w:pPr>
    <w:rPr>
      <w:rFonts w:ascii="Arial" w:cs="Arial" w:eastAsia="Arial" w:hAnsi="Arial"/>
      <w:b/>
      <w:bCs/>
      <w:color w:val="1B2A4A"/>
      <w:sz w:val="32"/>
      <w:szCs w:val="32"/>
    </w:rPr>
  </w:style>
  <w:style w:type="paragraph" w:styleId="Heading2">
    <w:name w:val="Heading 2"/>
    <w:basedOn w:val="Normal"/>
    <w:next w:val="Normal"/>
    <w:qFormat/>
    <w:pPr>
      <w:spacing w:before="280" w:after="160"/>
      <w:outlineLvl w:val="1"/>
    </w:pPr>
    <w:rPr>
      <w:rFonts w:ascii="Arial" w:cs="Arial" w:eastAsia="Arial" w:hAnsi="Arial"/>
      <w:b/>
      <w:bCs/>
      <w:color w:val="2E86AB"/>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2026-02-13T00:09:11.150Z</dcterms:created>
  <dcterms:modified xsi:type="dcterms:W3CDTF">2026-02-13T00:09:11.151Z</dcterms:modified>
</cp:coreProperties>
</file>

<file path=docProps/custom.xml><?xml version="1.0" encoding="utf-8"?>
<Properties xmlns="http://schemas.openxmlformats.org/officeDocument/2006/custom-properties" xmlns:vt="http://schemas.openxmlformats.org/officeDocument/2006/docPropsVTypes"/>
</file>