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4DB6C" w14:textId="6A694A6D" w:rsidR="00E3653E" w:rsidRDefault="00E3653E">
      <w:pPr>
        <w:jc w:val="center"/>
        <w:rPr>
          <w:b/>
          <w:sz w:val="28"/>
          <w:lang w:val="es-EC"/>
        </w:rPr>
      </w:pPr>
    </w:p>
    <w:p w14:paraId="6459321B" w14:textId="75980059" w:rsidR="00CA7943" w:rsidRDefault="000F3433">
      <w:pPr>
        <w:jc w:val="center"/>
        <w:rPr>
          <w:b/>
          <w:sz w:val="28"/>
          <w:lang w:val="es-EC"/>
        </w:rPr>
      </w:pPr>
      <w:r w:rsidRPr="000F3433">
        <w:rPr>
          <w:b/>
          <w:sz w:val="28"/>
          <w:lang w:val="es-EC"/>
        </w:rPr>
        <w:drawing>
          <wp:inline distT="0" distB="0" distL="0" distR="0" wp14:anchorId="63524AEB" wp14:editId="670A98C2">
            <wp:extent cx="5943600" cy="19583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58340"/>
                    </a:xfrm>
                    <a:prstGeom prst="rect">
                      <a:avLst/>
                    </a:prstGeom>
                  </pic:spPr>
                </pic:pic>
              </a:graphicData>
            </a:graphic>
          </wp:inline>
        </w:drawing>
      </w:r>
    </w:p>
    <w:p w14:paraId="49D6B9BC" w14:textId="3C1F39BD" w:rsidR="00471680" w:rsidRPr="00850900" w:rsidRDefault="009017C6">
      <w:pPr>
        <w:jc w:val="center"/>
        <w:rPr>
          <w:lang w:val="es-EC"/>
        </w:rPr>
      </w:pPr>
      <w:r w:rsidRPr="00850900">
        <w:rPr>
          <w:b/>
          <w:sz w:val="28"/>
          <w:lang w:val="es-EC"/>
        </w:rPr>
        <w:br/>
      </w:r>
      <w:r w:rsidRPr="00850900">
        <w:rPr>
          <w:b/>
          <w:sz w:val="32"/>
          <w:lang w:val="es-EC"/>
        </w:rPr>
        <w:t>Taller de Programación – Trabajo Práctico N.º 2 (2025)</w:t>
      </w:r>
      <w:r w:rsidRPr="00850900">
        <w:rPr>
          <w:b/>
          <w:sz w:val="32"/>
          <w:lang w:val="es-EC"/>
        </w:rPr>
        <w:br/>
      </w:r>
      <w:r w:rsidRPr="00850900">
        <w:rPr>
          <w:sz w:val="28"/>
          <w:lang w:val="es-EC"/>
        </w:rPr>
        <w:t>Tema: Métodos No Supervisados y Visualización</w:t>
      </w:r>
      <w:r w:rsidRPr="00850900">
        <w:rPr>
          <w:sz w:val="28"/>
          <w:lang w:val="es-EC"/>
        </w:rPr>
        <w:br/>
      </w:r>
      <w:r w:rsidRPr="00850900">
        <w:rPr>
          <w:sz w:val="28"/>
          <w:lang w:val="es-EC"/>
        </w:rPr>
        <w:br/>
      </w:r>
      <w:r w:rsidRPr="00850900">
        <w:rPr>
          <w:b/>
          <w:sz w:val="28"/>
          <w:lang w:val="es-EC"/>
        </w:rPr>
        <w:t>Grupo 4</w:t>
      </w:r>
      <w:r w:rsidRPr="00850900">
        <w:rPr>
          <w:b/>
          <w:sz w:val="28"/>
          <w:lang w:val="es-EC"/>
        </w:rPr>
        <w:br/>
      </w:r>
      <w:r w:rsidRPr="00850900">
        <w:rPr>
          <w:sz w:val="28"/>
          <w:lang w:val="es-EC"/>
        </w:rPr>
        <w:t>Ángel Enrique Zapata Barros</w:t>
      </w:r>
      <w:r w:rsidRPr="00850900">
        <w:rPr>
          <w:sz w:val="28"/>
          <w:lang w:val="es-EC"/>
        </w:rPr>
        <w:br/>
        <w:t>David Andrés Robalino Chica</w:t>
      </w:r>
      <w:r w:rsidRPr="00850900">
        <w:rPr>
          <w:sz w:val="28"/>
          <w:lang w:val="es-EC"/>
        </w:rPr>
        <w:br/>
        <w:t xml:space="preserve">Federico Walter </w:t>
      </w:r>
      <w:proofErr w:type="spellStart"/>
      <w:r w:rsidRPr="00850900">
        <w:rPr>
          <w:sz w:val="28"/>
          <w:lang w:val="es-EC"/>
        </w:rPr>
        <w:t>Kisza</w:t>
      </w:r>
      <w:proofErr w:type="spellEnd"/>
      <w:r w:rsidRPr="00850900">
        <w:rPr>
          <w:sz w:val="28"/>
          <w:lang w:val="es-EC"/>
        </w:rPr>
        <w:br/>
      </w:r>
      <w:r w:rsidRPr="00850900">
        <w:rPr>
          <w:sz w:val="28"/>
          <w:lang w:val="es-EC"/>
        </w:rPr>
        <w:br/>
        <w:t>Docente: María Noelia Romero</w:t>
      </w:r>
      <w:r w:rsidRPr="00850900">
        <w:rPr>
          <w:sz w:val="28"/>
          <w:lang w:val="es-EC"/>
        </w:rPr>
        <w:br/>
      </w:r>
      <w:r w:rsidRPr="00850900">
        <w:rPr>
          <w:sz w:val="28"/>
          <w:lang w:val="es-EC"/>
        </w:rPr>
        <w:br/>
      </w:r>
      <w:r w:rsidRPr="00850900">
        <w:rPr>
          <w:b/>
          <w:sz w:val="24"/>
          <w:lang w:val="es-EC"/>
        </w:rPr>
        <w:t>Repositorio GitHub del Grupo:</w:t>
      </w:r>
      <w:r w:rsidRPr="00850900">
        <w:rPr>
          <w:b/>
          <w:sz w:val="24"/>
          <w:lang w:val="es-EC"/>
        </w:rPr>
        <w:br/>
      </w:r>
      <w:hyperlink r:id="rId7" w:history="1">
        <w:r w:rsidR="000F3433" w:rsidRPr="00D35F7B">
          <w:rPr>
            <w:rStyle w:val="Hipervnculo"/>
            <w:sz w:val="24"/>
            <w:lang w:val="es-EC"/>
          </w:rPr>
          <w:t>https://github.com/Analisis1983/Grupo4_UBA_2025</w:t>
        </w:r>
      </w:hyperlink>
      <w:r w:rsidR="000F3433">
        <w:rPr>
          <w:sz w:val="24"/>
          <w:lang w:val="es-EC"/>
        </w:rPr>
        <w:t xml:space="preserve"> </w:t>
      </w:r>
      <w:r w:rsidRPr="00850900">
        <w:rPr>
          <w:sz w:val="24"/>
          <w:lang w:val="es-EC"/>
        </w:rPr>
        <w:br/>
      </w:r>
      <w:r w:rsidRPr="00850900">
        <w:rPr>
          <w:sz w:val="24"/>
          <w:lang w:val="es-EC"/>
        </w:rPr>
        <w:br/>
      </w:r>
      <w:r w:rsidRPr="00850900">
        <w:rPr>
          <w:sz w:val="24"/>
          <w:lang w:val="es-EC"/>
        </w:rPr>
        <w:br/>
      </w:r>
    </w:p>
    <w:p w14:paraId="18A33E4E" w14:textId="22628DA7" w:rsidR="00850900" w:rsidRPr="00850900" w:rsidRDefault="009017C6" w:rsidP="00850900">
      <w:pPr>
        <w:pStyle w:val="Ttulo1"/>
        <w:rPr>
          <w:lang w:val="es-EC"/>
        </w:rPr>
      </w:pPr>
      <w:r w:rsidRPr="00850900">
        <w:rPr>
          <w:lang w:val="es-EC"/>
        </w:rPr>
        <w:br w:type="page"/>
      </w:r>
      <w:r w:rsidR="00850900" w:rsidRPr="00850900">
        <w:rPr>
          <w:lang w:val="es-EC"/>
        </w:rPr>
        <w:lastRenderedPageBreak/>
        <w:t>Introducción</w:t>
      </w:r>
    </w:p>
    <w:p w14:paraId="4DA03631" w14:textId="0463BBF2" w:rsidR="00471680" w:rsidRDefault="00850900" w:rsidP="00850900">
      <w:pPr>
        <w:rPr>
          <w:lang w:val="es-EC"/>
        </w:rPr>
      </w:pPr>
      <w:r w:rsidRPr="00850900">
        <w:rPr>
          <w:lang w:val="es-EC"/>
        </w:rPr>
        <w:t xml:space="preserve">El presente trabajo aplica métodos no supervisados ​​de análisis estadístico —principalmente Análisis de Componentes Principales (PCA) y </w:t>
      </w:r>
      <w:proofErr w:type="spellStart"/>
      <w:r w:rsidRPr="00850900">
        <w:rPr>
          <w:lang w:val="es-EC"/>
        </w:rPr>
        <w:t>Clustering</w:t>
      </w:r>
      <w:proofErr w:type="spellEnd"/>
      <w:r w:rsidRPr="00850900">
        <w:rPr>
          <w:lang w:val="es-EC"/>
        </w:rPr>
        <w:t>— sobre una base combinada de la Encuesta Permanente de Hogares (EPH) correspondiente a los años 2005 y 2025, con el objetivo de identificar patrones socioeconómicos en la región patagónica. A partir de variables demográficas, educativas y de ingresos, se busca reconocer agrupamientos y relaciones latentes que permitan caracterizar distintos perfiles de hogares sin la necesidad de una variable dependiente predefinida. Este abordaje integra los contenidos teóricos y prácticos del Taller de Programación, articulando la programación en Python con la interpretación empírica de resultados, en coherencia con los fundamentos de la estadística aplicada y el aprendizaje automático. De esta manera, el trabajo combina rigor metodológico e intencionalidad analítica, contribuyendo a la comprensión de la estructura social y económica patagónica en un contexto temporal comparativo.</w:t>
      </w:r>
    </w:p>
    <w:p w14:paraId="5E7713A2" w14:textId="1AC144B8" w:rsidR="00381B2B" w:rsidRPr="00381B2B" w:rsidRDefault="00381B2B" w:rsidP="00381B2B">
      <w:pPr>
        <w:pStyle w:val="Ttulo1"/>
        <w:rPr>
          <w:lang w:val="es-EC"/>
        </w:rPr>
      </w:pPr>
      <w:r w:rsidRPr="00381B2B">
        <w:rPr>
          <w:lang w:val="es-EC"/>
        </w:rPr>
        <w:t>Base de datos, preparación y metodología</w:t>
      </w:r>
    </w:p>
    <w:p w14:paraId="2F7678B5" w14:textId="2BCD494C" w:rsidR="00E3653E" w:rsidRDefault="00381B2B" w:rsidP="00381B2B">
      <w:pPr>
        <w:rPr>
          <w:lang w:val="es-EC"/>
        </w:rPr>
      </w:pPr>
      <w:r w:rsidRPr="00381B2B">
        <w:rPr>
          <w:lang w:val="es-EC"/>
        </w:rPr>
        <w:t>El trabajo utiliza información de la Encuesta Permanente de Hogares (EPH) de los años 2005 y 2025, combinada en una base única para la región patagónica. La integración de ambas bases permitió comparar cambios en variables demográficas, educativas y económicas, con especial énfasis en el ingreso total familiar (ITF), la edad y el nivel educativo de los individuos. El proceso de preparación incluyó la limpieza de datos, la eliminación de registros incompletos, la normalización de categorías y la creación de una variable numérica de educación para facilitar el análisis cuantitativo. Una vez depurada la base, las variables fueron estandarizadas mediante escalamiento y posteriormente analizadas con técnicas de aprendizaje no supervisadas. En particular, se aplicó el Análisis de Componentes Principales (PCA) para reducir la dimensionalidad y los métodos de K-</w:t>
      </w:r>
      <w:proofErr w:type="spellStart"/>
      <w:r w:rsidRPr="00381B2B">
        <w:rPr>
          <w:lang w:val="es-EC"/>
        </w:rPr>
        <w:t>Means</w:t>
      </w:r>
      <w:proofErr w:type="spellEnd"/>
      <w:r w:rsidRPr="00381B2B">
        <w:rPr>
          <w:lang w:val="es-EC"/>
        </w:rPr>
        <w:t xml:space="preserve"> y </w:t>
      </w:r>
      <w:proofErr w:type="spellStart"/>
      <w:r w:rsidRPr="00381B2B">
        <w:rPr>
          <w:lang w:val="es-EC"/>
        </w:rPr>
        <w:t>Clustering</w:t>
      </w:r>
      <w:proofErr w:type="spellEnd"/>
      <w:r w:rsidRPr="00381B2B">
        <w:rPr>
          <w:lang w:val="es-EC"/>
        </w:rPr>
        <w:t xml:space="preserve"> Jerárquico para identificar grupos con características socioeconómicas similares. La metodología adoptada combina programación en Python y análisis estadístico.</w:t>
      </w:r>
    </w:p>
    <w:p w14:paraId="7D81A1DA" w14:textId="22427743" w:rsidR="00381B2B" w:rsidRDefault="00381B2B" w:rsidP="00381B2B">
      <w:pPr>
        <w:rPr>
          <w:lang w:val="es-EC"/>
        </w:rPr>
      </w:pPr>
    </w:p>
    <w:p w14:paraId="6AE619DB" w14:textId="187AE291" w:rsidR="00BF475B" w:rsidRDefault="00BF475B" w:rsidP="00381B2B">
      <w:pPr>
        <w:rPr>
          <w:lang w:val="es-EC"/>
        </w:rPr>
      </w:pPr>
    </w:p>
    <w:p w14:paraId="3D529FD4" w14:textId="25CA68FA" w:rsidR="00BF475B" w:rsidRDefault="00BF475B" w:rsidP="00381B2B">
      <w:pPr>
        <w:rPr>
          <w:lang w:val="es-EC"/>
        </w:rPr>
      </w:pPr>
    </w:p>
    <w:p w14:paraId="6129F3F1" w14:textId="21805C70" w:rsidR="00BF475B" w:rsidRDefault="00BF475B" w:rsidP="00381B2B">
      <w:pPr>
        <w:rPr>
          <w:lang w:val="es-EC"/>
        </w:rPr>
      </w:pPr>
    </w:p>
    <w:p w14:paraId="54670024" w14:textId="0E7D3B8C" w:rsidR="00BF475B" w:rsidRDefault="00BF475B" w:rsidP="00381B2B">
      <w:pPr>
        <w:rPr>
          <w:lang w:val="es-EC"/>
        </w:rPr>
      </w:pPr>
    </w:p>
    <w:p w14:paraId="756234DC" w14:textId="5392D54E" w:rsidR="00BF475B" w:rsidRDefault="00BF475B" w:rsidP="00381B2B">
      <w:pPr>
        <w:rPr>
          <w:lang w:val="es-EC"/>
        </w:rPr>
      </w:pPr>
    </w:p>
    <w:p w14:paraId="430DF511" w14:textId="097F5DF4" w:rsidR="00BF475B" w:rsidRDefault="00BF475B" w:rsidP="00381B2B">
      <w:pPr>
        <w:rPr>
          <w:lang w:val="es-EC"/>
        </w:rPr>
      </w:pPr>
    </w:p>
    <w:p w14:paraId="764405C5" w14:textId="2A9E563F" w:rsidR="00BF475B" w:rsidRDefault="00BF475B" w:rsidP="00381B2B">
      <w:pPr>
        <w:rPr>
          <w:lang w:val="es-EC"/>
        </w:rPr>
      </w:pPr>
    </w:p>
    <w:p w14:paraId="175F7625" w14:textId="44443951" w:rsidR="00BF475B" w:rsidRDefault="00BF475B" w:rsidP="00381B2B">
      <w:pPr>
        <w:rPr>
          <w:lang w:val="es-EC"/>
        </w:rPr>
      </w:pPr>
    </w:p>
    <w:p w14:paraId="4E25CAA8" w14:textId="100B5784" w:rsidR="00765C02" w:rsidRPr="006D7D9A" w:rsidRDefault="00765C02" w:rsidP="00765C02">
      <w:pPr>
        <w:pStyle w:val="Descripcin"/>
        <w:keepNext/>
        <w:spacing w:line="480" w:lineRule="auto"/>
        <w:jc w:val="left"/>
        <w:rPr>
          <w:b w:val="0"/>
          <w:bCs w:val="0"/>
          <w:color w:val="auto"/>
          <w:sz w:val="22"/>
          <w:szCs w:val="22"/>
          <w:lang w:val="es-EC"/>
        </w:rPr>
      </w:pPr>
      <w:r w:rsidRPr="006D7D9A">
        <w:rPr>
          <w:color w:val="auto"/>
          <w:sz w:val="22"/>
          <w:szCs w:val="22"/>
          <w:lang w:val="es-EC"/>
        </w:rPr>
        <w:lastRenderedPageBreak/>
        <w:t xml:space="preserve">Tabla </w:t>
      </w:r>
      <w:r w:rsidRPr="006D7D9A">
        <w:rPr>
          <w:color w:val="auto"/>
          <w:sz w:val="22"/>
          <w:szCs w:val="22"/>
        </w:rPr>
        <w:fldChar w:fldCharType="begin"/>
      </w:r>
      <w:r w:rsidRPr="006D7D9A">
        <w:rPr>
          <w:color w:val="auto"/>
          <w:sz w:val="22"/>
          <w:szCs w:val="22"/>
          <w:lang w:val="es-EC"/>
        </w:rPr>
        <w:instrText xml:space="preserve"> SEQ Tabla \* ARABIC </w:instrText>
      </w:r>
      <w:r w:rsidRPr="006D7D9A">
        <w:rPr>
          <w:color w:val="auto"/>
          <w:sz w:val="22"/>
          <w:szCs w:val="22"/>
        </w:rPr>
        <w:fldChar w:fldCharType="separate"/>
      </w:r>
      <w:r w:rsidR="00682422">
        <w:rPr>
          <w:noProof/>
          <w:color w:val="auto"/>
          <w:sz w:val="22"/>
          <w:szCs w:val="22"/>
          <w:lang w:val="es-EC"/>
        </w:rPr>
        <w:t>1</w:t>
      </w:r>
      <w:r w:rsidRPr="006D7D9A">
        <w:rPr>
          <w:color w:val="auto"/>
          <w:sz w:val="22"/>
          <w:szCs w:val="22"/>
        </w:rPr>
        <w:fldChar w:fldCharType="end"/>
      </w:r>
      <w:r w:rsidRPr="006D7D9A">
        <w:rPr>
          <w:b w:val="0"/>
          <w:bCs w:val="0"/>
          <w:color w:val="auto"/>
          <w:sz w:val="22"/>
          <w:szCs w:val="22"/>
          <w:lang w:val="es-EC"/>
        </w:rPr>
        <w:t xml:space="preserve"> </w:t>
      </w:r>
      <w:r w:rsidRPr="006D7D9A">
        <w:rPr>
          <w:b w:val="0"/>
          <w:bCs w:val="0"/>
          <w:color w:val="auto"/>
          <w:sz w:val="22"/>
          <w:szCs w:val="22"/>
          <w:lang w:val="es-EC"/>
        </w:rPr>
        <w:br/>
      </w:r>
      <w:r w:rsidRPr="006D7D9A">
        <w:rPr>
          <w:b w:val="0"/>
          <w:bCs w:val="0"/>
          <w:i/>
          <w:iCs/>
          <w:color w:val="auto"/>
          <w:sz w:val="22"/>
          <w:szCs w:val="22"/>
          <w:lang w:val="es-EC"/>
        </w:rPr>
        <w:t>Estadísticas descriptivas comparativas entre 2005 y 2025</w:t>
      </w:r>
    </w:p>
    <w:tbl>
      <w:tblPr>
        <w:tblStyle w:val="APA"/>
        <w:tblW w:w="0" w:type="auto"/>
        <w:tblLook w:val="04A0" w:firstRow="1" w:lastRow="0" w:firstColumn="1" w:lastColumn="0" w:noHBand="0" w:noVBand="1"/>
      </w:tblPr>
      <w:tblGrid>
        <w:gridCol w:w="697"/>
        <w:gridCol w:w="3024"/>
        <w:gridCol w:w="3274"/>
        <w:gridCol w:w="2365"/>
      </w:tblGrid>
      <w:tr w:rsidR="00765C02" w:rsidRPr="00765C02" w14:paraId="34D4372D" w14:textId="77777777" w:rsidTr="006D7D9A">
        <w:trPr>
          <w:cnfStyle w:val="100000000000" w:firstRow="1" w:lastRow="0" w:firstColumn="0" w:lastColumn="0" w:oddVBand="0" w:evenVBand="0" w:oddHBand="0" w:evenHBand="0" w:firstRowFirstColumn="0" w:firstRowLastColumn="0" w:lastRowFirstColumn="0" w:lastRowLastColumn="0"/>
        </w:trPr>
        <w:tc>
          <w:tcPr>
            <w:tcW w:w="0" w:type="auto"/>
            <w:hideMark/>
          </w:tcPr>
          <w:p w14:paraId="58B8EDA6" w14:textId="77777777" w:rsidR="00765C02" w:rsidRPr="00765C02" w:rsidRDefault="00765C02" w:rsidP="00765C02">
            <w:pPr>
              <w:spacing w:line="240" w:lineRule="auto"/>
              <w:jc w:val="center"/>
              <w:rPr>
                <w:rFonts w:eastAsia="Times New Roman" w:cs="Times New Roman"/>
                <w:b/>
                <w:bCs/>
                <w:sz w:val="24"/>
                <w:szCs w:val="24"/>
              </w:rPr>
            </w:pPr>
            <w:proofErr w:type="spellStart"/>
            <w:r w:rsidRPr="00765C02">
              <w:rPr>
                <w:rFonts w:eastAsia="Times New Roman" w:cs="Times New Roman"/>
                <w:b/>
                <w:bCs/>
                <w:sz w:val="24"/>
                <w:szCs w:val="24"/>
              </w:rPr>
              <w:t>Año</w:t>
            </w:r>
            <w:proofErr w:type="spellEnd"/>
          </w:p>
        </w:tc>
        <w:tc>
          <w:tcPr>
            <w:tcW w:w="0" w:type="auto"/>
            <w:hideMark/>
          </w:tcPr>
          <w:p w14:paraId="4981D491" w14:textId="77777777" w:rsidR="00765C02" w:rsidRPr="00765C02" w:rsidRDefault="00765C02" w:rsidP="00765C02">
            <w:pPr>
              <w:spacing w:line="240" w:lineRule="auto"/>
              <w:jc w:val="center"/>
              <w:rPr>
                <w:rFonts w:eastAsia="Times New Roman" w:cs="Times New Roman"/>
                <w:b/>
                <w:bCs/>
                <w:sz w:val="24"/>
                <w:szCs w:val="24"/>
              </w:rPr>
            </w:pPr>
            <w:proofErr w:type="spellStart"/>
            <w:r w:rsidRPr="00765C02">
              <w:rPr>
                <w:rFonts w:eastAsia="Times New Roman" w:cs="Times New Roman"/>
                <w:b/>
                <w:bCs/>
                <w:sz w:val="24"/>
                <w:szCs w:val="24"/>
              </w:rPr>
              <w:t>Ingreso</w:t>
            </w:r>
            <w:proofErr w:type="spellEnd"/>
            <w:r w:rsidRPr="00765C02">
              <w:rPr>
                <w:rFonts w:eastAsia="Times New Roman" w:cs="Times New Roman"/>
                <w:b/>
                <w:bCs/>
                <w:sz w:val="24"/>
                <w:szCs w:val="24"/>
              </w:rPr>
              <w:t xml:space="preserve"> familiar total (media)</w:t>
            </w:r>
          </w:p>
        </w:tc>
        <w:tc>
          <w:tcPr>
            <w:tcW w:w="0" w:type="auto"/>
            <w:hideMark/>
          </w:tcPr>
          <w:p w14:paraId="14C4A1A9" w14:textId="77777777" w:rsidR="00765C02" w:rsidRPr="00765C02" w:rsidRDefault="00765C02" w:rsidP="00765C02">
            <w:pPr>
              <w:spacing w:line="240" w:lineRule="auto"/>
              <w:jc w:val="center"/>
              <w:rPr>
                <w:rFonts w:eastAsia="Times New Roman" w:cs="Times New Roman"/>
                <w:b/>
                <w:bCs/>
                <w:sz w:val="24"/>
                <w:szCs w:val="24"/>
              </w:rPr>
            </w:pPr>
            <w:proofErr w:type="spellStart"/>
            <w:r w:rsidRPr="00765C02">
              <w:rPr>
                <w:rFonts w:eastAsia="Times New Roman" w:cs="Times New Roman"/>
                <w:b/>
                <w:bCs/>
                <w:sz w:val="24"/>
                <w:szCs w:val="24"/>
              </w:rPr>
              <w:t>Ingreso</w:t>
            </w:r>
            <w:proofErr w:type="spellEnd"/>
            <w:r w:rsidRPr="00765C02">
              <w:rPr>
                <w:rFonts w:eastAsia="Times New Roman" w:cs="Times New Roman"/>
                <w:b/>
                <w:bCs/>
                <w:sz w:val="24"/>
                <w:szCs w:val="24"/>
              </w:rPr>
              <w:t xml:space="preserve"> familiar total (</w:t>
            </w:r>
            <w:proofErr w:type="spellStart"/>
            <w:r w:rsidRPr="00765C02">
              <w:rPr>
                <w:rFonts w:eastAsia="Times New Roman" w:cs="Times New Roman"/>
                <w:b/>
                <w:bCs/>
                <w:sz w:val="24"/>
                <w:szCs w:val="24"/>
              </w:rPr>
              <w:t>mediana</w:t>
            </w:r>
            <w:proofErr w:type="spellEnd"/>
            <w:r w:rsidRPr="00765C02">
              <w:rPr>
                <w:rFonts w:eastAsia="Times New Roman" w:cs="Times New Roman"/>
                <w:b/>
                <w:bCs/>
                <w:sz w:val="24"/>
                <w:szCs w:val="24"/>
              </w:rPr>
              <w:t>)</w:t>
            </w:r>
          </w:p>
        </w:tc>
        <w:tc>
          <w:tcPr>
            <w:tcW w:w="0" w:type="auto"/>
            <w:hideMark/>
          </w:tcPr>
          <w:p w14:paraId="567A81D9" w14:textId="77777777" w:rsidR="00765C02" w:rsidRPr="00765C02" w:rsidRDefault="00765C02" w:rsidP="00765C02">
            <w:pPr>
              <w:spacing w:line="240" w:lineRule="auto"/>
              <w:jc w:val="center"/>
              <w:rPr>
                <w:rFonts w:eastAsia="Times New Roman" w:cs="Times New Roman"/>
                <w:b/>
                <w:bCs/>
                <w:sz w:val="24"/>
                <w:szCs w:val="24"/>
              </w:rPr>
            </w:pPr>
            <w:proofErr w:type="spellStart"/>
            <w:r w:rsidRPr="00765C02">
              <w:rPr>
                <w:rFonts w:eastAsia="Times New Roman" w:cs="Times New Roman"/>
                <w:b/>
                <w:bCs/>
                <w:sz w:val="24"/>
                <w:szCs w:val="24"/>
              </w:rPr>
              <w:t>Edad</w:t>
            </w:r>
            <w:proofErr w:type="spellEnd"/>
            <w:r w:rsidRPr="00765C02">
              <w:rPr>
                <w:rFonts w:eastAsia="Times New Roman" w:cs="Times New Roman"/>
                <w:b/>
                <w:bCs/>
                <w:sz w:val="24"/>
                <w:szCs w:val="24"/>
              </w:rPr>
              <w:t xml:space="preserve"> </w:t>
            </w:r>
            <w:proofErr w:type="spellStart"/>
            <w:r w:rsidRPr="00765C02">
              <w:rPr>
                <w:rFonts w:eastAsia="Times New Roman" w:cs="Times New Roman"/>
                <w:b/>
                <w:bCs/>
                <w:sz w:val="24"/>
                <w:szCs w:val="24"/>
              </w:rPr>
              <w:t>promedio</w:t>
            </w:r>
            <w:proofErr w:type="spellEnd"/>
            <w:r w:rsidRPr="00765C02">
              <w:rPr>
                <w:rFonts w:eastAsia="Times New Roman" w:cs="Times New Roman"/>
                <w:b/>
                <w:bCs/>
                <w:sz w:val="24"/>
                <w:szCs w:val="24"/>
              </w:rPr>
              <w:t xml:space="preserve"> (</w:t>
            </w:r>
            <w:proofErr w:type="spellStart"/>
            <w:r w:rsidRPr="00765C02">
              <w:rPr>
                <w:rFonts w:eastAsia="Times New Roman" w:cs="Times New Roman"/>
                <w:b/>
                <w:bCs/>
                <w:sz w:val="24"/>
                <w:szCs w:val="24"/>
              </w:rPr>
              <w:t>años</w:t>
            </w:r>
            <w:proofErr w:type="spellEnd"/>
            <w:r w:rsidRPr="00765C02">
              <w:rPr>
                <w:rFonts w:eastAsia="Times New Roman" w:cs="Times New Roman"/>
                <w:b/>
                <w:bCs/>
                <w:sz w:val="24"/>
                <w:szCs w:val="24"/>
              </w:rPr>
              <w:t>)</w:t>
            </w:r>
          </w:p>
        </w:tc>
      </w:tr>
      <w:tr w:rsidR="00765C02" w:rsidRPr="00765C02" w14:paraId="6499D4DA" w14:textId="77777777" w:rsidTr="006D7D9A">
        <w:tc>
          <w:tcPr>
            <w:tcW w:w="0" w:type="auto"/>
            <w:hideMark/>
          </w:tcPr>
          <w:p w14:paraId="4C558EEA" w14:textId="77777777" w:rsidR="00765C02" w:rsidRPr="00765C02" w:rsidRDefault="00765C02" w:rsidP="00765C02">
            <w:pPr>
              <w:spacing w:line="240" w:lineRule="auto"/>
              <w:jc w:val="center"/>
              <w:rPr>
                <w:rFonts w:eastAsia="Times New Roman" w:cs="Times New Roman"/>
                <w:sz w:val="24"/>
                <w:szCs w:val="24"/>
              </w:rPr>
            </w:pPr>
            <w:r w:rsidRPr="00765C02">
              <w:rPr>
                <w:rFonts w:eastAsia="Times New Roman" w:cs="Times New Roman"/>
                <w:sz w:val="24"/>
                <w:szCs w:val="24"/>
              </w:rPr>
              <w:t>2005</w:t>
            </w:r>
          </w:p>
        </w:tc>
        <w:tc>
          <w:tcPr>
            <w:tcW w:w="0" w:type="auto"/>
            <w:hideMark/>
          </w:tcPr>
          <w:p w14:paraId="0958917C" w14:textId="77777777" w:rsidR="00765C02" w:rsidRPr="00765C02" w:rsidRDefault="00765C02" w:rsidP="00765C02">
            <w:pPr>
              <w:spacing w:line="240" w:lineRule="auto"/>
              <w:jc w:val="center"/>
              <w:rPr>
                <w:rFonts w:eastAsia="Times New Roman" w:cs="Times New Roman"/>
                <w:sz w:val="24"/>
                <w:szCs w:val="24"/>
              </w:rPr>
            </w:pPr>
            <w:r w:rsidRPr="00765C02">
              <w:rPr>
                <w:rFonts w:eastAsia="Times New Roman" w:cs="Times New Roman"/>
                <w:sz w:val="24"/>
                <w:szCs w:val="24"/>
              </w:rPr>
              <w:t>21 201,32</w:t>
            </w:r>
          </w:p>
        </w:tc>
        <w:tc>
          <w:tcPr>
            <w:tcW w:w="0" w:type="auto"/>
            <w:hideMark/>
          </w:tcPr>
          <w:p w14:paraId="25D1F9CC" w14:textId="77777777" w:rsidR="00765C02" w:rsidRPr="00765C02" w:rsidRDefault="00765C02" w:rsidP="00765C02">
            <w:pPr>
              <w:spacing w:line="240" w:lineRule="auto"/>
              <w:jc w:val="center"/>
              <w:rPr>
                <w:rFonts w:eastAsia="Times New Roman" w:cs="Times New Roman"/>
                <w:sz w:val="24"/>
                <w:szCs w:val="24"/>
              </w:rPr>
            </w:pPr>
            <w:r w:rsidRPr="00765C02">
              <w:rPr>
                <w:rFonts w:eastAsia="Times New Roman" w:cs="Times New Roman"/>
                <w:sz w:val="24"/>
                <w:szCs w:val="24"/>
              </w:rPr>
              <w:t>16 800,00</w:t>
            </w:r>
          </w:p>
        </w:tc>
        <w:tc>
          <w:tcPr>
            <w:tcW w:w="0" w:type="auto"/>
            <w:hideMark/>
          </w:tcPr>
          <w:p w14:paraId="0368BFFC" w14:textId="77777777" w:rsidR="00765C02" w:rsidRPr="00765C02" w:rsidRDefault="00765C02" w:rsidP="00765C02">
            <w:pPr>
              <w:spacing w:line="240" w:lineRule="auto"/>
              <w:jc w:val="center"/>
              <w:rPr>
                <w:rFonts w:eastAsia="Times New Roman" w:cs="Times New Roman"/>
                <w:sz w:val="24"/>
                <w:szCs w:val="24"/>
              </w:rPr>
            </w:pPr>
            <w:r w:rsidRPr="00765C02">
              <w:rPr>
                <w:rFonts w:eastAsia="Times New Roman" w:cs="Times New Roman"/>
                <w:sz w:val="24"/>
                <w:szCs w:val="24"/>
              </w:rPr>
              <w:t>29,69</w:t>
            </w:r>
          </w:p>
        </w:tc>
      </w:tr>
      <w:tr w:rsidR="00765C02" w:rsidRPr="00765C02" w14:paraId="2E6E0BE3" w14:textId="77777777" w:rsidTr="006D7D9A">
        <w:tc>
          <w:tcPr>
            <w:tcW w:w="0" w:type="auto"/>
            <w:hideMark/>
          </w:tcPr>
          <w:p w14:paraId="7C8792C6" w14:textId="77777777" w:rsidR="00765C02" w:rsidRPr="00765C02" w:rsidRDefault="00765C02" w:rsidP="00765C02">
            <w:pPr>
              <w:spacing w:line="240" w:lineRule="auto"/>
              <w:jc w:val="center"/>
              <w:rPr>
                <w:rFonts w:eastAsia="Times New Roman" w:cs="Times New Roman"/>
                <w:sz w:val="24"/>
                <w:szCs w:val="24"/>
              </w:rPr>
            </w:pPr>
            <w:r w:rsidRPr="00765C02">
              <w:rPr>
                <w:rFonts w:eastAsia="Times New Roman" w:cs="Times New Roman"/>
                <w:sz w:val="24"/>
                <w:szCs w:val="24"/>
              </w:rPr>
              <w:t>2025</w:t>
            </w:r>
          </w:p>
        </w:tc>
        <w:tc>
          <w:tcPr>
            <w:tcW w:w="0" w:type="auto"/>
            <w:hideMark/>
          </w:tcPr>
          <w:p w14:paraId="78169F20" w14:textId="77777777" w:rsidR="00765C02" w:rsidRPr="00765C02" w:rsidRDefault="00765C02" w:rsidP="00765C02">
            <w:pPr>
              <w:spacing w:line="240" w:lineRule="auto"/>
              <w:jc w:val="center"/>
              <w:rPr>
                <w:rFonts w:eastAsia="Times New Roman" w:cs="Times New Roman"/>
                <w:sz w:val="24"/>
                <w:szCs w:val="24"/>
              </w:rPr>
            </w:pPr>
            <w:r w:rsidRPr="00765C02">
              <w:rPr>
                <w:rFonts w:eastAsia="Times New Roman" w:cs="Times New Roman"/>
                <w:sz w:val="24"/>
                <w:szCs w:val="24"/>
              </w:rPr>
              <w:t>1 550 391,22</w:t>
            </w:r>
          </w:p>
        </w:tc>
        <w:tc>
          <w:tcPr>
            <w:tcW w:w="0" w:type="auto"/>
            <w:hideMark/>
          </w:tcPr>
          <w:p w14:paraId="16E38FBB" w14:textId="77777777" w:rsidR="00765C02" w:rsidRPr="00765C02" w:rsidRDefault="00765C02" w:rsidP="00765C02">
            <w:pPr>
              <w:spacing w:line="240" w:lineRule="auto"/>
              <w:jc w:val="center"/>
              <w:rPr>
                <w:rFonts w:eastAsia="Times New Roman" w:cs="Times New Roman"/>
                <w:sz w:val="24"/>
                <w:szCs w:val="24"/>
              </w:rPr>
            </w:pPr>
            <w:r w:rsidRPr="00765C02">
              <w:rPr>
                <w:rFonts w:eastAsia="Times New Roman" w:cs="Times New Roman"/>
                <w:sz w:val="24"/>
                <w:szCs w:val="24"/>
              </w:rPr>
              <w:t>1 250 000,00</w:t>
            </w:r>
          </w:p>
        </w:tc>
        <w:tc>
          <w:tcPr>
            <w:tcW w:w="0" w:type="auto"/>
            <w:hideMark/>
          </w:tcPr>
          <w:p w14:paraId="330DAB36" w14:textId="77777777" w:rsidR="00765C02" w:rsidRPr="00765C02" w:rsidRDefault="00765C02" w:rsidP="00765C02">
            <w:pPr>
              <w:spacing w:line="240" w:lineRule="auto"/>
              <w:jc w:val="center"/>
              <w:rPr>
                <w:rFonts w:eastAsia="Times New Roman" w:cs="Times New Roman"/>
                <w:sz w:val="24"/>
                <w:szCs w:val="24"/>
              </w:rPr>
            </w:pPr>
            <w:r w:rsidRPr="00765C02">
              <w:rPr>
                <w:rFonts w:eastAsia="Times New Roman" w:cs="Times New Roman"/>
                <w:sz w:val="24"/>
                <w:szCs w:val="24"/>
              </w:rPr>
              <w:t>37,63</w:t>
            </w:r>
          </w:p>
        </w:tc>
      </w:tr>
    </w:tbl>
    <w:p w14:paraId="53693B4B" w14:textId="5ED2A3EA" w:rsidR="00765C02" w:rsidRDefault="006D7D9A" w:rsidP="006D7D9A">
      <w:pPr>
        <w:rPr>
          <w:lang w:val="es-EC"/>
        </w:rPr>
      </w:pPr>
      <w:r w:rsidRPr="006D7D9A">
        <w:rPr>
          <w:i/>
          <w:iCs/>
          <w:lang w:val="es-EC"/>
        </w:rPr>
        <w:t xml:space="preserve">Nota. </w:t>
      </w:r>
      <w:r w:rsidRPr="006D7D9A">
        <w:rPr>
          <w:lang w:val="es-EC"/>
        </w:rPr>
        <w:t>Fuente: elaboración propia con base en la Encuesta Permanente de Hogares (EPH), procesamiento en Python (Grupo 4, 2025).</w:t>
      </w:r>
    </w:p>
    <w:p w14:paraId="4EFCCDB1" w14:textId="77777777" w:rsidR="00335878" w:rsidRDefault="00335878" w:rsidP="006D7D9A">
      <w:pPr>
        <w:rPr>
          <w:lang w:val="es-EC"/>
        </w:rPr>
      </w:pPr>
    </w:p>
    <w:p w14:paraId="2E62ECF7" w14:textId="77777777" w:rsidR="00490C3C" w:rsidRDefault="00335878" w:rsidP="00335878">
      <w:pPr>
        <w:rPr>
          <w:lang w:val="es-EC"/>
        </w:rPr>
      </w:pPr>
      <w:r w:rsidRPr="00335878">
        <w:rPr>
          <w:lang w:val="es-EC"/>
        </w:rPr>
        <w:t>El ingreso familiar total registra un incremento nominal sustancial entre 2005 y 2025, observable tanto en los medios como en la mediana, reflejando la evolución de los valores monetarios en pesos argentinos. Este aumento responde a factores macroeconómicos como la inflación y la expansión del ingreso nominal, sin implicar necesariamente mejoras reales en el poder adquisitivo. La edad promedio aumenta levemente, lo que sugiere una población económicamente activa de mayor edad y un cambio demográfico gradual.</w:t>
      </w:r>
    </w:p>
    <w:p w14:paraId="4EB98918" w14:textId="77777777" w:rsidR="00490C3C" w:rsidRDefault="00490C3C" w:rsidP="00490C3C">
      <w:pPr>
        <w:pStyle w:val="Descripcin"/>
        <w:keepNext/>
        <w:spacing w:line="480" w:lineRule="auto"/>
        <w:jc w:val="left"/>
        <w:rPr>
          <w:color w:val="auto"/>
          <w:sz w:val="22"/>
          <w:szCs w:val="22"/>
          <w:lang w:val="es-EC"/>
        </w:rPr>
      </w:pPr>
    </w:p>
    <w:p w14:paraId="206302F4" w14:textId="4561E4B5" w:rsidR="00490C3C" w:rsidRPr="00490C3C" w:rsidRDefault="00490C3C" w:rsidP="00490C3C">
      <w:pPr>
        <w:pStyle w:val="Descripcin"/>
        <w:keepNext/>
        <w:spacing w:line="480" w:lineRule="auto"/>
        <w:jc w:val="left"/>
        <w:rPr>
          <w:color w:val="auto"/>
          <w:sz w:val="22"/>
          <w:szCs w:val="22"/>
          <w:lang w:val="es-EC"/>
        </w:rPr>
      </w:pPr>
      <w:r w:rsidRPr="00490C3C">
        <w:rPr>
          <w:color w:val="auto"/>
          <w:sz w:val="22"/>
          <w:szCs w:val="22"/>
          <w:lang w:val="es-EC"/>
        </w:rPr>
        <w:t xml:space="preserve">Figura </w:t>
      </w:r>
      <w:r w:rsidRPr="00490C3C">
        <w:rPr>
          <w:color w:val="auto"/>
          <w:sz w:val="22"/>
          <w:szCs w:val="22"/>
          <w:lang w:val="es-EC"/>
        </w:rPr>
        <w:fldChar w:fldCharType="begin"/>
      </w:r>
      <w:r w:rsidRPr="00490C3C">
        <w:rPr>
          <w:color w:val="auto"/>
          <w:sz w:val="22"/>
          <w:szCs w:val="22"/>
          <w:lang w:val="es-EC"/>
        </w:rPr>
        <w:instrText xml:space="preserve"> SEQ Figura \* ARABIC </w:instrText>
      </w:r>
      <w:r w:rsidRPr="00490C3C">
        <w:rPr>
          <w:color w:val="auto"/>
          <w:sz w:val="22"/>
          <w:szCs w:val="22"/>
          <w:lang w:val="es-EC"/>
        </w:rPr>
        <w:fldChar w:fldCharType="separate"/>
      </w:r>
      <w:r w:rsidR="00682422">
        <w:rPr>
          <w:noProof/>
          <w:color w:val="auto"/>
          <w:sz w:val="22"/>
          <w:szCs w:val="22"/>
          <w:lang w:val="es-EC"/>
        </w:rPr>
        <w:t>1</w:t>
      </w:r>
      <w:r w:rsidRPr="00490C3C">
        <w:rPr>
          <w:color w:val="auto"/>
          <w:sz w:val="22"/>
          <w:szCs w:val="22"/>
          <w:lang w:val="es-EC"/>
        </w:rPr>
        <w:fldChar w:fldCharType="end"/>
      </w:r>
      <w:r w:rsidRPr="00490C3C">
        <w:rPr>
          <w:color w:val="auto"/>
          <w:sz w:val="22"/>
          <w:szCs w:val="22"/>
          <w:lang w:val="es-EC"/>
        </w:rPr>
        <w:br/>
      </w:r>
      <w:r w:rsidRPr="00490C3C">
        <w:rPr>
          <w:b w:val="0"/>
          <w:bCs w:val="0"/>
          <w:i/>
          <w:iCs/>
          <w:color w:val="auto"/>
          <w:sz w:val="22"/>
          <w:szCs w:val="22"/>
          <w:lang w:val="es-EC"/>
        </w:rPr>
        <w:t>Distribución de la edad y densidad según condición de pobreza (2005–2025)</w:t>
      </w:r>
    </w:p>
    <w:p w14:paraId="68B4230F" w14:textId="3ECD3456" w:rsidR="00335878" w:rsidRDefault="00490C3C" w:rsidP="00335878">
      <w:pPr>
        <w:rPr>
          <w:lang w:val="es-EC"/>
        </w:rPr>
      </w:pPr>
      <w:r>
        <w:rPr>
          <w:noProof/>
          <w:lang w:val="es-EC"/>
        </w:rPr>
        <w:drawing>
          <wp:inline distT="0" distB="0" distL="0" distR="0" wp14:anchorId="392E232E" wp14:editId="555AF37C">
            <wp:extent cx="5943600" cy="24295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stretch>
                      <a:fillRect/>
                    </a:stretch>
                  </pic:blipFill>
                  <pic:spPr>
                    <a:xfrm>
                      <a:off x="0" y="0"/>
                      <a:ext cx="5943600" cy="2429510"/>
                    </a:xfrm>
                    <a:prstGeom prst="rect">
                      <a:avLst/>
                    </a:prstGeom>
                  </pic:spPr>
                </pic:pic>
              </a:graphicData>
            </a:graphic>
          </wp:inline>
        </w:drawing>
      </w:r>
    </w:p>
    <w:p w14:paraId="615DA02E" w14:textId="11F92E59" w:rsidR="00490C3C" w:rsidRDefault="00490C3C" w:rsidP="00335878">
      <w:pPr>
        <w:rPr>
          <w:lang w:val="es-EC"/>
        </w:rPr>
      </w:pPr>
      <w:r w:rsidRPr="00490C3C">
        <w:rPr>
          <w:lang w:val="es-EC"/>
        </w:rPr>
        <w:t>La distribución de la edad presenta una concentración mayor en los grupos jóvenes y adultos hasta los 40 años, con una disminución progresiva en edades avanzadas. La densidad por condición de pobreza muestra que las personas en situación de pobreza tienden a centrarse en edades menores, mientras que los no pobres presentan una distribución más amplia. Esta diferencia sugiere contrastes demográficos vinculados a la inserción laboral y a la estructura etaria de los hogares.</w:t>
      </w:r>
    </w:p>
    <w:p w14:paraId="2FEC0288" w14:textId="109968E6" w:rsidR="007160ED" w:rsidRPr="007160ED" w:rsidRDefault="007160ED" w:rsidP="007160ED">
      <w:pPr>
        <w:pStyle w:val="Descripcin"/>
        <w:keepNext/>
        <w:spacing w:line="480" w:lineRule="auto"/>
        <w:jc w:val="left"/>
        <w:rPr>
          <w:color w:val="auto"/>
          <w:sz w:val="22"/>
          <w:szCs w:val="22"/>
          <w:lang w:val="es-EC"/>
        </w:rPr>
      </w:pPr>
      <w:r w:rsidRPr="007160ED">
        <w:rPr>
          <w:color w:val="auto"/>
          <w:sz w:val="22"/>
          <w:szCs w:val="22"/>
          <w:lang w:val="es-EC"/>
        </w:rPr>
        <w:lastRenderedPageBreak/>
        <w:t xml:space="preserve">Figura </w:t>
      </w:r>
      <w:r w:rsidRPr="007160ED">
        <w:rPr>
          <w:color w:val="auto"/>
          <w:sz w:val="22"/>
          <w:szCs w:val="22"/>
          <w:lang w:val="es-EC"/>
        </w:rPr>
        <w:fldChar w:fldCharType="begin"/>
      </w:r>
      <w:r w:rsidRPr="007160ED">
        <w:rPr>
          <w:color w:val="auto"/>
          <w:sz w:val="22"/>
          <w:szCs w:val="22"/>
          <w:lang w:val="es-EC"/>
        </w:rPr>
        <w:instrText xml:space="preserve"> SEQ Figura \* ARABIC </w:instrText>
      </w:r>
      <w:r w:rsidRPr="007160ED">
        <w:rPr>
          <w:color w:val="auto"/>
          <w:sz w:val="22"/>
          <w:szCs w:val="22"/>
          <w:lang w:val="es-EC"/>
        </w:rPr>
        <w:fldChar w:fldCharType="separate"/>
      </w:r>
      <w:r w:rsidR="00682422">
        <w:rPr>
          <w:noProof/>
          <w:color w:val="auto"/>
          <w:sz w:val="22"/>
          <w:szCs w:val="22"/>
          <w:lang w:val="es-EC"/>
        </w:rPr>
        <w:t>2</w:t>
      </w:r>
      <w:r w:rsidRPr="007160ED">
        <w:rPr>
          <w:color w:val="auto"/>
          <w:sz w:val="22"/>
          <w:szCs w:val="22"/>
          <w:lang w:val="es-EC"/>
        </w:rPr>
        <w:fldChar w:fldCharType="end"/>
      </w:r>
      <w:r w:rsidRPr="007160ED">
        <w:rPr>
          <w:color w:val="auto"/>
          <w:sz w:val="22"/>
          <w:szCs w:val="22"/>
          <w:lang w:val="es-EC"/>
        </w:rPr>
        <w:br/>
      </w:r>
      <w:r w:rsidRPr="007160ED">
        <w:rPr>
          <w:b w:val="0"/>
          <w:bCs w:val="0"/>
          <w:i/>
          <w:iCs/>
          <w:color w:val="auto"/>
          <w:sz w:val="22"/>
          <w:szCs w:val="22"/>
          <w:lang w:val="es-EC"/>
        </w:rPr>
        <w:t>Distribución del ingreso familiar total y densidad según condición de pobreza (2005-2025)</w:t>
      </w:r>
    </w:p>
    <w:p w14:paraId="1F73D431" w14:textId="6181F9D5" w:rsidR="00A07C97" w:rsidRDefault="00A07C97" w:rsidP="00335878">
      <w:pPr>
        <w:rPr>
          <w:lang w:val="es-EC"/>
        </w:rPr>
      </w:pPr>
      <w:r>
        <w:rPr>
          <w:noProof/>
          <w:lang w:val="es-EC"/>
        </w:rPr>
        <w:drawing>
          <wp:inline distT="0" distB="0" distL="0" distR="0" wp14:anchorId="2DFBE9CC" wp14:editId="32200E23">
            <wp:extent cx="5943600" cy="2324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stretch>
                      <a:fillRect/>
                    </a:stretch>
                  </pic:blipFill>
                  <pic:spPr>
                    <a:xfrm>
                      <a:off x="0" y="0"/>
                      <a:ext cx="5943600" cy="2324100"/>
                    </a:xfrm>
                    <a:prstGeom prst="rect">
                      <a:avLst/>
                    </a:prstGeom>
                  </pic:spPr>
                </pic:pic>
              </a:graphicData>
            </a:graphic>
          </wp:inline>
        </w:drawing>
      </w:r>
    </w:p>
    <w:p w14:paraId="525A44EF" w14:textId="7570374C" w:rsidR="007160ED" w:rsidRDefault="007160ED" w:rsidP="00335878">
      <w:pPr>
        <w:rPr>
          <w:lang w:val="es-EC"/>
        </w:rPr>
      </w:pPr>
      <w:r w:rsidRPr="007160ED">
        <w:rPr>
          <w:lang w:val="es-EC"/>
        </w:rPr>
        <w:t>En el Panel A, se observa que la mayoría de los hogares tiene ingresos bajos y que solo una parte pequeña alcanza niveles altos, lo que indica una fuerte desigualdad. En el Panel B, las líneas de densidad muestran que los hogares pobres (en rojo) se concentran por debajo de la línea de pobreza, mientras que los no pobres (en verde) se ubican claramente por encima. En conjunto, el gráfico refleja una diferencia marcada entre ambos grupos y una estructura de ingresos muy desigual.</w:t>
      </w:r>
    </w:p>
    <w:p w14:paraId="6E7FF721" w14:textId="1097A5BF" w:rsidR="007A21A8" w:rsidRPr="007A21A8" w:rsidRDefault="007A21A8" w:rsidP="007A21A8">
      <w:pPr>
        <w:pStyle w:val="Descripcin"/>
        <w:keepNext/>
        <w:spacing w:line="480" w:lineRule="auto"/>
        <w:jc w:val="left"/>
        <w:rPr>
          <w:b w:val="0"/>
          <w:bCs w:val="0"/>
          <w:color w:val="auto"/>
          <w:sz w:val="22"/>
          <w:szCs w:val="22"/>
          <w:lang w:val="es-EC"/>
        </w:rPr>
      </w:pPr>
      <w:r w:rsidRPr="007A21A8">
        <w:rPr>
          <w:color w:val="auto"/>
          <w:sz w:val="22"/>
          <w:szCs w:val="22"/>
          <w:lang w:val="es-EC"/>
        </w:rPr>
        <w:t xml:space="preserve">Figura </w:t>
      </w:r>
      <w:r w:rsidRPr="007A21A8">
        <w:rPr>
          <w:color w:val="auto"/>
          <w:sz w:val="22"/>
          <w:szCs w:val="22"/>
          <w:lang w:val="es-EC"/>
        </w:rPr>
        <w:fldChar w:fldCharType="begin"/>
      </w:r>
      <w:r w:rsidRPr="007A21A8">
        <w:rPr>
          <w:color w:val="auto"/>
          <w:sz w:val="22"/>
          <w:szCs w:val="22"/>
          <w:lang w:val="es-EC"/>
        </w:rPr>
        <w:instrText xml:space="preserve"> SEQ Figura \* ARABIC </w:instrText>
      </w:r>
      <w:r w:rsidRPr="007A21A8">
        <w:rPr>
          <w:color w:val="auto"/>
          <w:sz w:val="22"/>
          <w:szCs w:val="22"/>
          <w:lang w:val="es-EC"/>
        </w:rPr>
        <w:fldChar w:fldCharType="separate"/>
      </w:r>
      <w:r w:rsidR="00682422">
        <w:rPr>
          <w:noProof/>
          <w:color w:val="auto"/>
          <w:sz w:val="22"/>
          <w:szCs w:val="22"/>
          <w:lang w:val="es-EC"/>
        </w:rPr>
        <w:t>3</w:t>
      </w:r>
      <w:r w:rsidRPr="007A21A8">
        <w:rPr>
          <w:color w:val="auto"/>
          <w:sz w:val="22"/>
          <w:szCs w:val="22"/>
          <w:lang w:val="es-EC"/>
        </w:rPr>
        <w:fldChar w:fldCharType="end"/>
      </w:r>
      <w:r w:rsidRPr="007A21A8">
        <w:rPr>
          <w:color w:val="auto"/>
          <w:sz w:val="22"/>
          <w:szCs w:val="22"/>
          <w:lang w:val="es-EC"/>
        </w:rPr>
        <w:br/>
      </w:r>
      <w:r>
        <w:rPr>
          <w:b w:val="0"/>
          <w:bCs w:val="0"/>
          <w:color w:val="auto"/>
          <w:sz w:val="22"/>
          <w:szCs w:val="22"/>
          <w:lang w:val="es-EC"/>
        </w:rPr>
        <w:t>V</w:t>
      </w:r>
      <w:r w:rsidRPr="007A21A8">
        <w:rPr>
          <w:b w:val="0"/>
          <w:bCs w:val="0"/>
          <w:color w:val="auto"/>
          <w:sz w:val="22"/>
          <w:szCs w:val="22"/>
          <w:lang w:val="es-EC"/>
        </w:rPr>
        <w:t>ariación explicada acumulada</w:t>
      </w:r>
    </w:p>
    <w:p w14:paraId="65DC4FF6" w14:textId="45C2D756" w:rsidR="007A21A8" w:rsidRDefault="007A21A8" w:rsidP="00335878">
      <w:pPr>
        <w:rPr>
          <w:lang w:val="es-EC"/>
        </w:rPr>
      </w:pPr>
      <w:r>
        <w:rPr>
          <w:noProof/>
          <w:lang w:val="es-EC"/>
        </w:rPr>
        <w:drawing>
          <wp:inline distT="0" distB="0" distL="0" distR="0" wp14:anchorId="5ECBE32B" wp14:editId="2C7CEF92">
            <wp:extent cx="3139440" cy="228600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stretch>
                      <a:fillRect/>
                    </a:stretch>
                  </pic:blipFill>
                  <pic:spPr>
                    <a:xfrm>
                      <a:off x="0" y="0"/>
                      <a:ext cx="3151698" cy="2294926"/>
                    </a:xfrm>
                    <a:prstGeom prst="rect">
                      <a:avLst/>
                    </a:prstGeom>
                  </pic:spPr>
                </pic:pic>
              </a:graphicData>
            </a:graphic>
          </wp:inline>
        </w:drawing>
      </w:r>
    </w:p>
    <w:p w14:paraId="70DD0AEE" w14:textId="5C6A04E1" w:rsidR="007A21A8" w:rsidRDefault="007A21A8" w:rsidP="00335878">
      <w:pPr>
        <w:rPr>
          <w:lang w:val="es-EC"/>
        </w:rPr>
      </w:pPr>
      <w:r w:rsidRPr="007A21A8">
        <w:rPr>
          <w:lang w:val="es-EC"/>
        </w:rPr>
        <w:t>La varianza explicada acumulada indica que los tres primeros componentes concentran casi la totalidad de la variabilidad del conjunto de datos, lo que sugiere una estructura bien representada con pocas dimensiones. En particular, los dos primeros componentes ya capturan una proporción sustancial de la información, por lo que el modelo puede simplificarse sin pérdida significativa de contenido analítico.</w:t>
      </w:r>
    </w:p>
    <w:p w14:paraId="1E1E8ED8" w14:textId="204BC8C3" w:rsidR="003255C4" w:rsidRPr="003255C4" w:rsidRDefault="003255C4" w:rsidP="003255C4">
      <w:pPr>
        <w:pStyle w:val="Descripcin"/>
        <w:keepNext/>
        <w:spacing w:line="480" w:lineRule="auto"/>
        <w:jc w:val="left"/>
        <w:rPr>
          <w:color w:val="auto"/>
          <w:sz w:val="22"/>
          <w:szCs w:val="22"/>
          <w:lang w:val="es-EC"/>
        </w:rPr>
      </w:pPr>
      <w:r w:rsidRPr="003255C4">
        <w:rPr>
          <w:color w:val="auto"/>
          <w:sz w:val="22"/>
          <w:szCs w:val="22"/>
          <w:lang w:val="es-EC"/>
        </w:rPr>
        <w:lastRenderedPageBreak/>
        <w:t xml:space="preserve">Figura </w:t>
      </w:r>
      <w:r w:rsidRPr="003255C4">
        <w:rPr>
          <w:color w:val="auto"/>
          <w:sz w:val="22"/>
          <w:szCs w:val="22"/>
          <w:lang w:val="es-EC"/>
        </w:rPr>
        <w:fldChar w:fldCharType="begin"/>
      </w:r>
      <w:r w:rsidRPr="003255C4">
        <w:rPr>
          <w:color w:val="auto"/>
          <w:sz w:val="22"/>
          <w:szCs w:val="22"/>
          <w:lang w:val="es-EC"/>
        </w:rPr>
        <w:instrText xml:space="preserve"> SEQ Figura \* ARABIC </w:instrText>
      </w:r>
      <w:r w:rsidRPr="003255C4">
        <w:rPr>
          <w:color w:val="auto"/>
          <w:sz w:val="22"/>
          <w:szCs w:val="22"/>
          <w:lang w:val="es-EC"/>
        </w:rPr>
        <w:fldChar w:fldCharType="separate"/>
      </w:r>
      <w:r w:rsidR="00682422">
        <w:rPr>
          <w:noProof/>
          <w:color w:val="auto"/>
          <w:sz w:val="22"/>
          <w:szCs w:val="22"/>
          <w:lang w:val="es-EC"/>
        </w:rPr>
        <w:t>4</w:t>
      </w:r>
      <w:r w:rsidRPr="003255C4">
        <w:rPr>
          <w:color w:val="auto"/>
          <w:sz w:val="22"/>
          <w:szCs w:val="22"/>
          <w:lang w:val="es-EC"/>
        </w:rPr>
        <w:fldChar w:fldCharType="end"/>
      </w:r>
    </w:p>
    <w:p w14:paraId="0CF0CF06" w14:textId="563DDB9A" w:rsidR="003255C4" w:rsidRPr="003255C4" w:rsidRDefault="003255C4" w:rsidP="003255C4">
      <w:pPr>
        <w:pStyle w:val="Descripcin"/>
        <w:keepNext/>
        <w:spacing w:line="480" w:lineRule="auto"/>
        <w:jc w:val="left"/>
        <w:rPr>
          <w:b w:val="0"/>
          <w:bCs w:val="0"/>
          <w:i/>
          <w:iCs/>
          <w:color w:val="auto"/>
          <w:sz w:val="22"/>
          <w:szCs w:val="22"/>
          <w:lang w:val="es-EC"/>
        </w:rPr>
      </w:pPr>
      <w:r w:rsidRPr="003255C4">
        <w:rPr>
          <w:b w:val="0"/>
          <w:bCs w:val="0"/>
          <w:i/>
          <w:iCs/>
          <w:color w:val="auto"/>
          <w:sz w:val="22"/>
          <w:szCs w:val="22"/>
          <w:lang w:val="es-EC"/>
        </w:rPr>
        <w:t>Distribución de los individuos según los dos primeros componentes principales (PC1 y PC2)</w:t>
      </w:r>
    </w:p>
    <w:p w14:paraId="1B87D4BE" w14:textId="2816C10B" w:rsidR="00A564CA" w:rsidRDefault="00A564CA" w:rsidP="00335878">
      <w:pPr>
        <w:rPr>
          <w:lang w:val="es-EC"/>
        </w:rPr>
      </w:pPr>
      <w:r>
        <w:rPr>
          <w:noProof/>
          <w:lang w:val="es-EC"/>
        </w:rPr>
        <w:drawing>
          <wp:inline distT="0" distB="0" distL="0" distR="0" wp14:anchorId="0BF88696" wp14:editId="7CEBC87A">
            <wp:extent cx="3276600" cy="2308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stretch>
                      <a:fillRect/>
                    </a:stretch>
                  </pic:blipFill>
                  <pic:spPr>
                    <a:xfrm>
                      <a:off x="0" y="0"/>
                      <a:ext cx="3309441" cy="2331966"/>
                    </a:xfrm>
                    <a:prstGeom prst="rect">
                      <a:avLst/>
                    </a:prstGeom>
                  </pic:spPr>
                </pic:pic>
              </a:graphicData>
            </a:graphic>
          </wp:inline>
        </w:drawing>
      </w:r>
    </w:p>
    <w:p w14:paraId="6A4A2498" w14:textId="3743F6A1" w:rsidR="00A564CA" w:rsidRDefault="00A564CA" w:rsidP="00335878">
      <w:pPr>
        <w:rPr>
          <w:lang w:val="es-EC"/>
        </w:rPr>
      </w:pPr>
      <w:r w:rsidRPr="00A564CA">
        <w:rPr>
          <w:lang w:val="es-EC"/>
        </w:rPr>
        <w:t>La mayor dispersión sobre el primer componente sugiere que las diferencias socioeconómicas entre los individuos de la región patagónica se explican principalmente por una dimensión asociada a variables como el ingreso y la educación. La concentración central indica similitud en gran parte de la población, posiblemente vinculada a estructuras laborales y niveles de ingreso intermedios. La presencia de puntos más alejados refleja heterogeneidad interna, típica de economías regionales con contrastes entre áreas urbanas y rurales o entre sectores productivos de distinta intensidad económica.</w:t>
      </w:r>
    </w:p>
    <w:p w14:paraId="10897B20" w14:textId="73D15F33" w:rsidR="00C40E77" w:rsidRPr="001D2DD5" w:rsidRDefault="00C40E77" w:rsidP="001D2DD5">
      <w:pPr>
        <w:pStyle w:val="Descripcin"/>
        <w:keepNext/>
        <w:spacing w:line="480" w:lineRule="auto"/>
        <w:jc w:val="left"/>
        <w:rPr>
          <w:color w:val="auto"/>
          <w:sz w:val="22"/>
          <w:szCs w:val="22"/>
          <w:lang w:val="es-EC"/>
        </w:rPr>
      </w:pPr>
      <w:proofErr w:type="spellStart"/>
      <w:r w:rsidRPr="001D2DD5">
        <w:rPr>
          <w:color w:val="auto"/>
          <w:sz w:val="22"/>
          <w:szCs w:val="22"/>
          <w:lang w:val="es-EC"/>
        </w:rPr>
        <w:t>Figura</w:t>
      </w:r>
      <w:proofErr w:type="spellEnd"/>
      <w:r w:rsidRPr="001D2DD5">
        <w:rPr>
          <w:color w:val="auto"/>
          <w:sz w:val="22"/>
          <w:szCs w:val="22"/>
          <w:lang w:val="es-EC"/>
        </w:rPr>
        <w:t xml:space="preserve"> </w:t>
      </w:r>
      <w:r w:rsidRPr="001D2DD5">
        <w:rPr>
          <w:color w:val="auto"/>
          <w:sz w:val="22"/>
          <w:szCs w:val="22"/>
          <w:lang w:val="es-EC"/>
        </w:rPr>
        <w:fldChar w:fldCharType="begin"/>
      </w:r>
      <w:r w:rsidRPr="001D2DD5">
        <w:rPr>
          <w:color w:val="auto"/>
          <w:sz w:val="22"/>
          <w:szCs w:val="22"/>
          <w:lang w:val="es-EC"/>
        </w:rPr>
        <w:instrText xml:space="preserve"> SEQ Figura \* ARABIC </w:instrText>
      </w:r>
      <w:r w:rsidRPr="001D2DD5">
        <w:rPr>
          <w:color w:val="auto"/>
          <w:sz w:val="22"/>
          <w:szCs w:val="22"/>
          <w:lang w:val="es-EC"/>
        </w:rPr>
        <w:fldChar w:fldCharType="separate"/>
      </w:r>
      <w:r w:rsidR="00682422">
        <w:rPr>
          <w:noProof/>
          <w:color w:val="auto"/>
          <w:sz w:val="22"/>
          <w:szCs w:val="22"/>
          <w:lang w:val="es-EC"/>
        </w:rPr>
        <w:t>5</w:t>
      </w:r>
      <w:r w:rsidRPr="001D2DD5">
        <w:rPr>
          <w:color w:val="auto"/>
          <w:sz w:val="22"/>
          <w:szCs w:val="22"/>
          <w:lang w:val="es-EC"/>
        </w:rPr>
        <w:fldChar w:fldCharType="end"/>
      </w:r>
    </w:p>
    <w:p w14:paraId="4559449F" w14:textId="7EBDBE3C" w:rsidR="00C40E77" w:rsidRDefault="00C40E77" w:rsidP="001D2DD5">
      <w:pPr>
        <w:pStyle w:val="Descripcin"/>
        <w:keepNext/>
        <w:spacing w:line="480" w:lineRule="auto"/>
        <w:jc w:val="left"/>
        <w:rPr>
          <w:b w:val="0"/>
          <w:bCs w:val="0"/>
          <w:i/>
          <w:iCs/>
          <w:color w:val="auto"/>
          <w:sz w:val="22"/>
          <w:szCs w:val="22"/>
          <w:lang w:val="es-EC"/>
        </w:rPr>
      </w:pPr>
      <w:proofErr w:type="spellStart"/>
      <w:r w:rsidRPr="001D2DD5">
        <w:rPr>
          <w:b w:val="0"/>
          <w:bCs w:val="0"/>
          <w:i/>
          <w:iCs/>
          <w:color w:val="auto"/>
          <w:sz w:val="22"/>
          <w:szCs w:val="22"/>
          <w:lang w:val="es-EC"/>
        </w:rPr>
        <w:t>Agrupación</w:t>
      </w:r>
      <w:proofErr w:type="spellEnd"/>
      <w:r w:rsidRPr="001D2DD5">
        <w:rPr>
          <w:b w:val="0"/>
          <w:bCs w:val="0"/>
          <w:i/>
          <w:iCs/>
          <w:color w:val="auto"/>
          <w:sz w:val="22"/>
          <w:szCs w:val="22"/>
          <w:lang w:val="es-EC"/>
        </w:rPr>
        <w:t xml:space="preserve"> de </w:t>
      </w:r>
      <w:proofErr w:type="spellStart"/>
      <w:r w:rsidRPr="001D2DD5">
        <w:rPr>
          <w:b w:val="0"/>
          <w:bCs w:val="0"/>
          <w:i/>
          <w:iCs/>
          <w:color w:val="auto"/>
          <w:sz w:val="22"/>
          <w:szCs w:val="22"/>
          <w:lang w:val="es-EC"/>
        </w:rPr>
        <w:t>individuos</w:t>
      </w:r>
      <w:proofErr w:type="spellEnd"/>
      <w:r w:rsidRPr="001D2DD5">
        <w:rPr>
          <w:b w:val="0"/>
          <w:bCs w:val="0"/>
          <w:i/>
          <w:iCs/>
          <w:color w:val="auto"/>
          <w:sz w:val="22"/>
          <w:szCs w:val="22"/>
          <w:lang w:val="es-EC"/>
        </w:rPr>
        <w:t xml:space="preserve"> (K = 3) </w:t>
      </w:r>
      <w:proofErr w:type="spellStart"/>
      <w:r w:rsidRPr="001D2DD5">
        <w:rPr>
          <w:b w:val="0"/>
          <w:bCs w:val="0"/>
          <w:i/>
          <w:iCs/>
          <w:color w:val="auto"/>
          <w:sz w:val="22"/>
          <w:szCs w:val="22"/>
          <w:lang w:val="es-EC"/>
        </w:rPr>
        <w:t>en</w:t>
      </w:r>
      <w:proofErr w:type="spellEnd"/>
      <w:r w:rsidRPr="001D2DD5">
        <w:rPr>
          <w:b w:val="0"/>
          <w:bCs w:val="0"/>
          <w:i/>
          <w:iCs/>
          <w:color w:val="auto"/>
          <w:sz w:val="22"/>
          <w:szCs w:val="22"/>
          <w:lang w:val="es-EC"/>
        </w:rPr>
        <w:t xml:space="preserve"> </w:t>
      </w:r>
      <w:proofErr w:type="spellStart"/>
      <w:r w:rsidRPr="001D2DD5">
        <w:rPr>
          <w:b w:val="0"/>
          <w:bCs w:val="0"/>
          <w:i/>
          <w:iCs/>
          <w:color w:val="auto"/>
          <w:sz w:val="22"/>
          <w:szCs w:val="22"/>
          <w:lang w:val="es-EC"/>
        </w:rPr>
        <w:t>el</w:t>
      </w:r>
      <w:proofErr w:type="spellEnd"/>
      <w:r w:rsidRPr="001D2DD5">
        <w:rPr>
          <w:b w:val="0"/>
          <w:bCs w:val="0"/>
          <w:i/>
          <w:iCs/>
          <w:color w:val="auto"/>
          <w:sz w:val="22"/>
          <w:szCs w:val="22"/>
          <w:lang w:val="es-EC"/>
        </w:rPr>
        <w:t xml:space="preserve"> </w:t>
      </w:r>
      <w:proofErr w:type="spellStart"/>
      <w:r w:rsidRPr="001D2DD5">
        <w:rPr>
          <w:b w:val="0"/>
          <w:bCs w:val="0"/>
          <w:i/>
          <w:iCs/>
          <w:color w:val="auto"/>
          <w:sz w:val="22"/>
          <w:szCs w:val="22"/>
          <w:lang w:val="es-EC"/>
        </w:rPr>
        <w:t>espacio</w:t>
      </w:r>
      <w:proofErr w:type="spellEnd"/>
      <w:r w:rsidRPr="001D2DD5">
        <w:rPr>
          <w:b w:val="0"/>
          <w:bCs w:val="0"/>
          <w:i/>
          <w:iCs/>
          <w:color w:val="auto"/>
          <w:sz w:val="22"/>
          <w:szCs w:val="22"/>
          <w:lang w:val="es-EC"/>
        </w:rPr>
        <w:t xml:space="preserve"> PCA </w:t>
      </w:r>
      <w:proofErr w:type="spellStart"/>
      <w:r w:rsidRPr="001D2DD5">
        <w:rPr>
          <w:b w:val="0"/>
          <w:bCs w:val="0"/>
          <w:i/>
          <w:iCs/>
          <w:color w:val="auto"/>
          <w:sz w:val="22"/>
          <w:szCs w:val="22"/>
          <w:lang w:val="es-EC"/>
        </w:rPr>
        <w:t>reducido</w:t>
      </w:r>
      <w:proofErr w:type="spellEnd"/>
      <w:r w:rsidRPr="001D2DD5">
        <w:rPr>
          <w:b w:val="0"/>
          <w:bCs w:val="0"/>
          <w:i/>
          <w:iCs/>
          <w:color w:val="auto"/>
          <w:sz w:val="22"/>
          <w:szCs w:val="22"/>
          <w:lang w:val="es-EC"/>
        </w:rPr>
        <w:t xml:space="preserve"> (2D)</w:t>
      </w:r>
    </w:p>
    <w:p w14:paraId="5037FA55" w14:textId="46E8B0E3" w:rsidR="001D2DD5" w:rsidRDefault="001D2DD5" w:rsidP="001D2DD5">
      <w:pPr>
        <w:rPr>
          <w:lang w:val="es-EC"/>
        </w:rPr>
      </w:pPr>
      <w:r>
        <w:rPr>
          <w:noProof/>
          <w:lang w:val="es-EC"/>
        </w:rPr>
        <w:drawing>
          <wp:inline distT="0" distB="0" distL="0" distR="0" wp14:anchorId="297DB93A" wp14:editId="72DAF579">
            <wp:extent cx="3284220" cy="23545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a:stretch>
                      <a:fillRect/>
                    </a:stretch>
                  </pic:blipFill>
                  <pic:spPr>
                    <a:xfrm>
                      <a:off x="0" y="0"/>
                      <a:ext cx="3289738" cy="2358536"/>
                    </a:xfrm>
                    <a:prstGeom prst="rect">
                      <a:avLst/>
                    </a:prstGeom>
                  </pic:spPr>
                </pic:pic>
              </a:graphicData>
            </a:graphic>
          </wp:inline>
        </w:drawing>
      </w:r>
    </w:p>
    <w:p w14:paraId="67D6D532" w14:textId="2D61AD72" w:rsidR="001D2DD5" w:rsidRDefault="001D2DD5" w:rsidP="001D2DD5">
      <w:pPr>
        <w:rPr>
          <w:lang w:val="es-EC"/>
        </w:rPr>
      </w:pPr>
      <w:r w:rsidRPr="001D2DD5">
        <w:rPr>
          <w:lang w:val="es-EC"/>
        </w:rPr>
        <w:t>El agrupamiento distingue tres perfiles socioeconómicos: uno de bajos ingresos y educación, otro intermedio y un tercero con mejores condiciones. Esta segmentación resume la desigualdad estructural de la región y la coexistencia de grupos con niveles claramente diferenciados de bienestar.</w:t>
      </w:r>
    </w:p>
    <w:p w14:paraId="1747B24D" w14:textId="2A09706A" w:rsidR="001D2DD5" w:rsidRDefault="00412E0A" w:rsidP="00412E0A">
      <w:pPr>
        <w:pStyle w:val="Descripcin"/>
        <w:keepNext/>
        <w:spacing w:line="480" w:lineRule="auto"/>
        <w:jc w:val="left"/>
        <w:rPr>
          <w:b w:val="0"/>
          <w:bCs w:val="0"/>
          <w:i/>
          <w:iCs/>
          <w:color w:val="auto"/>
          <w:sz w:val="22"/>
          <w:szCs w:val="22"/>
          <w:lang w:val="es-EC"/>
        </w:rPr>
      </w:pPr>
      <w:r w:rsidRPr="00412E0A">
        <w:rPr>
          <w:color w:val="auto"/>
          <w:sz w:val="22"/>
          <w:szCs w:val="22"/>
          <w:lang w:val="es-EC"/>
        </w:rPr>
        <w:lastRenderedPageBreak/>
        <w:t xml:space="preserve">Figura </w:t>
      </w:r>
      <w:r w:rsidRPr="00412E0A">
        <w:rPr>
          <w:color w:val="auto"/>
          <w:sz w:val="22"/>
          <w:szCs w:val="22"/>
          <w:lang w:val="es-EC"/>
        </w:rPr>
        <w:fldChar w:fldCharType="begin"/>
      </w:r>
      <w:r w:rsidRPr="00412E0A">
        <w:rPr>
          <w:color w:val="auto"/>
          <w:sz w:val="22"/>
          <w:szCs w:val="22"/>
          <w:lang w:val="es-EC"/>
        </w:rPr>
        <w:instrText xml:space="preserve"> SEQ Figura \* ARABIC </w:instrText>
      </w:r>
      <w:r w:rsidRPr="00412E0A">
        <w:rPr>
          <w:color w:val="auto"/>
          <w:sz w:val="22"/>
          <w:szCs w:val="22"/>
          <w:lang w:val="es-EC"/>
        </w:rPr>
        <w:fldChar w:fldCharType="separate"/>
      </w:r>
      <w:r w:rsidR="00682422">
        <w:rPr>
          <w:noProof/>
          <w:color w:val="auto"/>
          <w:sz w:val="22"/>
          <w:szCs w:val="22"/>
          <w:lang w:val="es-EC"/>
        </w:rPr>
        <w:t>6</w:t>
      </w:r>
      <w:r w:rsidRPr="00412E0A">
        <w:rPr>
          <w:color w:val="auto"/>
          <w:sz w:val="22"/>
          <w:szCs w:val="22"/>
          <w:lang w:val="es-EC"/>
        </w:rPr>
        <w:fldChar w:fldCharType="end"/>
      </w:r>
      <w:r w:rsidRPr="00412E0A">
        <w:rPr>
          <w:color w:val="auto"/>
          <w:sz w:val="22"/>
          <w:szCs w:val="22"/>
          <w:lang w:val="es-EC"/>
        </w:rPr>
        <w:br/>
      </w:r>
      <w:proofErr w:type="spellStart"/>
      <w:r w:rsidRPr="00E13051">
        <w:rPr>
          <w:b w:val="0"/>
          <w:bCs w:val="0"/>
          <w:i/>
          <w:iCs/>
          <w:color w:val="auto"/>
          <w:sz w:val="22"/>
          <w:szCs w:val="22"/>
          <w:lang w:val="es-EC"/>
        </w:rPr>
        <w:t>Dendrograma</w:t>
      </w:r>
      <w:proofErr w:type="spellEnd"/>
      <w:r w:rsidRPr="00E13051">
        <w:rPr>
          <w:b w:val="0"/>
          <w:bCs w:val="0"/>
          <w:i/>
          <w:iCs/>
          <w:color w:val="auto"/>
          <w:sz w:val="22"/>
          <w:szCs w:val="22"/>
          <w:lang w:val="es-EC"/>
        </w:rPr>
        <w:t xml:space="preserve"> del agrupamiento jerárquico (Ward)</w:t>
      </w:r>
    </w:p>
    <w:p w14:paraId="3B02D670" w14:textId="17CE0010" w:rsidR="00E13051" w:rsidRDefault="00E13051" w:rsidP="00E13051">
      <w:pPr>
        <w:rPr>
          <w:lang w:val="es-EC"/>
        </w:rPr>
      </w:pPr>
      <w:r>
        <w:rPr>
          <w:noProof/>
          <w:lang w:val="es-EC"/>
        </w:rPr>
        <w:drawing>
          <wp:inline distT="0" distB="0" distL="0" distR="0" wp14:anchorId="217872DD" wp14:editId="7E157247">
            <wp:extent cx="5943600" cy="29254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stretch>
                      <a:fillRect/>
                    </a:stretch>
                  </pic:blipFill>
                  <pic:spPr>
                    <a:xfrm>
                      <a:off x="0" y="0"/>
                      <a:ext cx="5943600" cy="2925445"/>
                    </a:xfrm>
                    <a:prstGeom prst="rect">
                      <a:avLst/>
                    </a:prstGeom>
                  </pic:spPr>
                </pic:pic>
              </a:graphicData>
            </a:graphic>
          </wp:inline>
        </w:drawing>
      </w:r>
    </w:p>
    <w:p w14:paraId="54E51970" w14:textId="5721FB2C" w:rsidR="00E13051" w:rsidRPr="00E13051" w:rsidRDefault="00E13051" w:rsidP="00E13051">
      <w:pPr>
        <w:rPr>
          <w:lang w:val="es-EC"/>
        </w:rPr>
      </w:pPr>
      <w:r w:rsidRPr="00E13051">
        <w:rPr>
          <w:lang w:val="es-EC"/>
        </w:rPr>
        <w:t xml:space="preserve">El </w:t>
      </w:r>
      <w:proofErr w:type="spellStart"/>
      <w:r w:rsidRPr="00E13051">
        <w:rPr>
          <w:lang w:val="es-EC"/>
        </w:rPr>
        <w:t>dendrograma</w:t>
      </w:r>
      <w:proofErr w:type="spellEnd"/>
      <w:r w:rsidRPr="00E13051">
        <w:rPr>
          <w:lang w:val="es-EC"/>
        </w:rPr>
        <w:t xml:space="preserve"> sugiere una estructura regional heterogénea, con al menos tres grupos socioeconómicos diferenciados por nivel educativo, edad e ingreso. Las distancias de fusión más amplias reflejan brechas marcadas entre segmentos de la población, posiblemente asociadas a desigualdades en el acceso a educación y oportunidades laborales. Esta configuración evidencia que, dentro del espacio patagónico analizado, coexisten perfiles con características socioeconómicas contrastantes que explican parte de la dispersión observada en los indicadores de bienestar.</w:t>
      </w:r>
    </w:p>
    <w:sectPr w:rsidR="00E13051" w:rsidRPr="00E13051" w:rsidSect="00034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5E325D3E"/>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F3433"/>
    <w:rsid w:val="001226C1"/>
    <w:rsid w:val="0015074B"/>
    <w:rsid w:val="001D2DD5"/>
    <w:rsid w:val="0029639D"/>
    <w:rsid w:val="003255C4"/>
    <w:rsid w:val="00326F90"/>
    <w:rsid w:val="00335878"/>
    <w:rsid w:val="00381B2B"/>
    <w:rsid w:val="00412E0A"/>
    <w:rsid w:val="00471680"/>
    <w:rsid w:val="00490C3C"/>
    <w:rsid w:val="00682422"/>
    <w:rsid w:val="006D7D9A"/>
    <w:rsid w:val="007160ED"/>
    <w:rsid w:val="00765C02"/>
    <w:rsid w:val="007A21A8"/>
    <w:rsid w:val="00850900"/>
    <w:rsid w:val="009017C6"/>
    <w:rsid w:val="00A07C97"/>
    <w:rsid w:val="00A564CA"/>
    <w:rsid w:val="00AA1D8D"/>
    <w:rsid w:val="00B47730"/>
    <w:rsid w:val="00BF475B"/>
    <w:rsid w:val="00C40E77"/>
    <w:rsid w:val="00CA7943"/>
    <w:rsid w:val="00CB0664"/>
    <w:rsid w:val="00D212FE"/>
    <w:rsid w:val="00E13051"/>
    <w:rsid w:val="00E3653E"/>
    <w:rsid w:val="00E85FE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418591"/>
  <w14:defaultImageDpi w14:val="300"/>
  <w15:docId w15:val="{B4251286-7CBB-4D5F-9064-E65045A41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900"/>
    <w:pPr>
      <w:spacing w:after="0" w:line="360" w:lineRule="auto"/>
      <w:jc w:val="both"/>
    </w:pPr>
    <w:rPr>
      <w:rFonts w:ascii="Times New Roman" w:hAnsi="Times New Roman"/>
    </w:rPr>
  </w:style>
  <w:style w:type="paragraph" w:styleId="Ttulo1">
    <w:name w:val="heading 1"/>
    <w:basedOn w:val="Normal"/>
    <w:next w:val="Normal"/>
    <w:link w:val="Ttulo1Car"/>
    <w:uiPriority w:val="9"/>
    <w:qFormat/>
    <w:rsid w:val="00850900"/>
    <w:pPr>
      <w:keepNext/>
      <w:keepLines/>
      <w:numPr>
        <w:numId w:val="10"/>
      </w:numPr>
      <w:spacing w:before="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FC693F"/>
    <w:pPr>
      <w:keepNext/>
      <w:keepLines/>
      <w:numPr>
        <w:ilvl w:val="1"/>
        <w:numId w:val="10"/>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numPr>
        <w:ilvl w:val="2"/>
        <w:numId w:val="10"/>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numPr>
        <w:ilvl w:val="7"/>
        <w:numId w:val="10"/>
      </w:numPr>
      <w:spacing w:before="20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850900"/>
    <w:rPr>
      <w:rFonts w:ascii="Times New Roman" w:eastAsiaTheme="majorEastAsia" w:hAnsi="Times New Roman" w:cstheme="majorBidi"/>
      <w:b/>
      <w:bCs/>
      <w:sz w:val="24"/>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APA">
    <w:name w:val="APA"/>
    <w:basedOn w:val="Tablanormal"/>
    <w:uiPriority w:val="99"/>
    <w:rsid w:val="00D212FE"/>
    <w:pPr>
      <w:spacing w:after="0" w:line="480" w:lineRule="auto"/>
    </w:pPr>
    <w:rPr>
      <w:rFonts w:ascii="Times New Roman" w:hAnsi="Times New Roman"/>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lastRow">
      <w:tblPr/>
      <w:tcPr>
        <w:tcBorders>
          <w:top w:val="single" w:sz="4" w:space="0" w:color="auto"/>
        </w:tcBorders>
      </w:tcPr>
    </w:tblStylePr>
  </w:style>
  <w:style w:type="character" w:styleId="Hipervnculo">
    <w:name w:val="Hyperlink"/>
    <w:basedOn w:val="Fuentedeprrafopredeter"/>
    <w:uiPriority w:val="99"/>
    <w:unhideWhenUsed/>
    <w:rsid w:val="000F3433"/>
    <w:rPr>
      <w:color w:val="0000FF" w:themeColor="hyperlink"/>
      <w:u w:val="single"/>
    </w:rPr>
  </w:style>
  <w:style w:type="character" w:styleId="Mencinsinresolver">
    <w:name w:val="Unresolved Mention"/>
    <w:basedOn w:val="Fuentedeprrafopredeter"/>
    <w:uiPriority w:val="99"/>
    <w:semiHidden/>
    <w:unhideWhenUsed/>
    <w:rsid w:val="000F34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185753">
      <w:bodyDiv w:val="1"/>
      <w:marLeft w:val="0"/>
      <w:marRight w:val="0"/>
      <w:marTop w:val="0"/>
      <w:marBottom w:val="0"/>
      <w:divBdr>
        <w:top w:val="none" w:sz="0" w:space="0" w:color="auto"/>
        <w:left w:val="none" w:sz="0" w:space="0" w:color="auto"/>
        <w:bottom w:val="none" w:sz="0" w:space="0" w:color="auto"/>
        <w:right w:val="none" w:sz="0" w:space="0" w:color="auto"/>
      </w:divBdr>
    </w:div>
    <w:div w:id="10514239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github.com/Analisis1983/Grupo4_UBA_2025"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1018</Words>
  <Characters>5808</Characters>
  <Application>Microsoft Office Word</Application>
  <DocSecurity>0</DocSecurity>
  <Lines>48</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6813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Angel Enrique Zapata Barros</cp:lastModifiedBy>
  <cp:revision>2</cp:revision>
  <dcterms:created xsi:type="dcterms:W3CDTF">2025-10-19T22:49:00Z</dcterms:created>
  <dcterms:modified xsi:type="dcterms:W3CDTF">2025-10-19T22:49:00Z</dcterms:modified>
  <cp:category/>
</cp:coreProperties>
</file>