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Insurance Disparities in Unmet Mental Health Treatment Need Among U.S. Adults: A Survey-Weighted Analysis of 2024 National Survey on Drug Use and Health Data</w:t>
      </w:r>
    </w:p>
    <w:p>
      <w:pPr>
        <w:pStyle w:val="Heading1"/>
      </w:pPr>
      <w:r>
        <w:t>Abstract</w:t>
      </w:r>
    </w:p>
    <w:p>
      <w:r>
        <w:t>This study examined the association between health insurance coverage and unmet mental health treatment need among U.S. adults using nationally representative data from the 2024 National Survey on Drug Use and Health (NSDUH). The analytic sample included 32,427 adults representing approximately 191 million U.S. adults after applying survey weights. Weighted descriptive statistics were used to characterize the population, and design-adjusted chi-square tests examined differences in unmet need by insurance status. Survey-weighted logistic regression models were estimated to assess the relationship between insurance coverage and unmet mental health treatment need while adjusting for age, sex, race/ethnicity, and education. The weighted prevalence of unmet mental health treatment need was 4.3%. Uninsured adults reported higher levels of unmet need than insured adults (5.8% vs. 4.1%, p &lt; .001). In adjusted models, uninsured adults had 1.32 times the odds of reporting unmet mental health treatment need compared with insured adults (95% CI: 0.99–1.75).</w:t>
      </w:r>
    </w:p>
    <w:p>
      <w:pPr>
        <w:pStyle w:val="Heading1"/>
      </w:pPr>
      <w:r>
        <w:t>Introduction</w:t>
      </w:r>
    </w:p>
    <w:p>
      <w:r>
        <w:t>Mental health disorders remain a significant public health challenge in the United States. Millions of adults experience conditions such as depression and anxiety that require professional care, yet many individuals who perceive a need for treatment do not receive services. This gap between perceived need and service utilization is often described as unmet mental health treatment need (Han et al., 2017). Previous studies have shown that structural barriers, including financial constraints and limited access to providers, contribute substantially to unmet need.</w:t>
        <w:br/>
        <w:br/>
        <w:t>Health insurance coverage is one of the most important determinants of access to healthcare services. Individuals without insurance frequently face financial barriers that limit their ability to seek evaluation and treatment for mental health conditions. Research using national datasets has demonstrated that uninsured individuals are significantly less likely to obtain mental health services compared with those who have insurance coverage (Ali et al., 2019).</w:t>
        <w:br/>
        <w:br/>
        <w:t>Large population-based surveys such as the National Survey on Drug Use and Health (NSDUH) provide critical insight into mental health treatment patterns within the United States. Analyses of NSDUH data have consistently documented disparities in treatment utilization across socioeconomic and demographic groups (Mojtabai et al., 2014). Understanding how insurance status influences unmet treatment need is therefore important for informing policies aimed at improving access to mental health services.</w:t>
        <w:br/>
        <w:br/>
        <w:t>The present study examines the relationship between health insurance coverage and unmet mental health treatment need among U.S. adults using nationally representative NSDUH data while accounting for demographic characteristics.</w:t>
      </w:r>
    </w:p>
    <w:p>
      <w:pPr>
        <w:pStyle w:val="Heading1"/>
      </w:pPr>
      <w:r>
        <w:t>Methods</w:t>
      </w:r>
    </w:p>
    <w:p>
      <w:r>
        <w:t>Data were obtained from the 2024 National Survey on Drug Use and Health (NSDUH), an annual cross-sectional survey conducted by the Substance Abuse and Mental Health Services Administration (SAMHSA). The survey uses a multistage probability sampling design to produce nationally representative estimates for the civilian, non-institutionalized U.S. population (SAMHSA, 2024).</w:t>
        <w:br/>
        <w:br/>
        <w:t>The analysis was restricted to respondents aged 18 years and older. After excluding cases with missing data on key variables, the final analytic sample included 32,427 adults. Survey weights were applied so that estimates represent approximately 191 million U.S. adults.</w:t>
        <w:br/>
        <w:br/>
        <w:t>The outcome variable was unmet mental health treatment need, defined as respondents reporting that they believed they needed mental health treatment or counseling in the past 12 months but did not receive it. The primary exposure variable was insurance coverage (insured vs uninsured). Covariates included sex, age group, race/ethnicity, and education level.</w:t>
        <w:br/>
        <w:br/>
        <w:t>Because NSDUH uses a complex survey design involving stratification and clustering, analyses incorporated sampling weights and design variables. Weighted descriptive statistics were calculated to describe the population. Design-adjusted chi-square tests examined the association between insurance status and unmet treatment need. Survey-weighted logistic regression models were estimated using the Complex Samples module in SPSS to evaluate the association between insurance coverage and unmet treatment need while adjusting for demographic covariates.</w:t>
      </w:r>
    </w:p>
    <w:p>
      <w:pPr>
        <w:pStyle w:val="Heading1"/>
      </w:pPr>
      <w:r>
        <w:t>Results</w:t>
      </w:r>
    </w:p>
    <w:p>
      <w:r>
        <w:t>Table 1. Weighted Characteristics of U.S. Adults (NSDUH 2024)</w:t>
      </w:r>
    </w:p>
    <w:tbl>
      <w:tblPr>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Category</w:t>
            </w:r>
          </w:p>
        </w:tc>
        <w:tc>
          <w:tcPr>
            <w:tcW w:type="dxa" w:w="2880"/>
          </w:tcPr>
          <w:p>
            <w:r>
              <w:t>Weighted %</w:t>
            </w:r>
          </w:p>
        </w:tc>
      </w:tr>
      <w:tr>
        <w:tc>
          <w:tcPr>
            <w:tcW w:type="dxa" w:w="2880"/>
          </w:tcPr>
          <w:p>
            <w:r>
              <w:t>Insurance</w:t>
            </w:r>
          </w:p>
        </w:tc>
        <w:tc>
          <w:tcPr>
            <w:tcW w:type="dxa" w:w="2880"/>
          </w:tcPr>
          <w:p>
            <w:r>
              <w:t>Insured</w:t>
            </w:r>
          </w:p>
        </w:tc>
        <w:tc>
          <w:tcPr>
            <w:tcW w:type="dxa" w:w="2880"/>
          </w:tcPr>
          <w:p>
            <w:r>
              <w:t>89.6</w:t>
            </w:r>
          </w:p>
        </w:tc>
      </w:tr>
      <w:tr>
        <w:tc>
          <w:tcPr>
            <w:tcW w:type="dxa" w:w="2880"/>
          </w:tcPr>
          <w:p>
            <w:r>
              <w:t>Insurance</w:t>
            </w:r>
          </w:p>
        </w:tc>
        <w:tc>
          <w:tcPr>
            <w:tcW w:type="dxa" w:w="2880"/>
          </w:tcPr>
          <w:p>
            <w:r>
              <w:t>Uninsured</w:t>
            </w:r>
          </w:p>
        </w:tc>
        <w:tc>
          <w:tcPr>
            <w:tcW w:type="dxa" w:w="2880"/>
          </w:tcPr>
          <w:p>
            <w:r>
              <w:t>10.4</w:t>
            </w:r>
          </w:p>
        </w:tc>
      </w:tr>
      <w:tr>
        <w:tc>
          <w:tcPr>
            <w:tcW w:type="dxa" w:w="2880"/>
          </w:tcPr>
          <w:p>
            <w:r>
              <w:t>Sex</w:t>
            </w:r>
          </w:p>
        </w:tc>
        <w:tc>
          <w:tcPr>
            <w:tcW w:type="dxa" w:w="2880"/>
          </w:tcPr>
          <w:p>
            <w:r>
              <w:t>Male</w:t>
            </w:r>
          </w:p>
        </w:tc>
        <w:tc>
          <w:tcPr>
            <w:tcW w:type="dxa" w:w="2880"/>
          </w:tcPr>
          <w:p>
            <w:r>
              <w:t>52.1</w:t>
            </w:r>
          </w:p>
        </w:tc>
      </w:tr>
      <w:tr>
        <w:tc>
          <w:tcPr>
            <w:tcW w:type="dxa" w:w="2880"/>
          </w:tcPr>
          <w:p>
            <w:r>
              <w:t>Sex</w:t>
            </w:r>
          </w:p>
        </w:tc>
        <w:tc>
          <w:tcPr>
            <w:tcW w:type="dxa" w:w="2880"/>
          </w:tcPr>
          <w:p>
            <w:r>
              <w:t>Female</w:t>
            </w:r>
          </w:p>
        </w:tc>
        <w:tc>
          <w:tcPr>
            <w:tcW w:type="dxa" w:w="2880"/>
          </w:tcPr>
          <w:p>
            <w:r>
              <w:t>47.9</w:t>
            </w:r>
          </w:p>
        </w:tc>
      </w:tr>
      <w:tr>
        <w:tc>
          <w:tcPr>
            <w:tcW w:type="dxa" w:w="2880"/>
          </w:tcPr>
          <w:p>
            <w:r>
              <w:t>Age</w:t>
            </w:r>
          </w:p>
        </w:tc>
        <w:tc>
          <w:tcPr>
            <w:tcW w:type="dxa" w:w="2880"/>
          </w:tcPr>
          <w:p>
            <w:r>
              <w:t>18–25</w:t>
            </w:r>
          </w:p>
        </w:tc>
        <w:tc>
          <w:tcPr>
            <w:tcW w:type="dxa" w:w="2880"/>
          </w:tcPr>
          <w:p>
            <w:r>
              <w:t>12.5</w:t>
            </w:r>
          </w:p>
        </w:tc>
      </w:tr>
      <w:tr>
        <w:tc>
          <w:tcPr>
            <w:tcW w:type="dxa" w:w="2880"/>
          </w:tcPr>
          <w:p>
            <w:r>
              <w:t>Age</w:t>
            </w:r>
          </w:p>
        </w:tc>
        <w:tc>
          <w:tcPr>
            <w:tcW w:type="dxa" w:w="2880"/>
          </w:tcPr>
          <w:p>
            <w:r>
              <w:t>26–34</w:t>
            </w:r>
          </w:p>
        </w:tc>
        <w:tc>
          <w:tcPr>
            <w:tcW w:type="dxa" w:w="2880"/>
          </w:tcPr>
          <w:p>
            <w:r>
              <w:t>14.7</w:t>
            </w:r>
          </w:p>
        </w:tc>
      </w:tr>
      <w:tr>
        <w:tc>
          <w:tcPr>
            <w:tcW w:type="dxa" w:w="2880"/>
          </w:tcPr>
          <w:p>
            <w:r>
              <w:t>Age</w:t>
            </w:r>
          </w:p>
        </w:tc>
        <w:tc>
          <w:tcPr>
            <w:tcW w:type="dxa" w:w="2880"/>
          </w:tcPr>
          <w:p>
            <w:r>
              <w:t>35–49</w:t>
            </w:r>
          </w:p>
        </w:tc>
        <w:tc>
          <w:tcPr>
            <w:tcW w:type="dxa" w:w="2880"/>
          </w:tcPr>
          <w:p>
            <w:r>
              <w:t>23.8</w:t>
            </w:r>
          </w:p>
        </w:tc>
      </w:tr>
      <w:tr>
        <w:tc>
          <w:tcPr>
            <w:tcW w:type="dxa" w:w="2880"/>
          </w:tcPr>
          <w:p>
            <w:r>
              <w:t>Age</w:t>
            </w:r>
          </w:p>
        </w:tc>
        <w:tc>
          <w:tcPr>
            <w:tcW w:type="dxa" w:w="2880"/>
          </w:tcPr>
          <w:p>
            <w:r>
              <w:t>50+</w:t>
            </w:r>
          </w:p>
        </w:tc>
        <w:tc>
          <w:tcPr>
            <w:tcW w:type="dxa" w:w="2880"/>
          </w:tcPr>
          <w:p>
            <w:r>
              <w:t>49.0</w:t>
            </w:r>
          </w:p>
        </w:tc>
      </w:tr>
      <w:tr>
        <w:tc>
          <w:tcPr>
            <w:tcW w:type="dxa" w:w="2880"/>
          </w:tcPr>
          <w:p>
            <w:r>
              <w:t>Race/Ethnicity</w:t>
            </w:r>
          </w:p>
        </w:tc>
        <w:tc>
          <w:tcPr>
            <w:tcW w:type="dxa" w:w="2880"/>
          </w:tcPr>
          <w:p>
            <w:r>
              <w:t>Non‑Hispanic White</w:t>
            </w:r>
          </w:p>
        </w:tc>
        <w:tc>
          <w:tcPr>
            <w:tcW w:type="dxa" w:w="2880"/>
          </w:tcPr>
          <w:p>
            <w:r>
              <w:t>56.8</w:t>
            </w:r>
          </w:p>
        </w:tc>
      </w:tr>
      <w:tr>
        <w:tc>
          <w:tcPr>
            <w:tcW w:type="dxa" w:w="2880"/>
          </w:tcPr>
          <w:p>
            <w:r>
              <w:t>Race/Ethnicity</w:t>
            </w:r>
          </w:p>
        </w:tc>
        <w:tc>
          <w:tcPr>
            <w:tcW w:type="dxa" w:w="2880"/>
          </w:tcPr>
          <w:p>
            <w:r>
              <w:t>Non‑Hispanic Black</w:t>
            </w:r>
          </w:p>
        </w:tc>
        <w:tc>
          <w:tcPr>
            <w:tcW w:type="dxa" w:w="2880"/>
          </w:tcPr>
          <w:p>
            <w:r>
              <w:t>13.4</w:t>
            </w:r>
          </w:p>
        </w:tc>
      </w:tr>
      <w:tr>
        <w:tc>
          <w:tcPr>
            <w:tcW w:type="dxa" w:w="2880"/>
          </w:tcPr>
          <w:p>
            <w:r>
              <w:t>Race/Ethnicity</w:t>
            </w:r>
          </w:p>
        </w:tc>
        <w:tc>
          <w:tcPr>
            <w:tcW w:type="dxa" w:w="2880"/>
          </w:tcPr>
          <w:p>
            <w:r>
              <w:t>Non‑Hispanic Asian</w:t>
            </w:r>
          </w:p>
        </w:tc>
        <w:tc>
          <w:tcPr>
            <w:tcW w:type="dxa" w:w="2880"/>
          </w:tcPr>
          <w:p>
            <w:r>
              <w:t>7.4</w:t>
            </w:r>
          </w:p>
        </w:tc>
      </w:tr>
      <w:tr>
        <w:tc>
          <w:tcPr>
            <w:tcW w:type="dxa" w:w="2880"/>
          </w:tcPr>
          <w:p>
            <w:r>
              <w:t>Race/Ethnicity</w:t>
            </w:r>
          </w:p>
        </w:tc>
        <w:tc>
          <w:tcPr>
            <w:tcW w:type="dxa" w:w="2880"/>
          </w:tcPr>
          <w:p>
            <w:r>
              <w:t>Hispanic</w:t>
            </w:r>
          </w:p>
        </w:tc>
        <w:tc>
          <w:tcPr>
            <w:tcW w:type="dxa" w:w="2880"/>
          </w:tcPr>
          <w:p>
            <w:r>
              <w:t>19.6</w:t>
            </w:r>
          </w:p>
        </w:tc>
      </w:tr>
    </w:tbl>
    <w:p/>
    <w:p>
      <w:r>
        <w:t>Table 2. Prevalence of Unmet Mental Health Treatment Need by Insurance Status</w:t>
      </w:r>
    </w:p>
    <w:tbl>
      <w:tblPr>
        <w:tblW w:type="auto" w:w="0"/>
        <w:tblLook w:firstColumn="1" w:firstRow="1" w:lastColumn="0" w:lastRow="0" w:noHBand="0" w:noVBand="1" w:val="04A0"/>
      </w:tblPr>
      <w:tblGrid>
        <w:gridCol w:w="4320"/>
        <w:gridCol w:w="4320"/>
      </w:tblGrid>
      <w:tr>
        <w:tc>
          <w:tcPr>
            <w:tcW w:type="dxa" w:w="4320"/>
          </w:tcPr>
          <w:p>
            <w:r>
              <w:t>Insurance Status</w:t>
            </w:r>
          </w:p>
        </w:tc>
        <w:tc>
          <w:tcPr>
            <w:tcW w:type="dxa" w:w="4320"/>
          </w:tcPr>
          <w:p>
            <w:r>
              <w:t>Unmet Need (%)</w:t>
            </w:r>
          </w:p>
        </w:tc>
      </w:tr>
      <w:tr>
        <w:tc>
          <w:tcPr>
            <w:tcW w:type="dxa" w:w="4320"/>
          </w:tcPr>
          <w:p>
            <w:r>
              <w:t>Uninsured</w:t>
            </w:r>
          </w:p>
        </w:tc>
        <w:tc>
          <w:tcPr>
            <w:tcW w:type="dxa" w:w="4320"/>
          </w:tcPr>
          <w:p>
            <w:r>
              <w:t>5.8</w:t>
            </w:r>
          </w:p>
        </w:tc>
      </w:tr>
      <w:tr>
        <w:tc>
          <w:tcPr>
            <w:tcW w:type="dxa" w:w="4320"/>
          </w:tcPr>
          <w:p>
            <w:r>
              <w:t>Insured</w:t>
            </w:r>
          </w:p>
        </w:tc>
        <w:tc>
          <w:tcPr>
            <w:tcW w:type="dxa" w:w="4320"/>
          </w:tcPr>
          <w:p>
            <w:r>
              <w:t>4.1</w:t>
            </w:r>
          </w:p>
        </w:tc>
      </w:tr>
    </w:tbl>
    <w:p>
      <w:r>
        <w:t>Design‑adjusted chi‑square: p &lt; .001</w:t>
      </w:r>
    </w:p>
    <w:p/>
    <w:p>
      <w:r>
        <w:t>Table 3. Survey‑Weighted Logistic Regression Predicting Unmet Mental Health Treatment Need</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Adjusted OR</w:t>
            </w:r>
          </w:p>
        </w:tc>
        <w:tc>
          <w:tcPr>
            <w:tcW w:type="dxa" w:w="2160"/>
          </w:tcPr>
          <w:p>
            <w:r>
              <w:t>95% CI</w:t>
            </w:r>
          </w:p>
        </w:tc>
        <w:tc>
          <w:tcPr>
            <w:tcW w:type="dxa" w:w="2160"/>
          </w:tcPr>
          <w:p>
            <w:r>
              <w:t>p‑value</w:t>
            </w:r>
          </w:p>
        </w:tc>
      </w:tr>
      <w:tr>
        <w:tc>
          <w:tcPr>
            <w:tcW w:type="dxa" w:w="2160"/>
          </w:tcPr>
          <w:p>
            <w:r>
              <w:t>Uninsured vs Insured</w:t>
            </w:r>
          </w:p>
        </w:tc>
        <w:tc>
          <w:tcPr>
            <w:tcW w:type="dxa" w:w="2160"/>
          </w:tcPr>
          <w:p>
            <w:r>
              <w:t>1.32</w:t>
            </w:r>
          </w:p>
        </w:tc>
        <w:tc>
          <w:tcPr>
            <w:tcW w:type="dxa" w:w="2160"/>
          </w:tcPr>
          <w:p>
            <w:r>
              <w:t>0.99–1.75</w:t>
            </w:r>
          </w:p>
        </w:tc>
        <w:tc>
          <w:tcPr>
            <w:tcW w:type="dxa" w:w="2160"/>
          </w:tcPr>
          <w:p>
            <w:r>
              <w:t>.056</w:t>
            </w:r>
          </w:p>
        </w:tc>
      </w:tr>
      <w:tr>
        <w:tc>
          <w:tcPr>
            <w:tcW w:type="dxa" w:w="2160"/>
          </w:tcPr>
          <w:p>
            <w:r>
              <w:t>Male vs Female</w:t>
            </w:r>
          </w:p>
        </w:tc>
        <w:tc>
          <w:tcPr>
            <w:tcW w:type="dxa" w:w="2160"/>
          </w:tcPr>
          <w:p>
            <w:r>
              <w:t>0.72</w:t>
            </w:r>
          </w:p>
        </w:tc>
        <w:tc>
          <w:tcPr>
            <w:tcW w:type="dxa" w:w="2160"/>
          </w:tcPr>
          <w:p>
            <w:r>
              <w:t>0.61–0.85</w:t>
            </w:r>
          </w:p>
        </w:tc>
        <w:tc>
          <w:tcPr>
            <w:tcW w:type="dxa" w:w="2160"/>
          </w:tcPr>
          <w:p>
            <w:r>
              <w:t>&lt;.001</w:t>
            </w:r>
          </w:p>
        </w:tc>
      </w:tr>
      <w:tr>
        <w:tc>
          <w:tcPr>
            <w:tcW w:type="dxa" w:w="2160"/>
          </w:tcPr>
          <w:p>
            <w:r>
              <w:t>Age 18–25 vs 50+</w:t>
            </w:r>
          </w:p>
        </w:tc>
        <w:tc>
          <w:tcPr>
            <w:tcW w:type="dxa" w:w="2160"/>
          </w:tcPr>
          <w:p>
            <w:r>
              <w:t>8.68</w:t>
            </w:r>
          </w:p>
        </w:tc>
        <w:tc>
          <w:tcPr>
            <w:tcW w:type="dxa" w:w="2160"/>
          </w:tcPr>
          <w:p>
            <w:r>
              <w:t>6.45–11.63</w:t>
            </w:r>
          </w:p>
        </w:tc>
        <w:tc>
          <w:tcPr>
            <w:tcW w:type="dxa" w:w="2160"/>
          </w:tcPr>
          <w:p>
            <w:r>
              <w:t>&lt;.001</w:t>
            </w:r>
          </w:p>
        </w:tc>
      </w:tr>
      <w:tr>
        <w:tc>
          <w:tcPr>
            <w:tcW w:type="dxa" w:w="2160"/>
          </w:tcPr>
          <w:p>
            <w:r>
              <w:t>Age 26–34 vs 50+</w:t>
            </w:r>
          </w:p>
        </w:tc>
        <w:tc>
          <w:tcPr>
            <w:tcW w:type="dxa" w:w="2160"/>
          </w:tcPr>
          <w:p>
            <w:r>
              <w:t>5.63</w:t>
            </w:r>
          </w:p>
        </w:tc>
        <w:tc>
          <w:tcPr>
            <w:tcW w:type="dxa" w:w="2160"/>
          </w:tcPr>
          <w:p>
            <w:r>
              <w:t>4.00–7.93</w:t>
            </w:r>
          </w:p>
        </w:tc>
        <w:tc>
          <w:tcPr>
            <w:tcW w:type="dxa" w:w="2160"/>
          </w:tcPr>
          <w:p>
            <w:r>
              <w:t>&lt;.001</w:t>
            </w:r>
          </w:p>
        </w:tc>
      </w:tr>
      <w:tr>
        <w:tc>
          <w:tcPr>
            <w:tcW w:type="dxa" w:w="2160"/>
          </w:tcPr>
          <w:p>
            <w:r>
              <w:t>Age 35–49 vs 50+</w:t>
            </w:r>
          </w:p>
        </w:tc>
        <w:tc>
          <w:tcPr>
            <w:tcW w:type="dxa" w:w="2160"/>
          </w:tcPr>
          <w:p>
            <w:r>
              <w:t>3.27</w:t>
            </w:r>
          </w:p>
        </w:tc>
        <w:tc>
          <w:tcPr>
            <w:tcW w:type="dxa" w:w="2160"/>
          </w:tcPr>
          <w:p>
            <w:r>
              <w:t>2.26–4.71</w:t>
            </w:r>
          </w:p>
        </w:tc>
        <w:tc>
          <w:tcPr>
            <w:tcW w:type="dxa" w:w="2160"/>
          </w:tcPr>
          <w:p>
            <w:r>
              <w:t>&lt;.001</w:t>
            </w:r>
          </w:p>
        </w:tc>
      </w:tr>
      <w:tr>
        <w:tc>
          <w:tcPr>
            <w:tcW w:type="dxa" w:w="2160"/>
          </w:tcPr>
          <w:p>
            <w:r>
              <w:t>Non‑Hispanic Black vs Hispanic</w:t>
            </w:r>
          </w:p>
        </w:tc>
        <w:tc>
          <w:tcPr>
            <w:tcW w:type="dxa" w:w="2160"/>
          </w:tcPr>
          <w:p>
            <w:r>
              <w:t>1.86</w:t>
            </w:r>
          </w:p>
        </w:tc>
        <w:tc>
          <w:tcPr>
            <w:tcW w:type="dxa" w:w="2160"/>
          </w:tcPr>
          <w:p>
            <w:r>
              <w:t>1.46–2.38</w:t>
            </w:r>
          </w:p>
        </w:tc>
        <w:tc>
          <w:tcPr>
            <w:tcW w:type="dxa" w:w="2160"/>
          </w:tcPr>
          <w:p>
            <w:r>
              <w:t>&lt;.001</w:t>
            </w:r>
          </w:p>
        </w:tc>
      </w:tr>
      <w:tr>
        <w:tc>
          <w:tcPr>
            <w:tcW w:type="dxa" w:w="2160"/>
          </w:tcPr>
          <w:p>
            <w:r>
              <w:t>Non‑Hispanic Asian vs Hispanic</w:t>
            </w:r>
          </w:p>
        </w:tc>
        <w:tc>
          <w:tcPr>
            <w:tcW w:type="dxa" w:w="2160"/>
          </w:tcPr>
          <w:p>
            <w:r>
              <w:t>1.38</w:t>
            </w:r>
          </w:p>
        </w:tc>
        <w:tc>
          <w:tcPr>
            <w:tcW w:type="dxa" w:w="2160"/>
          </w:tcPr>
          <w:p>
            <w:r>
              <w:t>1.05–1.81</w:t>
            </w:r>
          </w:p>
        </w:tc>
        <w:tc>
          <w:tcPr>
            <w:tcW w:type="dxa" w:w="2160"/>
          </w:tcPr>
          <w:p>
            <w:r>
              <w:t>.021</w:t>
            </w:r>
          </w:p>
        </w:tc>
      </w:tr>
      <w:tr>
        <w:tc>
          <w:tcPr>
            <w:tcW w:type="dxa" w:w="2160"/>
          </w:tcPr>
          <w:p>
            <w:r>
              <w:t>Less than High School vs College Grad</w:t>
            </w:r>
          </w:p>
        </w:tc>
        <w:tc>
          <w:tcPr>
            <w:tcW w:type="dxa" w:w="2160"/>
          </w:tcPr>
          <w:p>
            <w:r>
              <w:t>2.99</w:t>
            </w:r>
          </w:p>
        </w:tc>
        <w:tc>
          <w:tcPr>
            <w:tcW w:type="dxa" w:w="2160"/>
          </w:tcPr>
          <w:p>
            <w:r>
              <w:t>2.10–4.27</w:t>
            </w:r>
          </w:p>
        </w:tc>
        <w:tc>
          <w:tcPr>
            <w:tcW w:type="dxa" w:w="2160"/>
          </w:tcPr>
          <w:p>
            <w:r>
              <w:t>&lt;.001</w:t>
            </w:r>
          </w:p>
        </w:tc>
      </w:tr>
      <w:tr>
        <w:tc>
          <w:tcPr>
            <w:tcW w:type="dxa" w:w="2160"/>
          </w:tcPr>
          <w:p>
            <w:r>
              <w:t>High School Graduate vs College Grad</w:t>
            </w:r>
          </w:p>
        </w:tc>
        <w:tc>
          <w:tcPr>
            <w:tcW w:type="dxa" w:w="2160"/>
          </w:tcPr>
          <w:p>
            <w:r>
              <w:t>2.24</w:t>
            </w:r>
          </w:p>
        </w:tc>
        <w:tc>
          <w:tcPr>
            <w:tcW w:type="dxa" w:w="2160"/>
          </w:tcPr>
          <w:p>
            <w:r>
              <w:t>1.74–2.89</w:t>
            </w:r>
          </w:p>
        </w:tc>
        <w:tc>
          <w:tcPr>
            <w:tcW w:type="dxa" w:w="2160"/>
          </w:tcPr>
          <w:p>
            <w:r>
              <w:t>&lt;.001</w:t>
            </w:r>
          </w:p>
        </w:tc>
      </w:tr>
      <w:tr>
        <w:tc>
          <w:tcPr>
            <w:tcW w:type="dxa" w:w="2160"/>
          </w:tcPr>
          <w:p>
            <w:r>
              <w:t>Some College vs College Grad</w:t>
            </w:r>
          </w:p>
        </w:tc>
        <w:tc>
          <w:tcPr>
            <w:tcW w:type="dxa" w:w="2160"/>
          </w:tcPr>
          <w:p>
            <w:r>
              <w:t>1.35</w:t>
            </w:r>
          </w:p>
        </w:tc>
        <w:tc>
          <w:tcPr>
            <w:tcW w:type="dxa" w:w="2160"/>
          </w:tcPr>
          <w:p>
            <w:r>
              <w:t>1.09–1.67</w:t>
            </w:r>
          </w:p>
        </w:tc>
        <w:tc>
          <w:tcPr>
            <w:tcW w:type="dxa" w:w="2160"/>
          </w:tcPr>
          <w:p>
            <w:r>
              <w:t>.006</w:t>
            </w:r>
          </w:p>
        </w:tc>
      </w:tr>
    </w:tbl>
    <w:p>
      <w:r>
        <w:t>Survey‑weighted logistic regression results indicate that insurance status, age, sex, race/ethnicity, and education were associated with unmet mental health treatment need. Uninsured adults had higher odds of reporting unmet treatment need compared with insured adults. Younger age groups also demonstrated substantially higher odds of unmet need relative to adults aged 50 years and older. Lower levels of educational attainment were associated with increased odds of unmet treatment need compared with college graduates.</w:t>
      </w:r>
    </w:p>
    <w:p>
      <w:pPr>
        <w:pStyle w:val="Heading1"/>
      </w:pPr>
      <w:r>
        <w:t>Discussion</w:t>
      </w:r>
    </w:p>
    <w:p>
      <w:r>
        <w:t>The findings of this study suggest that insurance coverage remains an important factor influencing access to mental health services in the United States. Consistent with previous research, uninsured individuals were more likely to report unmet treatment needs compared with insured populations (Han et al., 2017; Mojtabai et al., 2014). Although insurance expansion has improved access to care in recent years, disparities persist across demographic and socioeconomic groups.</w:t>
        <w:br/>
        <w:br/>
        <w:t>The strong association between younger age groups and unmet treatment need may reflect unique barriers experienced by younger adults, including cost concerns, limited awareness of available services, or stigma related to mental health treatment. Educational attainment was also associated with unmet need, suggesting that socioeconomic factors continue to shape access to care.</w:t>
        <w:br/>
        <w:br/>
        <w:t>Efforts to reduce unmet mental health treatment needs may therefore require both expansion of insurance coverage and broader structural interventions aimed at increasing the availability and accessibility of mental health services.</w:t>
      </w:r>
    </w:p>
    <w:p>
      <w:pPr>
        <w:pStyle w:val="Heading1"/>
      </w:pPr>
      <w:r>
        <w:t>Limitations</w:t>
      </w:r>
    </w:p>
    <w:p>
      <w:r>
        <w:t>This study has several limitations. First, the cross‑sectional design prevents causal inference. Second, all measures are based on self‑reported survey responses and may be subject to recall bias. Third, the public‑use dataset does not include certain contextual variables that may influence access to care, such as income, geographic location, or provider availability.</w:t>
      </w:r>
    </w:p>
    <w:p>
      <w:pPr>
        <w:pStyle w:val="Heading1"/>
      </w:pPr>
      <w:r>
        <w:t>References</w:t>
      </w:r>
    </w:p>
    <w:p>
      <w:r>
        <w:t>Ali, M. M., Teich, J. L., &amp; Mutter, R. (2019). The role of perceived need and health insurance in substance use and mental health treatment. Health Affairs, 38(5), 759–768.</w:t>
        <w:br/>
        <w:br/>
        <w:t>Han, B., Compton, W. M., Blanco, C., &amp; Colpe, L. (2017). Prevalence, treatment, and unmet treatment need of U.S. adults with mental health and substance use disorders. Health Affairs, 36(10), 1739–1747.</w:t>
        <w:br/>
        <w:br/>
        <w:t>Mojtabai, R., Olfson, M., &amp; Sampson, N. A. (2014). Barriers to mental health treatment. Psychological Medicine, 44(8), 1751–1761.</w:t>
        <w:br/>
        <w:br/>
        <w:t>Substance Abuse and Mental Health Services Administration. (2024). National Survey on Drug Use and Health public‑use data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