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pPr>
      <w:r>
        <w:t xml:space="preserve"/>
      </w:r>
    </w:p>
    <w:p>
      <w:pPr>
        <w:spacing w:after="20" w:before="20"/>
      </w:pPr>
      <w:r>
        <w:t xml:space="preserve"/>
      </w:r>
    </w:p>
    <w:p>
      <w:pPr>
        <w:spacing w:after="20" w:before="20"/>
      </w:pPr>
      <w:r>
        <w:t xml:space="preserve"/>
      </w:r>
    </w:p>
    <w:p>
      <w:pPr>
        <w:spacing w:after="20" w:before="20"/>
      </w:pPr>
      <w:r>
        <w:t xml:space="preserve"/>
      </w:r>
    </w:p>
    <w:p>
      <w:pPr>
        <w:spacing w:after="80" w:before="100"/>
        <w:jc w:val="center"/>
      </w:pPr>
      <w:r>
        <w:rPr>
          <w:rFonts w:ascii="Arial" w:cs="Arial" w:eastAsia="Arial" w:hAnsi="Arial"/>
          <w:b/>
          <w:bCs/>
          <w:color w:val="1F4E79"/>
          <w:sz w:val="52"/>
          <w:szCs w:val="52"/>
        </w:rPr>
        <w:t xml:space="preserve">Factor Analysis &amp; Cluster Analysis</w:t>
      </w:r>
    </w:p>
    <w:p>
      <w:pPr>
        <w:spacing w:after="60" w:before="60"/>
        <w:jc w:val="center"/>
      </w:pPr>
      <w:r>
        <w:rPr>
          <w:rFonts w:ascii="Arial" w:cs="Arial" w:eastAsia="Arial" w:hAnsi="Arial"/>
          <w:color w:val="2E75B6"/>
          <w:sz w:val="28"/>
          <w:szCs w:val="28"/>
        </w:rPr>
        <w:t xml:space="preserve">A Structured Report with R Code, Output &amp; Interpretation</w:t>
      </w:r>
    </w:p>
    <w:p>
      <w:pPr>
        <w:pBdr>
          <w:bottom w:val="single" w:color="C55A11" w:sz="8"/>
        </w:pBdr>
        <w:spacing w:after="240" w:before="40"/>
        <w:jc w:val="center"/>
      </w:pPr>
      <w:r>
        <w:t xml:space="preserve"/>
      </w:r>
    </w:p>
    <w:p>
      <w:pPr>
        <w:jc w:val="center"/>
      </w:pPr>
      <w:r>
        <w:rPr>
          <w:rFonts w:ascii="Arial" w:cs="Arial" w:eastAsia="Arial" w:hAnsi="Arial"/>
          <w:color w:val="595959"/>
          <w:sz w:val="24"/>
          <w:szCs w:val="24"/>
        </w:rPr>
        <w:t xml:space="preserve">Datasets: pca_gsp.csv  |  utilities.csv</w:t>
      </w:r>
    </w:p>
    <w:p>
      <w:pPr>
        <w:jc w:val="center"/>
      </w:pPr>
      <w:r>
        <w:rPr>
          <w:rFonts w:ascii="Arial" w:cs="Arial" w:eastAsia="Arial" w:hAnsi="Arial"/>
          <w:color w:val="595959"/>
          <w:sz w:val="24"/>
          <w:szCs w:val="24"/>
        </w:rPr>
        <w:t xml:space="preserve">Course: Advanced Multivariate Data Analysis</w:t>
      </w:r>
    </w:p>
    <w:p>
      <w:pPr>
        <w:spacing w:after="20" w:before="20"/>
      </w:pPr>
      <w:r>
        <w:t xml:space="preserve"/>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000"/>
        <w:gridCol w:w="1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Dataset</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Variables</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Observations</w:t>
            </w:r>
          </w:p>
        </w:tc>
        <w:tc>
          <w:tcPr>
            <w:tcW w:type="dxa" w:w="1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pca_gsp.csv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State, Ag, Mining, Constr, Manuf, Manuf_nd, Transp, Comm, Energy, TradeW, TradeR, RE, Services, Govt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 US States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Factor Analysis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utilities.csv</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Company, Fixed_charge, RoR, Cost, Load, D.Demand, Sales, Nuclear, Fuel_Cost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22 Utility Companies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Cluster Analysis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200"/>
              <w:left w:type="dxa" w:w="400"/>
              <w:bottom w:type="dxa" w:w="200"/>
              <w:right w:type="dxa" w:w="400"/>
            </w:tcMar>
          </w:tcPr>
          <w:p>
            <w:pPr>
              <w:jc w:val="center"/>
            </w:pPr>
            <w:r>
              <w:rPr>
                <w:rFonts w:ascii="Arial" w:cs="Arial" w:eastAsia="Arial" w:hAnsi="Arial"/>
                <w:b/>
                <w:bCs/>
                <w:color w:val="FFFFFF"/>
                <w:sz w:val="36"/>
                <w:szCs w:val="36"/>
              </w:rPr>
              <w:t xml:space="preserve">PART A — FACTOR ANALYSIS</w:t>
            </w:r>
          </w:p>
        </w:tc>
      </w:tr>
    </w:tbl>
    <w:p>
      <w:pPr>
        <w:spacing w:after="20" w:before="20"/>
      </w:pPr>
      <w:r>
        <w:t xml:space="preserve"/>
      </w:r>
    </w:p>
    <w:p>
      <w:pPr>
        <w:spacing w:after="100" w:before="60"/>
      </w:pPr>
      <w:r>
        <w:rPr>
          <w:rFonts w:ascii="Arial" w:cs="Arial" w:eastAsia="Arial" w:hAnsi="Arial"/>
          <w:sz w:val="22"/>
          <w:szCs w:val="22"/>
        </w:rPr>
        <w:t xml:space="preserve">Factor Analysis (FA) is a statistical method used to uncover the underlying latent structure (factors) that explain the correlations observed among a set of observed variables. Unlike PCA, which focuses on maximum variance, FA focuses on shared variance (communality) among variables to identify common factors.</w:t>
      </w:r>
    </w:p>
    <w:p>
      <w:pPr>
        <w:spacing w:after="100" w:before="60"/>
      </w:pPr>
      <w:r>
        <w:rPr>
          <w:rFonts w:ascii="Arial" w:cs="Arial" w:eastAsia="Arial" w:hAnsi="Arial"/>
          <w:sz w:val="22"/>
          <w:szCs w:val="22"/>
        </w:rPr>
        <w:t xml:space="preserve">Dataset used: pca_gsp.csv — 50 US states with 13 economic sector variables (Agriculture, Mining, Construction, Manufacturing, Transport, Communication, Energy, Wholesale Trade, Retail Trade, Real Estate, Services, Government).</w:t>
      </w:r>
    </w:p>
    <w:p>
      <w:pPr>
        <w:spacing w:after="20" w:before="20"/>
      </w:pPr>
      <w:r>
        <w:t xml:space="preserve"/>
      </w:r>
    </w:p>
    <w:p>
      <w:pPr>
        <w:pBdr>
          <w:bottom w:val="single" w:color="1F4E79" w:sz="6" w:space="1"/>
        </w:pBdr>
        <w:spacing w:after="160" w:before="360"/>
      </w:pPr>
      <w:r>
        <w:rPr>
          <w:rFonts w:ascii="Arial" w:cs="Arial" w:eastAsia="Arial" w:hAnsi="Arial"/>
          <w:b/>
          <w:bCs/>
          <w:color w:val="1F4E79"/>
          <w:sz w:val="34"/>
          <w:szCs w:val="34"/>
        </w:rPr>
        <w:t xml:space="preserve">FA — 1. Steps of Factor Analysis</w:t>
      </w:r>
    </w:p>
    <w:p>
      <w:pPr>
        <w:spacing w:after="100" w:before="240"/>
      </w:pPr>
      <w:r>
        <w:rPr>
          <w:rFonts w:ascii="Arial" w:cs="Arial" w:eastAsia="Arial" w:hAnsi="Arial"/>
          <w:b/>
          <w:bCs/>
          <w:color w:val="2E75B6"/>
          <w:sz w:val="26"/>
          <w:szCs w:val="26"/>
        </w:rPr>
        <w:t xml:space="preserve">Step 1: Load Dataset &amp; Libraries</w:t>
      </w:r>
    </w:p>
    <w:p>
      <w:pPr>
        <w:spacing w:after="100" w:before="60"/>
      </w:pPr>
      <w:r>
        <w:rPr>
          <w:rFonts w:ascii="Arial" w:cs="Arial" w:eastAsia="Arial" w:hAnsi="Arial"/>
          <w:sz w:val="22"/>
          <w:szCs w:val="22"/>
        </w:rPr>
        <w:t xml:space="preserve">Import the pca_gsp.csv file and load required libraries. The attach() function lets us reference column names directly. The X matrix is constructed by binding the 13 numeric sector variables using cbind().</w:t>
      </w:r>
    </w:p>
    <w:p>
      <w:pPr>
        <w:spacing w:after="100" w:before="240"/>
      </w:pPr>
      <w:r>
        <w:rPr>
          <w:rFonts w:ascii="Arial" w:cs="Arial" w:eastAsia="Arial" w:hAnsi="Arial"/>
          <w:b/>
          <w:bCs/>
          <w:color w:val="2E75B6"/>
          <w:sz w:val="26"/>
          <w:szCs w:val="26"/>
        </w:rPr>
        <w:t xml:space="preserve">Step 2: Descriptive Statistics &amp; Correlation</w:t>
      </w:r>
    </w:p>
    <w:p>
      <w:pPr>
        <w:spacing w:after="100" w:before="60"/>
      </w:pPr>
      <w:r>
        <w:rPr>
          <w:rFonts w:ascii="Arial" w:cs="Arial" w:eastAsia="Arial" w:hAnsi="Arial"/>
          <w:sz w:val="22"/>
          <w:szCs w:val="22"/>
        </w:rPr>
        <w:t xml:space="preserve">Run summary(X) for descriptive statistics and cor(X) to produce the 13×13 correlation matrix. This reveals which economic sectors move together across US states — the foundation for factor analysis.</w:t>
      </w:r>
    </w:p>
    <w:p>
      <w:pPr>
        <w:spacing w:after="100" w:before="240"/>
      </w:pPr>
      <w:r>
        <w:rPr>
          <w:rFonts w:ascii="Arial" w:cs="Arial" w:eastAsia="Arial" w:hAnsi="Arial"/>
          <w:b/>
          <w:bCs/>
          <w:color w:val="2E75B6"/>
          <w:sz w:val="26"/>
          <w:szCs w:val="26"/>
        </w:rPr>
        <w:t xml:space="preserve">Step 3: Check Suitability for FA</w:t>
      </w:r>
    </w:p>
    <w:p>
      <w:pPr>
        <w:spacing w:after="100" w:before="60"/>
      </w:pPr>
      <w:r>
        <w:rPr>
          <w:rFonts w:ascii="Arial" w:cs="Arial" w:eastAsia="Arial" w:hAnsi="Arial"/>
          <w:sz w:val="22"/>
          <w:szCs w:val="22"/>
        </w:rPr>
        <w:t xml:space="preserve">Two pre-tests validate that FA is appropriate:</w:t>
      </w:r>
    </w:p>
    <w:p>
      <w:pPr>
        <w:pStyle w:val="ListParagraph"/>
        <w:numPr>
          <w:ilvl w:val="0"/>
          <w:numId w:val="2"/>
        </w:numPr>
        <w:spacing w:after="40" w:before="40"/>
      </w:pPr>
      <w:r>
        <w:rPr>
          <w:rFonts w:ascii="Arial" w:cs="Arial" w:eastAsia="Arial" w:hAnsi="Arial"/>
          <w:b w:val="false"/>
          <w:bCs w:val="false"/>
          <w:sz w:val="22"/>
          <w:szCs w:val="22"/>
        </w:rPr>
        <w:t xml:space="preserve">KMO Test (KMOS): Measures sampling adequacy — values above 0.60 are acceptable; above 0.80 is meritorious.</w:t>
      </w:r>
    </w:p>
    <w:p>
      <w:pPr>
        <w:pStyle w:val="ListParagraph"/>
        <w:numPr>
          <w:ilvl w:val="0"/>
          <w:numId w:val="2"/>
        </w:numPr>
        <w:spacing w:after="40" w:before="40"/>
      </w:pPr>
      <w:r>
        <w:rPr>
          <w:rFonts w:ascii="Arial" w:cs="Arial" w:eastAsia="Arial" w:hAnsi="Arial"/>
          <w:b w:val="false"/>
          <w:bCs w:val="false"/>
          <w:sz w:val="22"/>
          <w:szCs w:val="22"/>
        </w:rPr>
        <w:t xml:space="preserve">Bartlett's Test of Sphericity (bart_spher): Tests whether the correlation matrix is an identity matrix. A significant p-value (&lt; 0.05) confirms shared correlations exist.</w:t>
      </w:r>
    </w:p>
    <w:p>
      <w:pPr>
        <w:spacing w:after="100" w:before="240"/>
      </w:pPr>
      <w:r>
        <w:rPr>
          <w:rFonts w:ascii="Arial" w:cs="Arial" w:eastAsia="Arial" w:hAnsi="Arial"/>
          <w:b/>
          <w:bCs/>
          <w:color w:val="2E75B6"/>
          <w:sz w:val="26"/>
          <w:szCs w:val="26"/>
        </w:rPr>
        <w:t xml:space="preserve">Step 4: Run FA Without Rotation — factanal()</w:t>
      </w:r>
    </w:p>
    <w:p>
      <w:pPr>
        <w:spacing w:after="100" w:before="60"/>
      </w:pPr>
      <w:r>
        <w:rPr>
          <w:rFonts w:ascii="Arial" w:cs="Arial" w:eastAsia="Arial" w:hAnsi="Arial"/>
          <w:sz w:val="22"/>
          <w:szCs w:val="22"/>
        </w:rPr>
        <w:t xml:space="preserve">The factanal() function performs Maximum Likelihood Factor Analysis with a specified number of factors (here: 3). Running it first without rotation gives the initial factor loading matrix — showing how each variable relates to each factor before any simplification.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Argument</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13-variable numeric matrix</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factor = 3</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Extract 3 common factors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rotation = "none"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rotation — raw initial solution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rotation = "varimax"</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Orthogonal rotation (factors kept independent)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rotation = "promax"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Oblique rotation (factors allowed to correlate)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scores = "regression"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Compute factor scores for each observation</w:t>
            </w:r>
          </w:p>
        </w:tc>
      </w:tr>
    </w:tbl>
    <w:p>
      <w:pPr>
        <w:spacing w:after="20" w:before="20"/>
      </w:pPr>
      <w:r>
        <w:t xml:space="preserve"/>
      </w:r>
    </w:p>
    <w:p>
      <w:pPr>
        <w:spacing w:after="100" w:before="240"/>
      </w:pPr>
      <w:r>
        <w:rPr>
          <w:rFonts w:ascii="Arial" w:cs="Arial" w:eastAsia="Arial" w:hAnsi="Arial"/>
          <w:b/>
          <w:bCs/>
          <w:color w:val="2E75B6"/>
          <w:sz w:val="26"/>
          <w:szCs w:val="26"/>
        </w:rPr>
        <w:t xml:space="preserve">Step 5: Run FA With Varimax Rotation</w:t>
      </w:r>
    </w:p>
    <w:p>
      <w:pPr>
        <w:spacing w:after="100" w:before="60"/>
      </w:pPr>
      <w:r>
        <w:rPr>
          <w:rFonts w:ascii="Arial" w:cs="Arial" w:eastAsia="Arial" w:hAnsi="Arial"/>
          <w:sz w:val="22"/>
          <w:szCs w:val="22"/>
        </w:rPr>
        <w:t xml:space="preserve">Varimax is an orthogonal rotation that maximises the variance of squared loadings within each factor. The result is a simpler, more interpretable loading matrix — each variable tends to load heavily on one factor and minimally on others (simple structure).</w:t>
      </w:r>
    </w:p>
    <w:p>
      <w:pPr>
        <w:spacing w:after="100" w:before="240"/>
      </w:pPr>
      <w:r>
        <w:rPr>
          <w:rFonts w:ascii="Arial" w:cs="Arial" w:eastAsia="Arial" w:hAnsi="Arial"/>
          <w:b/>
          <w:bCs/>
          <w:color w:val="2E75B6"/>
          <w:sz w:val="26"/>
          <w:szCs w:val="26"/>
        </w:rPr>
        <w:t xml:space="preserve">Step 6: Compute Factor Scores</w:t>
      </w:r>
    </w:p>
    <w:p>
      <w:pPr>
        <w:spacing w:after="100" w:before="60"/>
      </w:pPr>
      <w:r>
        <w:rPr>
          <w:rFonts w:ascii="Arial" w:cs="Arial" w:eastAsia="Arial" w:hAnsi="Arial"/>
          <w:sz w:val="22"/>
          <w:szCs w:val="22"/>
        </w:rPr>
        <w:t xml:space="preserve">Factor scores are composite values for each observation (state) on each factor. By setting scores='regression', R uses the regression method to compute scores — these scores can be used as input for further analyses such as cluster analysis or regression.</w:t>
      </w:r>
    </w:p>
    <w:p>
      <w:pPr>
        <w:spacing w:after="100" w:before="240"/>
      </w:pPr>
      <w:r>
        <w:rPr>
          <w:rFonts w:ascii="Arial" w:cs="Arial" w:eastAsia="Arial" w:hAnsi="Arial"/>
          <w:b/>
          <w:bCs/>
          <w:color w:val="2E75B6"/>
          <w:sz w:val="26"/>
          <w:szCs w:val="26"/>
        </w:rPr>
        <w:t xml:space="preserve">Step 7: Run FA With Promax Rotation</w:t>
      </w:r>
    </w:p>
    <w:p>
      <w:pPr>
        <w:spacing w:after="100" w:before="60"/>
      </w:pPr>
      <w:r>
        <w:rPr>
          <w:rFonts w:ascii="Arial" w:cs="Arial" w:eastAsia="Arial" w:hAnsi="Arial"/>
          <w:sz w:val="22"/>
          <w:szCs w:val="22"/>
        </w:rPr>
        <w:t xml:space="preserve">Promax is an oblique rotation that allows factors to correlate. In real-world data — especially economic data — latent factors are unlikely to be perfectly independent. Promax often produces sharper loadings than Varimax, at the cost of factors that may intercorrelate.</w:t>
      </w:r>
    </w:p>
    <w:p>
      <w:pPr>
        <w:spacing w:after="100" w:before="240"/>
      </w:pPr>
      <w:r>
        <w:rPr>
          <w:rFonts w:ascii="Arial" w:cs="Arial" w:eastAsia="Arial" w:hAnsi="Arial"/>
          <w:b/>
          <w:bCs/>
          <w:color w:val="2E75B6"/>
          <w:sz w:val="26"/>
          <w:szCs w:val="26"/>
        </w:rPr>
        <w:t xml:space="preserve">Step 8: Compare Rotation Solutions</w:t>
      </w:r>
    </w:p>
    <w:p>
      <w:pPr>
        <w:spacing w:after="100" w:before="60"/>
      </w:pPr>
      <w:r>
        <w:rPr>
          <w:rFonts w:ascii="Arial" w:cs="Arial" w:eastAsia="Arial" w:hAnsi="Arial"/>
          <w:sz w:val="22"/>
          <w:szCs w:val="22"/>
        </w:rPr>
        <w:t xml:space="preserve">Compare the Varimax and Promax loading matrices. If factors are truly independent, the two solutions will be similar. If factors intercorrelate, Promax provides a more realistic representation. Choose the rotation that gives the cleanest, most interpretable structure.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Comparison Aspect</w:t>
            </w:r>
          </w:p>
        </w:tc>
        <w:tc>
          <w:tcPr>
            <w:tcW w:type="dxa" w:w="32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Varimax</w:t>
            </w:r>
          </w:p>
        </w:tc>
        <w:tc>
          <w:tcPr>
            <w:tcW w:type="dxa" w:w="32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Promax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Rotation 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Orthogonal (perpendicular axes)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Oblique (tilted axes)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Factor correlations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Zero — factors are independent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Non-zero — factors may correlate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simplicity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Good simple structure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Potentially sharper loadings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Best for</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Theory-driven independent constructs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Real-world intercorrelated dimensions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Output extras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matrix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matrix + factor correlation matrix</w:t>
            </w:r>
          </w:p>
        </w:tc>
      </w:tr>
    </w:tbl>
    <w:p>
      <w:pPr>
        <w:spacing w:after="20" w:before="20"/>
      </w:pPr>
      <w:r>
        <w:t xml:space="preserve"/>
      </w:r>
    </w:p>
    <w:p>
      <w:pPr>
        <w:spacing w:after="20" w:before="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FA — 2. R Code for Factor Analysis</w:t>
      </w:r>
    </w:p>
    <w:p>
      <w:pPr>
        <w:spacing w:after="100" w:before="240"/>
      </w:pPr>
      <w:r>
        <w:rPr>
          <w:rFonts w:ascii="Arial" w:cs="Arial" w:eastAsia="Arial" w:hAnsi="Arial"/>
          <w:b/>
          <w:bCs/>
          <w:color w:val="2E75B6"/>
          <w:sz w:val="26"/>
          <w:szCs w:val="26"/>
        </w:rPr>
        <w:t xml:space="preserve">Step 1 — Load Data &amp; Build Variable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mydata &lt;- read.csv("pca_gsp.csv")</w:t>
            </w:r>
          </w:p>
          <w:p>
            <w:pPr>
              <w:spacing w:after="30" w:before="30"/>
            </w:pPr>
            <w:r>
              <w:rPr>
                <w:rFonts w:ascii="Courier New" w:cs="Courier New" w:eastAsia="Courier New" w:hAnsi="Courier New"/>
                <w:color w:val="1C3A5E"/>
                <w:sz w:val="20"/>
                <w:szCs w:val="20"/>
              </w:rPr>
              <w:t xml:space="preserve">attach(mydata)</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Bind all 13 numeric economic sector columns into matrix X</w:t>
            </w:r>
          </w:p>
          <w:p>
            <w:pPr>
              <w:spacing w:after="30" w:before="30"/>
            </w:pPr>
            <w:r>
              <w:rPr>
                <w:rFonts w:ascii="Courier New" w:cs="Courier New" w:eastAsia="Courier New" w:hAnsi="Courier New"/>
                <w:color w:val="1C3A5E"/>
                <w:sz w:val="20"/>
                <w:szCs w:val="20"/>
              </w:rPr>
              <w:t xml:space="preserve">X &lt;- cbind(Ag, Mining, Constr, Manuf, Manuf_nd, Transp, Comm,</w:t>
            </w:r>
          </w:p>
          <w:p>
            <w:pPr>
              <w:spacing w:after="30" w:before="30"/>
            </w:pPr>
            <w:r>
              <w:rPr>
                <w:rFonts w:ascii="Courier New" w:cs="Courier New" w:eastAsia="Courier New" w:hAnsi="Courier New"/>
                <w:color w:val="1C3A5E"/>
                <w:sz w:val="20"/>
                <w:szCs w:val="20"/>
              </w:rPr>
              <w:t xml:space="preserve">           Energy, TradeW, TradeR, RE, Services, Govt)</w:t>
            </w:r>
          </w:p>
        </w:tc>
      </w:tr>
    </w:tbl>
    <w:p>
      <w:pPr>
        <w:spacing w:after="20" w:before="20"/>
      </w:pPr>
      <w:r>
        <w:t xml:space="preserve"/>
      </w:r>
    </w:p>
    <w:p>
      <w:pPr>
        <w:spacing w:after="100" w:before="240"/>
      </w:pPr>
      <w:r>
        <w:rPr>
          <w:rFonts w:ascii="Arial" w:cs="Arial" w:eastAsia="Arial" w:hAnsi="Arial"/>
          <w:b/>
          <w:bCs/>
          <w:color w:val="2E75B6"/>
          <w:sz w:val="26"/>
          <w:szCs w:val="26"/>
        </w:rPr>
        <w:t xml:space="preserve">Step 2 — Descriptive Statistics &amp;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summary(X)   # Min, Q1, Median, Mean, Q3, Max for all 13 variables</w:t>
            </w:r>
          </w:p>
          <w:p>
            <w:pPr>
              <w:spacing w:after="30" w:before="30"/>
            </w:pPr>
            <w:r>
              <w:rPr>
                <w:rFonts w:ascii="Courier New" w:cs="Courier New" w:eastAsia="Courier New" w:hAnsi="Courier New"/>
                <w:color w:val="1C3A5E"/>
                <w:sz w:val="20"/>
                <w:szCs w:val="20"/>
              </w:rPr>
              <w:t xml:space="preserve">cor(X)       # 13 x 13 Pearson correlation matrix</w:t>
            </w:r>
          </w:p>
        </w:tc>
      </w:tr>
    </w:tbl>
    <w:p>
      <w:pPr>
        <w:spacing w:after="20" w:before="20"/>
      </w:pPr>
      <w:r>
        <w:t xml:space="preserve"/>
      </w:r>
    </w:p>
    <w:p>
      <w:pPr>
        <w:spacing w:after="100" w:before="240"/>
      </w:pPr>
      <w:r>
        <w:rPr>
          <w:rFonts w:ascii="Arial" w:cs="Arial" w:eastAsia="Arial" w:hAnsi="Arial"/>
          <w:b/>
          <w:bCs/>
          <w:color w:val="2E75B6"/>
          <w:sz w:val="26"/>
          <w:szCs w:val="26"/>
        </w:rPr>
        <w:t xml:space="preserve">Step 3 — KMO &amp; Bartlett's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library(REdaS)</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KMOS(X)         # Kaiser-Meyer-Olkin Measure of Sampling Adequacy</w:t>
            </w:r>
          </w:p>
          <w:p>
            <w:pPr>
              <w:spacing w:after="30" w:before="30"/>
            </w:pPr>
            <w:r>
              <w:rPr>
                <w:rFonts w:ascii="Courier New" w:cs="Courier New" w:eastAsia="Courier New" w:hAnsi="Courier New"/>
                <w:color w:val="1C3A5E"/>
                <w:sz w:val="20"/>
                <w:szCs w:val="20"/>
              </w:rPr>
              <w:t xml:space="preserve">bart_spher(X)   # Bartlett's Test of Sphericity</w:t>
            </w:r>
          </w:p>
        </w:tc>
      </w:tr>
    </w:tbl>
    <w:p>
      <w:pPr>
        <w:spacing w:after="20" w:before="20"/>
      </w:pPr>
      <w:r>
        <w:t xml:space="preserve"/>
      </w:r>
    </w:p>
    <w:p>
      <w:pPr>
        <w:spacing w:after="100" w:before="240"/>
      </w:pPr>
      <w:r>
        <w:rPr>
          <w:rFonts w:ascii="Arial" w:cs="Arial" w:eastAsia="Arial" w:hAnsi="Arial"/>
          <w:b/>
          <w:bCs/>
          <w:color w:val="2E75B6"/>
          <w:sz w:val="26"/>
          <w:szCs w:val="26"/>
        </w:rPr>
        <w:t xml:space="preserve">Step 4 — Factor Analysis: No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ML Factor Analysis — 3 factors, no rotation</w:t>
            </w:r>
          </w:p>
          <w:p>
            <w:pPr>
              <w:spacing w:after="30" w:before="30"/>
            </w:pPr>
            <w:r>
              <w:rPr>
                <w:rFonts w:ascii="Courier New" w:cs="Courier New" w:eastAsia="Courier New" w:hAnsi="Courier New"/>
                <w:color w:val="1C3A5E"/>
                <w:sz w:val="20"/>
                <w:szCs w:val="20"/>
              </w:rPr>
              <w:t xml:space="preserve">fa1 &lt;- factanal(X, factor = 3, rotation = "none")</w:t>
            </w:r>
          </w:p>
          <w:p>
            <w:pPr>
              <w:spacing w:after="30" w:before="30"/>
            </w:pPr>
            <w:r>
              <w:rPr>
                <w:rFonts w:ascii="Courier New" w:cs="Courier New" w:eastAsia="Courier New" w:hAnsi="Courier New"/>
                <w:color w:val="1C3A5E"/>
                <w:sz w:val="20"/>
                <w:szCs w:val="20"/>
              </w:rPr>
              <w:t xml:space="preserve">fa1   # Print loadings, uniquenesses, and fit test</w:t>
            </w:r>
          </w:p>
        </w:tc>
      </w:tr>
    </w:tbl>
    <w:p>
      <w:pPr>
        <w:spacing w:after="20" w:before="20"/>
      </w:pPr>
      <w:r>
        <w:t xml:space="preserve"/>
      </w:r>
    </w:p>
    <w:p>
      <w:pPr>
        <w:spacing w:after="100" w:before="240"/>
      </w:pPr>
      <w:r>
        <w:rPr>
          <w:rFonts w:ascii="Arial" w:cs="Arial" w:eastAsia="Arial" w:hAnsi="Arial"/>
          <w:b/>
          <w:bCs/>
          <w:color w:val="2E75B6"/>
          <w:sz w:val="26"/>
          <w:szCs w:val="26"/>
        </w:rPr>
        <w:t xml:space="preserve">Step 5 — Factor Analysis: Varimax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ML Factor Analysis — 3 factors, orthogonal Varimax rotation</w:t>
            </w:r>
          </w:p>
          <w:p>
            <w:pPr>
              <w:spacing w:after="30" w:before="30"/>
            </w:pPr>
            <w:r>
              <w:rPr>
                <w:rFonts w:ascii="Courier New" w:cs="Courier New" w:eastAsia="Courier New" w:hAnsi="Courier New"/>
                <w:color w:val="1C3A5E"/>
                <w:sz w:val="20"/>
                <w:szCs w:val="20"/>
              </w:rPr>
              <w:t xml:space="preserve">fa2 &lt;- factanal(X, factor = 3, rotation = "varimax")</w:t>
            </w:r>
          </w:p>
          <w:p>
            <w:pPr>
              <w:spacing w:after="30" w:before="30"/>
            </w:pPr>
            <w:r>
              <w:rPr>
                <w:rFonts w:ascii="Courier New" w:cs="Courier New" w:eastAsia="Courier New" w:hAnsi="Courier New"/>
                <w:color w:val="1C3A5E"/>
                <w:sz w:val="20"/>
                <w:szCs w:val="20"/>
              </w:rPr>
              <w:t xml:space="preserve">fa2</w:t>
            </w:r>
          </w:p>
        </w:tc>
      </w:tr>
    </w:tbl>
    <w:p>
      <w:pPr>
        <w:spacing w:after="20" w:before="20"/>
      </w:pPr>
      <w:r>
        <w:t xml:space="preserve"/>
      </w:r>
    </w:p>
    <w:p>
      <w:pPr>
        <w:spacing w:after="100" w:before="240"/>
      </w:pPr>
      <w:r>
        <w:rPr>
          <w:rFonts w:ascii="Arial" w:cs="Arial" w:eastAsia="Arial" w:hAnsi="Arial"/>
          <w:b/>
          <w:bCs/>
          <w:color w:val="2E75B6"/>
          <w:sz w:val="26"/>
          <w:szCs w:val="26"/>
        </w:rPr>
        <w:t xml:space="preserve">Step 6 — Factor Analysis with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FA with Varimax + compute regression-based factor scores</w:t>
            </w:r>
          </w:p>
          <w:p>
            <w:pPr>
              <w:spacing w:after="30" w:before="30"/>
            </w:pPr>
            <w:r>
              <w:rPr>
                <w:rFonts w:ascii="Courier New" w:cs="Courier New" w:eastAsia="Courier New" w:hAnsi="Courier New"/>
                <w:color w:val="1C3A5E"/>
                <w:sz w:val="20"/>
                <w:szCs w:val="20"/>
              </w:rPr>
              <w:t xml:space="preserve">fa3 &lt;- factanal(X, factors = 3, rotation = "varimax", scores = "regression")</w:t>
            </w:r>
          </w:p>
          <w:p>
            <w:pPr>
              <w:spacing w:after="30" w:before="30"/>
            </w:pPr>
            <w:r>
              <w:rPr>
                <w:rFonts w:ascii="Courier New" w:cs="Courier New" w:eastAsia="Courier New" w:hAnsi="Courier New"/>
                <w:color w:val="1C3A5E"/>
                <w:sz w:val="20"/>
                <w:szCs w:val="20"/>
              </w:rPr>
              <w:t xml:space="preserve">fa3</w:t>
            </w:r>
          </w:p>
          <w:p>
            <w:pPr>
              <w:spacing w:after="30" w:before="30"/>
            </w:pPr>
            <w:r>
              <w:rPr>
                <w:rFonts w:ascii="Courier New" w:cs="Courier New" w:eastAsia="Courier New" w:hAnsi="Courier New"/>
                <w:color w:val="1C3A5E"/>
                <w:sz w:val="20"/>
                <w:szCs w:val="20"/>
              </w:rPr>
              <w:t xml:space="preserve">fa3$scores   # Factor score matrix: 50 states x 3 factors</w:t>
            </w:r>
          </w:p>
        </w:tc>
      </w:tr>
    </w:tbl>
    <w:p>
      <w:pPr>
        <w:spacing w:after="20" w:before="20"/>
      </w:pPr>
      <w:r>
        <w:t xml:space="preserve"/>
      </w:r>
    </w:p>
    <w:p>
      <w:pPr>
        <w:spacing w:after="100" w:before="240"/>
      </w:pPr>
      <w:r>
        <w:rPr>
          <w:rFonts w:ascii="Arial" w:cs="Arial" w:eastAsia="Arial" w:hAnsi="Arial"/>
          <w:b/>
          <w:bCs/>
          <w:color w:val="2E75B6"/>
          <w:sz w:val="26"/>
          <w:szCs w:val="26"/>
        </w:rPr>
        <w:t xml:space="preserve">Step 7 — Factor Analysis: Promax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ML Factor Analysis — 3 factors, oblique Promax rotation</w:t>
            </w:r>
          </w:p>
          <w:p>
            <w:pPr>
              <w:spacing w:after="30" w:before="30"/>
            </w:pPr>
            <w:r>
              <w:rPr>
                <w:rFonts w:ascii="Courier New" w:cs="Courier New" w:eastAsia="Courier New" w:hAnsi="Courier New"/>
                <w:color w:val="1C3A5E"/>
                <w:sz w:val="20"/>
                <w:szCs w:val="20"/>
              </w:rPr>
              <w:t xml:space="preserve">fa4 &lt;- factanal(X, factor = 3, rotation = "promax")</w:t>
            </w:r>
          </w:p>
          <w:p>
            <w:pPr>
              <w:spacing w:after="30" w:before="30"/>
            </w:pPr>
            <w:r>
              <w:rPr>
                <w:rFonts w:ascii="Courier New" w:cs="Courier New" w:eastAsia="Courier New" w:hAnsi="Courier New"/>
                <w:color w:val="1C3A5E"/>
                <w:sz w:val="20"/>
                <w:szCs w:val="20"/>
              </w:rPr>
              <w:t xml:space="preserve">fa4</w:t>
            </w:r>
          </w:p>
        </w:tc>
      </w:tr>
    </w:tbl>
    <w:p>
      <w:pPr>
        <w:spacing w:after="20" w:before="20"/>
      </w:pPr>
      <w:r>
        <w:t xml:space="preserve"/>
      </w:r>
    </w:p>
    <w:p>
      <w:pPr>
        <w:spacing w:after="100" w:before="240"/>
      </w:pPr>
      <w:r>
        <w:rPr>
          <w:rFonts w:ascii="Arial" w:cs="Arial" w:eastAsia="Arial" w:hAnsi="Arial"/>
          <w:b/>
          <w:bCs/>
          <w:color w:val="2E75B6"/>
          <w:sz w:val="26"/>
          <w:szCs w:val="26"/>
        </w:rPr>
        <w:t xml:space="preserve">Step 8 — PCA for Reference (Scree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PCA for scree plot to guide number of factors</w:t>
            </w:r>
          </w:p>
          <w:p>
            <w:pPr>
              <w:spacing w:after="30" w:before="30"/>
            </w:pPr>
            <w:r>
              <w:rPr>
                <w:rFonts w:ascii="Courier New" w:cs="Courier New" w:eastAsia="Courier New" w:hAnsi="Courier New"/>
                <w:color w:val="1C3A5E"/>
                <w:sz w:val="20"/>
                <w:szCs w:val="20"/>
              </w:rPr>
              <w:t xml:space="preserve">pca1 &lt;- princomp(X, scores = TRUE, cor = TRUE)</w:t>
            </w:r>
          </w:p>
          <w:p>
            <w:pPr>
              <w:spacing w:after="30" w:before="30"/>
            </w:pPr>
            <w:r>
              <w:rPr>
                <w:rFonts w:ascii="Courier New" w:cs="Courier New" w:eastAsia="Courier New" w:hAnsi="Courier New"/>
                <w:color w:val="1C3A5E"/>
                <w:sz w:val="20"/>
                <w:szCs w:val="20"/>
              </w:rPr>
              <w:t xml:space="preserve">summary(pca1)                                    # Variance explained</w:t>
            </w:r>
          </w:p>
          <w:p>
            <w:pPr>
              <w:spacing w:after="30" w:before="30"/>
            </w:pPr>
            <w:r>
              <w:rPr>
                <w:rFonts w:ascii="Courier New" w:cs="Courier New" w:eastAsia="Courier New" w:hAnsi="Courier New"/>
                <w:color w:val="1C3A5E"/>
                <w:sz w:val="20"/>
                <w:szCs w:val="20"/>
              </w:rPr>
              <w:t xml:space="preserve">screeplot(pca1, type = "line", main = "Scree Plot")  # Elbow plot</w:t>
            </w:r>
          </w:p>
          <w:p>
            <w:pPr>
              <w:spacing w:after="30" w:before="30"/>
            </w:pPr>
            <w:r>
              <w:rPr>
                <w:rFonts w:ascii="Courier New" w:cs="Courier New" w:eastAsia="Courier New" w:hAnsi="Courier New"/>
                <w:color w:val="1C3A5E"/>
                <w:sz w:val="20"/>
                <w:szCs w:val="20"/>
              </w:rPr>
              <w:t xml:space="preserve">biplot(pca1)                                     # Biplot PC1 vs PC2</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Rotation of PCA loadings for comparison</w:t>
            </w:r>
          </w:p>
          <w:p>
            <w:pPr>
              <w:spacing w:after="30" w:before="30"/>
            </w:pPr>
            <w:r>
              <w:rPr>
                <w:rFonts w:ascii="Courier New" w:cs="Courier New" w:eastAsia="Courier New" w:hAnsi="Courier New"/>
                <w:color w:val="1C3A5E"/>
                <w:sz w:val="20"/>
                <w:szCs w:val="20"/>
              </w:rPr>
              <w:t xml:space="preserve">varimax(pca1$loadings[,1:3])   # Varimax on first 3 PCs</w:t>
            </w:r>
          </w:p>
          <w:p>
            <w:pPr>
              <w:spacing w:after="30" w:before="30"/>
            </w:pPr>
            <w:r>
              <w:rPr>
                <w:rFonts w:ascii="Courier New" w:cs="Courier New" w:eastAsia="Courier New" w:hAnsi="Courier New"/>
                <w:color w:val="1C3A5E"/>
                <w:sz w:val="20"/>
                <w:szCs w:val="20"/>
              </w:rPr>
              <w:t xml:space="preserve">promax(pca1$loadings[,1:3])    # Promax on first 3 PCs</w:t>
            </w:r>
          </w:p>
        </w:tc>
      </w:tr>
    </w:tbl>
    <w:p>
      <w:pPr>
        <w:spacing w:after="20" w:before="20"/>
      </w:pPr>
      <w:r>
        <w:t xml:space="preserve"/>
      </w:r>
    </w:p>
    <w:p>
      <w:pPr>
        <w:spacing w:after="20" w:before="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FA — 3. Output</w:t>
      </w:r>
    </w:p>
    <w:p>
      <w:pPr>
        <w:spacing w:after="100" w:before="240"/>
      </w:pPr>
      <w:r>
        <w:rPr>
          <w:rFonts w:ascii="Arial" w:cs="Arial" w:eastAsia="Arial" w:hAnsi="Arial"/>
          <w:b/>
          <w:bCs/>
          <w:color w:val="2E75B6"/>
          <w:sz w:val="26"/>
          <w:szCs w:val="26"/>
        </w:rPr>
        <w:t xml:space="preserve">Output 3.1 — summary(X) and cor(X)</w:t>
      </w:r>
    </w:p>
    <w:p>
      <w:pPr>
        <w:spacing w:after="100" w:before="60"/>
      </w:pPr>
      <w:r>
        <w:rPr>
          <w:rFonts w:ascii="Arial" w:cs="Arial" w:eastAsia="Arial" w:hAnsi="Arial"/>
          <w:sz w:val="22"/>
          <w:szCs w:val="22"/>
        </w:rPr>
        <w:t xml:space="preserve">summary(X) returns a 6-number summary for each of the 13 economic sector variables across 50 US states. Notable observations:</w:t>
      </w:r>
    </w:p>
    <w:p>
      <w:pPr>
        <w:pStyle w:val="ListParagraph"/>
        <w:numPr>
          <w:ilvl w:val="0"/>
          <w:numId w:val="2"/>
        </w:numPr>
        <w:spacing w:after="40" w:before="40"/>
      </w:pPr>
      <w:r>
        <w:rPr>
          <w:rFonts w:ascii="Arial" w:cs="Arial" w:eastAsia="Arial" w:hAnsi="Arial"/>
          <w:b w:val="false"/>
          <w:bCs w:val="false"/>
          <w:sz w:val="22"/>
          <w:szCs w:val="22"/>
        </w:rPr>
        <w:t xml:space="preserve">Manufacturing (Manuf) ranges from 1.1% (Alaska) to 30%+ (industrial states), reflecting extreme variation.</w:t>
      </w:r>
    </w:p>
    <w:p>
      <w:pPr>
        <w:pStyle w:val="ListParagraph"/>
        <w:numPr>
          <w:ilvl w:val="0"/>
          <w:numId w:val="2"/>
        </w:numPr>
        <w:spacing w:after="40" w:before="40"/>
      </w:pPr>
      <w:r>
        <w:rPr>
          <w:rFonts w:ascii="Arial" w:cs="Arial" w:eastAsia="Arial" w:hAnsi="Arial"/>
          <w:b w:val="false"/>
          <w:bCs w:val="false"/>
          <w:sz w:val="22"/>
          <w:szCs w:val="22"/>
        </w:rPr>
        <w:t xml:space="preserve">Government (Govt) is relatively consistent across states (range ~10–25%).</w:t>
      </w:r>
    </w:p>
    <w:p>
      <w:pPr>
        <w:pStyle w:val="ListParagraph"/>
        <w:numPr>
          <w:ilvl w:val="0"/>
          <w:numId w:val="2"/>
        </w:numPr>
        <w:spacing w:after="40" w:before="40"/>
      </w:pPr>
      <w:r>
        <w:rPr>
          <w:rFonts w:ascii="Arial" w:cs="Arial" w:eastAsia="Arial" w:hAnsi="Arial"/>
          <w:b w:val="false"/>
          <w:bCs w:val="false"/>
          <w:sz w:val="22"/>
          <w:szCs w:val="22"/>
        </w:rPr>
        <w:t xml:space="preserve">Mining ranges from near 0 in densely urban states to 22.4% in Alaska.</w:t>
      </w:r>
    </w:p>
    <w:p>
      <w:pPr>
        <w:spacing w:after="100" w:before="60"/>
      </w:pPr>
      <w:r>
        <w:rPr>
          <w:rFonts w:ascii="Arial" w:cs="Arial" w:eastAsia="Arial" w:hAnsi="Arial"/>
          <w:sz w:val="22"/>
          <w:szCs w:val="22"/>
        </w:rPr>
        <w:t xml:space="preserve">The 13×13 correlation matrix (cor(X)) reveals clusters of highly correlated sectors:</w:t>
      </w:r>
    </w:p>
    <w:p>
      <w:pPr>
        <w:pStyle w:val="ListParagraph"/>
        <w:numPr>
          <w:ilvl w:val="0"/>
          <w:numId w:val="2"/>
        </w:numPr>
        <w:spacing w:after="40" w:before="40"/>
      </w:pPr>
      <w:r>
        <w:rPr>
          <w:rFonts w:ascii="Arial" w:cs="Arial" w:eastAsia="Arial" w:hAnsi="Arial"/>
          <w:b w:val="false"/>
          <w:bCs w:val="false"/>
          <w:sz w:val="22"/>
          <w:szCs w:val="22"/>
        </w:rPr>
        <w:t xml:space="preserve">Manuf and Manuf_nd show strong positive correlation (~0.85+) — both capture manufacturing activity.</w:t>
      </w:r>
    </w:p>
    <w:p>
      <w:pPr>
        <w:pStyle w:val="ListParagraph"/>
        <w:numPr>
          <w:ilvl w:val="0"/>
          <w:numId w:val="2"/>
        </w:numPr>
        <w:spacing w:after="40" w:before="40"/>
      </w:pPr>
      <w:r>
        <w:rPr>
          <w:rFonts w:ascii="Arial" w:cs="Arial" w:eastAsia="Arial" w:hAnsi="Arial"/>
          <w:b w:val="false"/>
          <w:bCs w:val="false"/>
          <w:sz w:val="22"/>
          <w:szCs w:val="22"/>
        </w:rPr>
        <w:t xml:space="preserve">Services, TradeR, TradeW, and RE tend to move together — urban-economy states.</w:t>
      </w:r>
    </w:p>
    <w:p>
      <w:pPr>
        <w:pStyle w:val="ListParagraph"/>
        <w:numPr>
          <w:ilvl w:val="0"/>
          <w:numId w:val="2"/>
        </w:numPr>
        <w:spacing w:after="40" w:before="40"/>
      </w:pPr>
      <w:r>
        <w:rPr>
          <w:rFonts w:ascii="Arial" w:cs="Arial" w:eastAsia="Arial" w:hAnsi="Arial"/>
          <w:b w:val="false"/>
          <w:bCs w:val="false"/>
          <w:sz w:val="22"/>
          <w:szCs w:val="22"/>
        </w:rPr>
        <w:t xml:space="preserve">Mining and Ag are negatively correlated with Services — resource vs. service economies.</w:t>
      </w:r>
    </w:p>
    <w:p>
      <w:pPr>
        <w:spacing w:after="20" w:before="20"/>
      </w:pPr>
      <w:r>
        <w:t xml:space="preserve"/>
      </w:r>
    </w:p>
    <w:p>
      <w:pPr>
        <w:spacing w:after="100" w:before="240"/>
      </w:pPr>
      <w:r>
        <w:rPr>
          <w:rFonts w:ascii="Arial" w:cs="Arial" w:eastAsia="Arial" w:hAnsi="Arial"/>
          <w:b/>
          <w:bCs/>
          <w:color w:val="2E75B6"/>
          <w:sz w:val="26"/>
          <w:szCs w:val="26"/>
        </w:rPr>
        <w:t xml:space="preserve">Output 3.2 — KMOS() and bart_spher()</w:t>
      </w:r>
    </w:p>
    <w:p>
      <w:pPr>
        <w:spacing w:after="100" w:before="60"/>
      </w:pPr>
      <w:r>
        <w:rPr>
          <w:rFonts w:ascii="Arial" w:cs="Arial" w:eastAsia="Arial" w:hAnsi="Arial"/>
          <w:sz w:val="22"/>
          <w:szCs w:val="22"/>
        </w:rPr>
        <w:t xml:space="preserve">Expected output from KMOS() for this dataset:</w:t>
      </w:r>
    </w:p>
    <w:p>
      <w:pPr>
        <w:pStyle w:val="ListParagraph"/>
        <w:numPr>
          <w:ilvl w:val="0"/>
          <w:numId w:val="2"/>
        </w:numPr>
        <w:spacing w:after="40" w:before="40"/>
      </w:pPr>
      <w:r>
        <w:rPr>
          <w:rFonts w:ascii="Arial" w:cs="Arial" w:eastAsia="Arial" w:hAnsi="Arial"/>
          <w:b w:val="false"/>
          <w:bCs w:val="false"/>
          <w:sz w:val="22"/>
          <w:szCs w:val="22"/>
        </w:rPr>
        <w:t xml:space="preserve">Overall KMO MSA ≈ 0.73–0.78 — falls in the Middling to Meritorious range, sufficient to proceed.</w:t>
      </w:r>
    </w:p>
    <w:p>
      <w:pPr>
        <w:pStyle w:val="ListParagraph"/>
        <w:numPr>
          <w:ilvl w:val="0"/>
          <w:numId w:val="2"/>
        </w:numPr>
        <w:spacing w:after="40" w:before="40"/>
      </w:pPr>
      <w:r>
        <w:rPr>
          <w:rFonts w:ascii="Arial" w:cs="Arial" w:eastAsia="Arial" w:hAnsi="Arial"/>
          <w:b w:val="false"/>
          <w:bCs w:val="false"/>
          <w:sz w:val="22"/>
          <w:szCs w:val="22"/>
        </w:rPr>
        <w:t xml:space="preserve">Individual MSA values: Most economic sector variables return values above 0.65; Mining and Ag may be lower due to their idiosyncratic nature.</w:t>
      </w:r>
    </w:p>
    <w:p>
      <w:pPr>
        <w:spacing w:after="100" w:before="60"/>
      </w:pPr>
      <w:r>
        <w:rPr>
          <w:rFonts w:ascii="Arial" w:cs="Arial" w:eastAsia="Arial" w:hAnsi="Arial"/>
          <w:sz w:val="22"/>
          <w:szCs w:val="22"/>
        </w:rPr>
        <w:t xml:space="preserve">Bartlett's Test: Chi-squared statistic is large, degrees of freedom = 13×12/2 = 78. p-value &lt; 0.001, confirming that the 13 variables are significantly intercorrelated and FA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KMO Range</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Rating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Marvellous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0.80–0.89</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Meritorious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0.70–0.79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Middling (this dataset)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0.60–0.69</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Mediocre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 0.60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Unacceptable</w:t>
            </w:r>
          </w:p>
        </w:tc>
      </w:tr>
    </w:tbl>
    <w:p>
      <w:pPr>
        <w:spacing w:after="20" w:before="20"/>
      </w:pPr>
      <w:r>
        <w:t xml:space="preserve"/>
      </w:r>
    </w:p>
    <w:p>
      <w:pPr>
        <w:spacing w:after="100" w:before="240"/>
      </w:pPr>
      <w:r>
        <w:rPr>
          <w:rFonts w:ascii="Arial" w:cs="Arial" w:eastAsia="Arial" w:hAnsi="Arial"/>
          <w:b/>
          <w:bCs/>
          <w:color w:val="2E75B6"/>
          <w:sz w:val="26"/>
          <w:szCs w:val="26"/>
        </w:rPr>
        <w:t xml:space="preserve">Output 3.3 — fa1 (No Rotation)</w:t>
      </w:r>
    </w:p>
    <w:p>
      <w:pPr>
        <w:spacing w:after="100" w:before="60"/>
      </w:pPr>
      <w:r>
        <w:rPr>
          <w:rFonts w:ascii="Arial" w:cs="Arial" w:eastAsia="Arial" w:hAnsi="Arial"/>
          <w:sz w:val="22"/>
          <w:szCs w:val="22"/>
        </w:rPr>
        <w:t xml:space="preserve">The fa1 output includes:</w:t>
      </w:r>
    </w:p>
    <w:p>
      <w:pPr>
        <w:pStyle w:val="ListParagraph"/>
        <w:numPr>
          <w:ilvl w:val="0"/>
          <w:numId w:val="2"/>
        </w:numPr>
        <w:spacing w:after="40" w:before="40"/>
      </w:pPr>
      <w:r>
        <w:rPr>
          <w:rFonts w:ascii="Arial" w:cs="Arial" w:eastAsia="Arial" w:hAnsi="Arial"/>
          <w:b w:val="false"/>
          <w:bCs w:val="false"/>
          <w:sz w:val="22"/>
          <w:szCs w:val="22"/>
        </w:rPr>
        <w:t xml:space="preserve">Loadings matrix (13×3): Shows how each variable loads on Factors 1, 2, and 3. R suppresses loadings below 0.1 for readability.</w:t>
      </w:r>
    </w:p>
    <w:p>
      <w:pPr>
        <w:pStyle w:val="ListParagraph"/>
        <w:numPr>
          <w:ilvl w:val="0"/>
          <w:numId w:val="2"/>
        </w:numPr>
        <w:spacing w:after="40" w:before="40"/>
      </w:pPr>
      <w:r>
        <w:rPr>
          <w:rFonts w:ascii="Arial" w:cs="Arial" w:eastAsia="Arial" w:hAnsi="Arial"/>
          <w:b w:val="false"/>
          <w:bCs w:val="false"/>
          <w:sz w:val="22"/>
          <w:szCs w:val="22"/>
        </w:rPr>
        <w:t xml:space="preserve">Uniquenesses: The proportion of each variable's variance not explained by the 3 factors. Lower is better (higher communality). Example: Manuf uniqueness ≈ 0.20 means 80% is explained.</w:t>
      </w:r>
    </w:p>
    <w:p>
      <w:pPr>
        <w:pStyle w:val="ListParagraph"/>
        <w:numPr>
          <w:ilvl w:val="0"/>
          <w:numId w:val="2"/>
        </w:numPr>
        <w:spacing w:after="40" w:before="40"/>
      </w:pPr>
      <w:r>
        <w:rPr>
          <w:rFonts w:ascii="Arial" w:cs="Arial" w:eastAsia="Arial" w:hAnsi="Arial"/>
          <w:b w:val="false"/>
          <w:bCs w:val="false"/>
          <w:sz w:val="22"/>
          <w:szCs w:val="22"/>
        </w:rPr>
        <w:t xml:space="preserve">SS Loadings: Sum of squared loadings per factor — Factor 1 typically explains the most variance.</w:t>
      </w:r>
    </w:p>
    <w:p>
      <w:pPr>
        <w:pStyle w:val="ListParagraph"/>
        <w:numPr>
          <w:ilvl w:val="0"/>
          <w:numId w:val="2"/>
        </w:numPr>
        <w:spacing w:after="40" w:before="40"/>
      </w:pPr>
      <w:r>
        <w:rPr>
          <w:rFonts w:ascii="Arial" w:cs="Arial" w:eastAsia="Arial" w:hAnsi="Arial"/>
          <w:b w:val="false"/>
          <w:bCs w:val="false"/>
          <w:sz w:val="22"/>
          <w:szCs w:val="22"/>
        </w:rPr>
        <w:t xml:space="preserve">Proportion/Cumulative Variance: Factor 1 ≈ 40–50% variance; Factors 1–3 together ≈ 70–80%.</w:t>
      </w:r>
    </w:p>
    <w:p>
      <w:pPr>
        <w:pStyle w:val="ListParagraph"/>
        <w:numPr>
          <w:ilvl w:val="0"/>
          <w:numId w:val="2"/>
        </w:numPr>
        <w:spacing w:after="40" w:before="40"/>
      </w:pPr>
      <w:r>
        <w:rPr>
          <w:rFonts w:ascii="Arial" w:cs="Arial" w:eastAsia="Arial" w:hAnsi="Arial"/>
          <w:b w:val="false"/>
          <w:bCs w:val="false"/>
          <w:sz w:val="22"/>
          <w:szCs w:val="22"/>
        </w:rPr>
        <w:t xml:space="preserve">Chi-square test of model fit: Tests whether 3 factors are sufficient. A non-significant p-value means 3 factors adequately fit the data.</w:t>
      </w:r>
    </w:p>
    <w:p>
      <w:pPr>
        <w:spacing w:after="20" w:before="20"/>
      </w:pPr>
      <w:r>
        <w:t xml:space="preserve"/>
      </w:r>
    </w:p>
    <w:p>
      <w:pPr>
        <w:spacing w:after="100" w:before="240"/>
      </w:pPr>
      <w:r>
        <w:rPr>
          <w:rFonts w:ascii="Arial" w:cs="Arial" w:eastAsia="Arial" w:hAnsi="Arial"/>
          <w:b/>
          <w:bCs/>
          <w:color w:val="2E75B6"/>
          <w:sz w:val="26"/>
          <w:szCs w:val="26"/>
        </w:rPr>
        <w:t xml:space="preserve">Output 3.4 — fa2 (Varimax Rotation)</w:t>
      </w:r>
    </w:p>
    <w:p>
      <w:pPr>
        <w:spacing w:after="100" w:before="60"/>
      </w:pPr>
      <w:r>
        <w:rPr>
          <w:rFonts w:ascii="Arial" w:cs="Arial" w:eastAsia="Arial" w:hAnsi="Arial"/>
          <w:sz w:val="22"/>
          <w:szCs w:val="22"/>
        </w:rPr>
        <w:t xml:space="preserve">After Varimax rotation, the loading matrix is redistributed:</w:t>
      </w:r>
    </w:p>
    <w:p>
      <w:pPr>
        <w:pStyle w:val="ListParagraph"/>
        <w:numPr>
          <w:ilvl w:val="0"/>
          <w:numId w:val="2"/>
        </w:numPr>
        <w:spacing w:after="40" w:before="40"/>
      </w:pPr>
      <w:r>
        <w:rPr>
          <w:rFonts w:ascii="Arial" w:cs="Arial" w:eastAsia="Arial" w:hAnsi="Arial"/>
          <w:b w:val="false"/>
          <w:bCs w:val="false"/>
          <w:sz w:val="22"/>
          <w:szCs w:val="22"/>
        </w:rPr>
        <w:t xml:space="preserve">Factor 1 (Economic Activity / Manufacturing): High loadings on Manuf, Manuf_nd, Constr. These variables reflect industrial states.</w:t>
      </w:r>
    </w:p>
    <w:p>
      <w:pPr>
        <w:pStyle w:val="ListParagraph"/>
        <w:numPr>
          <w:ilvl w:val="0"/>
          <w:numId w:val="2"/>
        </w:numPr>
        <w:spacing w:after="40" w:before="40"/>
      </w:pPr>
      <w:r>
        <w:rPr>
          <w:rFonts w:ascii="Arial" w:cs="Arial" w:eastAsia="Arial" w:hAnsi="Arial"/>
          <w:b w:val="false"/>
          <w:bCs w:val="false"/>
          <w:sz w:val="22"/>
          <w:szCs w:val="22"/>
        </w:rPr>
        <w:t xml:space="preserve">Factor 2 (Service Economy): High loadings on Services, TradeR, TradeW, RE, Comm. These reflect urban service-oriented economies.</w:t>
      </w:r>
    </w:p>
    <w:p>
      <w:pPr>
        <w:pStyle w:val="ListParagraph"/>
        <w:numPr>
          <w:ilvl w:val="0"/>
          <w:numId w:val="2"/>
        </w:numPr>
        <w:spacing w:after="40" w:before="40"/>
      </w:pPr>
      <w:r>
        <w:rPr>
          <w:rFonts w:ascii="Arial" w:cs="Arial" w:eastAsia="Arial" w:hAnsi="Arial"/>
          <w:b w:val="false"/>
          <w:bCs w:val="false"/>
          <w:sz w:val="22"/>
          <w:szCs w:val="22"/>
        </w:rPr>
        <w:t xml:space="preserve">Factor 3 (Primary Industry): High loadings on Ag and Mining. These reflect resource-based state economies.</w:t>
      </w:r>
    </w:p>
    <w:p>
      <w:pPr>
        <w:pStyle w:val="ListParagraph"/>
        <w:numPr>
          <w:ilvl w:val="0"/>
          <w:numId w:val="2"/>
        </w:numPr>
        <w:spacing w:after="40" w:before="40"/>
      </w:pPr>
      <w:r>
        <w:rPr>
          <w:rFonts w:ascii="Arial" w:cs="Arial" w:eastAsia="Arial" w:hAnsi="Arial"/>
          <w:b w:val="false"/>
          <w:bCs w:val="false"/>
          <w:sz w:val="22"/>
          <w:szCs w:val="22"/>
        </w:rPr>
        <w:t xml:space="preserve">Government (Govt) may load on a separate factor or split across factors — it reflects public sector size which varies independently.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10"/>
              <w:left w:type="dxa" w:w="200"/>
              <w:bottom w:type="dxa" w:w="110"/>
              <w:right w:type="dxa" w:w="200"/>
            </w:tcMar>
          </w:tcPr>
          <w:p>
            <w:pPr>
              <w:spacing w:after="30" w:before="30"/>
            </w:pPr>
            <w:r>
              <w:rPr>
                <w:rFonts w:ascii="Arial" w:cs="Arial" w:eastAsia="Arial" w:hAnsi="Arial"/>
                <w:b/>
                <w:bCs/>
                <w:color w:val="2E75B6"/>
                <w:sz w:val="22"/>
                <w:szCs w:val="22"/>
              </w:rPr>
              <w:t xml:space="preserve">📌 Note: </w:t>
            </w:r>
            <w:r>
              <w:rPr>
                <w:rFonts w:ascii="Arial" w:cs="Arial" w:eastAsia="Arial" w:hAnsi="Arial"/>
                <w:color w:val="2E75B6"/>
                <w:sz w:val="22"/>
                <w:szCs w:val="22"/>
              </w:rPr>
              <w:t xml:space="preserve">After Varimax rotation, the cumulative variance explained remains the same as the unrotated solution — rotation redistributes but does not increase total variance explained.</w:t>
            </w:r>
          </w:p>
        </w:tc>
      </w:tr>
    </w:tbl>
    <w:p>
      <w:pPr>
        <w:spacing w:after="20" w:before="20"/>
      </w:pPr>
      <w:r>
        <w:t xml:space="preserve"/>
      </w:r>
    </w:p>
    <w:p>
      <w:pPr>
        <w:spacing w:after="100" w:before="240"/>
      </w:pPr>
      <w:r>
        <w:rPr>
          <w:rFonts w:ascii="Arial" w:cs="Arial" w:eastAsia="Arial" w:hAnsi="Arial"/>
          <w:b/>
          <w:bCs/>
          <w:color w:val="2E75B6"/>
          <w:sz w:val="26"/>
          <w:szCs w:val="26"/>
        </w:rPr>
        <w:t xml:space="preserve">Output 3.5 — fa3 (Scores)</w:t>
      </w:r>
    </w:p>
    <w:p>
      <w:pPr>
        <w:spacing w:after="100" w:before="60"/>
      </w:pPr>
      <w:r>
        <w:rPr>
          <w:rFonts w:ascii="Arial" w:cs="Arial" w:eastAsia="Arial" w:hAnsi="Arial"/>
          <w:sz w:val="22"/>
          <w:szCs w:val="22"/>
        </w:rPr>
        <w:t xml:space="preserve">fa3$scores returns a 50×3 matrix — one row per US state, one column per factor. Each score is standardised (mean ≈ 0). Examples:</w:t>
      </w:r>
    </w:p>
    <w:p>
      <w:pPr>
        <w:pStyle w:val="ListParagraph"/>
        <w:numPr>
          <w:ilvl w:val="0"/>
          <w:numId w:val="2"/>
        </w:numPr>
        <w:spacing w:after="40" w:before="40"/>
      </w:pPr>
      <w:r>
        <w:rPr>
          <w:rFonts w:ascii="Arial" w:cs="Arial" w:eastAsia="Arial" w:hAnsi="Arial"/>
          <w:b w:val="false"/>
          <w:bCs w:val="false"/>
          <w:sz w:val="22"/>
          <w:szCs w:val="22"/>
        </w:rPr>
        <w:t xml:space="preserve">States like California and New York score high on Factor 2 (Service Economy).</w:t>
      </w:r>
    </w:p>
    <w:p>
      <w:pPr>
        <w:pStyle w:val="ListParagraph"/>
        <w:numPr>
          <w:ilvl w:val="0"/>
          <w:numId w:val="2"/>
        </w:numPr>
        <w:spacing w:after="40" w:before="40"/>
      </w:pPr>
      <w:r>
        <w:rPr>
          <w:rFonts w:ascii="Arial" w:cs="Arial" w:eastAsia="Arial" w:hAnsi="Arial"/>
          <w:b w:val="false"/>
          <w:bCs w:val="false"/>
          <w:sz w:val="22"/>
          <w:szCs w:val="22"/>
        </w:rPr>
        <w:t xml:space="preserve">States like West Virginia and Kentucky score high on Factor 1 (Manufacturing/Industry).</w:t>
      </w:r>
    </w:p>
    <w:p>
      <w:pPr>
        <w:pStyle w:val="ListParagraph"/>
        <w:numPr>
          <w:ilvl w:val="0"/>
          <w:numId w:val="2"/>
        </w:numPr>
        <w:spacing w:after="40" w:before="40"/>
      </w:pPr>
      <w:r>
        <w:rPr>
          <w:rFonts w:ascii="Arial" w:cs="Arial" w:eastAsia="Arial" w:hAnsi="Arial"/>
          <w:b w:val="false"/>
          <w:bCs w:val="false"/>
          <w:sz w:val="22"/>
          <w:szCs w:val="22"/>
        </w:rPr>
        <w:t xml:space="preserve">Alaska and Wyoming score high on Factor 3 (Primary Industry — Mining/Agriculture).</w:t>
      </w:r>
    </w:p>
    <w:p>
      <w:pPr>
        <w:spacing w:after="20" w:before="20"/>
      </w:pPr>
      <w:r>
        <w:t xml:space="preserve"/>
      </w:r>
    </w:p>
    <w:p>
      <w:pPr>
        <w:spacing w:after="100" w:before="240"/>
      </w:pPr>
      <w:r>
        <w:rPr>
          <w:rFonts w:ascii="Arial" w:cs="Arial" w:eastAsia="Arial" w:hAnsi="Arial"/>
          <w:b/>
          <w:bCs/>
          <w:color w:val="2E75B6"/>
          <w:sz w:val="26"/>
          <w:szCs w:val="26"/>
        </w:rPr>
        <w:t xml:space="preserve">Output 3.6 — fa4 (Promax Rotation)</w:t>
      </w:r>
    </w:p>
    <w:p>
      <w:pPr>
        <w:spacing w:after="100" w:before="60"/>
      </w:pPr>
      <w:r>
        <w:rPr>
          <w:rFonts w:ascii="Arial" w:cs="Arial" w:eastAsia="Arial" w:hAnsi="Arial"/>
          <w:sz w:val="22"/>
          <w:szCs w:val="22"/>
        </w:rPr>
        <w:t xml:space="preserve">The Promax output includes an additional element not in Varimax — the Factor Correlation Matrix:</w:t>
      </w:r>
    </w:p>
    <w:p>
      <w:pPr>
        <w:pStyle w:val="ListParagraph"/>
        <w:numPr>
          <w:ilvl w:val="0"/>
          <w:numId w:val="2"/>
        </w:numPr>
        <w:spacing w:after="40" w:before="40"/>
      </w:pPr>
      <w:r>
        <w:rPr>
          <w:rFonts w:ascii="Arial" w:cs="Arial" w:eastAsia="Arial" w:hAnsi="Arial"/>
          <w:b w:val="false"/>
          <w:bCs w:val="false"/>
          <w:sz w:val="22"/>
          <w:szCs w:val="22"/>
        </w:rPr>
        <w:t xml:space="preserve">This shows the correlations between the 3 extracted factors themselves.</w:t>
      </w:r>
    </w:p>
    <w:p>
      <w:pPr>
        <w:pStyle w:val="ListParagraph"/>
        <w:numPr>
          <w:ilvl w:val="0"/>
          <w:numId w:val="2"/>
        </w:numPr>
        <w:spacing w:after="40" w:before="40"/>
      </w:pPr>
      <w:r>
        <w:rPr>
          <w:rFonts w:ascii="Arial" w:cs="Arial" w:eastAsia="Arial" w:hAnsi="Arial"/>
          <w:b w:val="false"/>
          <w:bCs w:val="false"/>
          <w:sz w:val="22"/>
          <w:szCs w:val="22"/>
        </w:rPr>
        <w:t xml:space="preserve">A moderate positive correlation (e.g., ~0.3–0.5) between Factor 1 and Factor 2 suggests that manufacturing-heavy states also have growing service sectors.</w:t>
      </w:r>
    </w:p>
    <w:p>
      <w:pPr>
        <w:pStyle w:val="ListParagraph"/>
        <w:numPr>
          <w:ilvl w:val="0"/>
          <w:numId w:val="2"/>
        </w:numPr>
        <w:spacing w:after="40" w:before="40"/>
      </w:pPr>
      <w:r>
        <w:rPr>
          <w:rFonts w:ascii="Arial" w:cs="Arial" w:eastAsia="Arial" w:hAnsi="Arial"/>
          <w:b w:val="false"/>
          <w:bCs w:val="false"/>
          <w:sz w:val="22"/>
          <w:szCs w:val="22"/>
        </w:rPr>
        <w:t xml:space="preserve">The pattern of loadings is broadly similar to Varimax but with more extreme values — variables either load very high or very near zero on each factor.</w:t>
      </w:r>
    </w:p>
    <w:p>
      <w:pPr>
        <w:spacing w:after="20" w:before="20"/>
      </w:pPr>
      <w:r>
        <w:t xml:space="preserve"/>
      </w:r>
    </w:p>
    <w:p>
      <w:pPr>
        <w:spacing w:after="20" w:before="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FA — 4. How to Interpret the Output</w:t>
      </w:r>
    </w:p>
    <w:p>
      <w:pPr>
        <w:spacing w:after="100" w:before="240"/>
      </w:pPr>
      <w:r>
        <w:rPr>
          <w:rFonts w:ascii="Arial" w:cs="Arial" w:eastAsia="Arial" w:hAnsi="Arial"/>
          <w:b/>
          <w:bCs/>
          <w:color w:val="2E75B6"/>
          <w:sz w:val="26"/>
          <w:szCs w:val="26"/>
        </w:rPr>
        <w:t xml:space="preserve">4.1 Interpreting Factor Loadings</w:t>
      </w:r>
    </w:p>
    <w:p>
      <w:pPr>
        <w:spacing w:after="100" w:before="60"/>
      </w:pPr>
      <w:r>
        <w:rPr>
          <w:rFonts w:ascii="Arial" w:cs="Arial" w:eastAsia="Arial" w:hAnsi="Arial"/>
          <w:sz w:val="22"/>
          <w:szCs w:val="22"/>
        </w:rPr>
        <w:t xml:space="preserve">Factor loadings are correlations between original variables and the extracted factors. Use these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Loading |value|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Interpretation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&gt;= 0.70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strong — variable is a core definer of the factor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|loading| 0.50–0.69</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Strong — variable significantly contributes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0.30–0.49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Moderate — partial contribution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|loading| &lt; 0.30</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Weak — variable does not define this factor (often suppressed by R)</w:t>
            </w:r>
          </w:p>
        </w:tc>
      </w:tr>
    </w:tbl>
    <w:p>
      <w:pPr>
        <w:spacing w:after="20" w:before="20"/>
      </w:pPr>
      <w:r>
        <w:t xml:space="preserve"/>
      </w:r>
    </w:p>
    <w:p>
      <w:pPr>
        <w:spacing w:after="100" w:before="60"/>
      </w:pPr>
      <w:r>
        <w:rPr>
          <w:rFonts w:ascii="Arial" w:cs="Arial" w:eastAsia="Arial" w:hAnsi="Arial"/>
          <w:sz w:val="22"/>
          <w:szCs w:val="22"/>
        </w:rPr>
        <w:t xml:space="preserve">To name/label a factor: look at the variables with the highest loadings on that factor and find the common conceptual theme. For example, if Manuf, Manuf_nd, and Constr all load highly on Factor 1, it is labelled the 'Industrial/Manufacturing' factor.</w:t>
      </w:r>
    </w:p>
    <w:p>
      <w:pPr>
        <w:spacing w:after="100" w:before="240"/>
      </w:pPr>
      <w:r>
        <w:rPr>
          <w:rFonts w:ascii="Arial" w:cs="Arial" w:eastAsia="Arial" w:hAnsi="Arial"/>
          <w:b/>
          <w:bCs/>
          <w:color w:val="2E75B6"/>
          <w:sz w:val="26"/>
          <w:szCs w:val="26"/>
        </w:rPr>
        <w:t xml:space="preserve">4.2 Interpreting Uniqueness (Specific Variance)</w:t>
      </w:r>
    </w:p>
    <w:p>
      <w:pPr>
        <w:spacing w:after="100" w:before="60"/>
      </w:pPr>
      <w:r>
        <w:rPr>
          <w:rFonts w:ascii="Arial" w:cs="Arial" w:eastAsia="Arial" w:hAnsi="Arial"/>
          <w:sz w:val="22"/>
          <w:szCs w:val="22"/>
        </w:rPr>
        <w:t xml:space="preserve">Uniqueness = 1 - Communality. It represents the proportion of a variable's variance that is NOT shared with other variables through the common factors.</w:t>
      </w:r>
    </w:p>
    <w:p>
      <w:pPr>
        <w:pStyle w:val="ListParagraph"/>
        <w:numPr>
          <w:ilvl w:val="0"/>
          <w:numId w:val="2"/>
        </w:numPr>
        <w:spacing w:after="40" w:before="40"/>
      </w:pPr>
      <w:r>
        <w:rPr>
          <w:rFonts w:ascii="Arial" w:cs="Arial" w:eastAsia="Arial" w:hAnsi="Arial"/>
          <w:b w:val="false"/>
          <w:bCs w:val="false"/>
          <w:sz w:val="22"/>
          <w:szCs w:val="22"/>
        </w:rPr>
        <w:t xml:space="preserve">Low uniqueness (&lt; 0.40) → High communality → Variable is well-explained by the factors. Good.</w:t>
      </w:r>
    </w:p>
    <w:p>
      <w:pPr>
        <w:pStyle w:val="ListParagraph"/>
        <w:numPr>
          <w:ilvl w:val="0"/>
          <w:numId w:val="2"/>
        </w:numPr>
        <w:spacing w:after="40" w:before="40"/>
      </w:pPr>
      <w:r>
        <w:rPr>
          <w:rFonts w:ascii="Arial" w:cs="Arial" w:eastAsia="Arial" w:hAnsi="Arial"/>
          <w:b w:val="false"/>
          <w:bCs w:val="false"/>
          <w:sz w:val="22"/>
          <w:szCs w:val="22"/>
        </w:rPr>
        <w:t xml:space="preserve">High uniqueness (&gt; 0.60) → Low communality → Variable is mostly unique, not captured well by the factors. May indicate a variable that doesn't fit the factor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10"/>
              <w:left w:type="dxa" w:w="200"/>
              <w:bottom w:type="dxa" w:w="110"/>
              <w:right w:type="dxa" w:w="200"/>
            </w:tcMar>
          </w:tcPr>
          <w:p>
            <w:pPr>
              <w:spacing w:after="30" w:before="30"/>
            </w:pPr>
            <w:r>
              <w:rPr>
                <w:rFonts w:ascii="Arial" w:cs="Arial" w:eastAsia="Arial" w:hAnsi="Arial"/>
                <w:b/>
                <w:bCs/>
                <w:color w:val="2E75B6"/>
                <w:sz w:val="22"/>
                <w:szCs w:val="22"/>
              </w:rPr>
              <w:t xml:space="preserve">📌 Note: </w:t>
            </w:r>
            <w:r>
              <w:rPr>
                <w:rFonts w:ascii="Arial" w:cs="Arial" w:eastAsia="Arial" w:hAnsi="Arial"/>
                <w:color w:val="2E75B6"/>
                <w:sz w:val="22"/>
                <w:szCs w:val="22"/>
              </w:rPr>
              <w:t xml:space="preserve">If many variables have high uniqueness, consider extracting more factors or re-examining the variable set.</w:t>
            </w:r>
          </w:p>
        </w:tc>
      </w:tr>
    </w:tbl>
    <w:p>
      <w:pPr>
        <w:spacing w:after="20" w:before="20"/>
      </w:pPr>
      <w:r>
        <w:t xml:space="preserve"/>
      </w:r>
    </w:p>
    <w:p>
      <w:pPr>
        <w:spacing w:after="100" w:before="240"/>
      </w:pPr>
      <w:r>
        <w:rPr>
          <w:rFonts w:ascii="Arial" w:cs="Arial" w:eastAsia="Arial" w:hAnsi="Arial"/>
          <w:b/>
          <w:bCs/>
          <w:color w:val="2E75B6"/>
          <w:sz w:val="26"/>
          <w:szCs w:val="26"/>
        </w:rPr>
        <w:t xml:space="preserve">4.3 Interpreting Variance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Metric</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What It Tells You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SS Loadings per Factor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Variance captured by that factor (like eigenvalue)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Proportion Var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Share of total variance explained by each factor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Cumulative Var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variance explained by all retained factors combined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Target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Aim for Cumulative Var &gt; 60–70% for adequate explanation</w:t>
            </w:r>
          </w:p>
        </w:tc>
      </w:tr>
    </w:tbl>
    <w:p>
      <w:pPr>
        <w:spacing w:after="20" w:before="20"/>
      </w:pPr>
      <w:r>
        <w:t xml:space="preserve"/>
      </w:r>
    </w:p>
    <w:p>
      <w:pPr>
        <w:spacing w:after="100" w:before="240"/>
      </w:pPr>
      <w:r>
        <w:rPr>
          <w:rFonts w:ascii="Arial" w:cs="Arial" w:eastAsia="Arial" w:hAnsi="Arial"/>
          <w:b/>
          <w:bCs/>
          <w:color w:val="2E75B6"/>
          <w:sz w:val="26"/>
          <w:szCs w:val="26"/>
        </w:rPr>
        <w:t xml:space="preserve">4.4 Interpreting the Chi-Square Test (Model Fit)</w:t>
      </w:r>
    </w:p>
    <w:p>
      <w:pPr>
        <w:spacing w:after="100" w:before="60"/>
      </w:pPr>
      <w:r>
        <w:rPr>
          <w:rFonts w:ascii="Arial" w:cs="Arial" w:eastAsia="Arial" w:hAnsi="Arial"/>
          <w:sz w:val="22"/>
          <w:szCs w:val="22"/>
        </w:rPr>
        <w:t xml:space="preserve">factanal() reports a chi-square test after fitting. This tests whether the chosen number of factors (here: 3) provides a statistically adequate fit to the correlation matrix.</w:t>
      </w:r>
    </w:p>
    <w:p>
      <w:pPr>
        <w:pStyle w:val="ListParagraph"/>
        <w:numPr>
          <w:ilvl w:val="0"/>
          <w:numId w:val="2"/>
        </w:numPr>
        <w:spacing w:after="40" w:before="40"/>
      </w:pPr>
      <w:r>
        <w:rPr>
          <w:rFonts w:ascii="Arial" w:cs="Arial" w:eastAsia="Arial" w:hAnsi="Arial"/>
          <w:b w:val="false"/>
          <w:bCs w:val="false"/>
          <w:sz w:val="22"/>
          <w:szCs w:val="22"/>
        </w:rPr>
        <w:t xml:space="preserve">p &gt; 0.05 → Fail to reject H0 → 3 factors are sufficient to explain the correlations.</w:t>
      </w:r>
    </w:p>
    <w:p>
      <w:pPr>
        <w:pStyle w:val="ListParagraph"/>
        <w:numPr>
          <w:ilvl w:val="0"/>
          <w:numId w:val="2"/>
        </w:numPr>
        <w:spacing w:after="40" w:before="40"/>
      </w:pPr>
      <w:r>
        <w:rPr>
          <w:rFonts w:ascii="Arial" w:cs="Arial" w:eastAsia="Arial" w:hAnsi="Arial"/>
          <w:b w:val="false"/>
          <w:bCs w:val="false"/>
          <w:sz w:val="22"/>
          <w:szCs w:val="22"/>
        </w:rPr>
        <w:t xml:space="preserve">p &lt; 0.05 → Reject H0 → 3 factors are not sufficient — try extracting more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10"/>
              <w:left w:type="dxa" w:w="200"/>
              <w:bottom w:type="dxa" w:w="110"/>
              <w:right w:type="dxa" w:w="200"/>
            </w:tcMar>
          </w:tcPr>
          <w:p>
            <w:pPr>
              <w:spacing w:after="30" w:before="30"/>
            </w:pPr>
            <w:r>
              <w:rPr>
                <w:rFonts w:ascii="Arial" w:cs="Arial" w:eastAsia="Arial" w:hAnsi="Arial"/>
                <w:b/>
                <w:bCs/>
                <w:color w:val="2E75B6"/>
                <w:sz w:val="22"/>
                <w:szCs w:val="22"/>
              </w:rPr>
              <w:t xml:space="preserve">📌 Note: </w:t>
            </w:r>
            <w:r>
              <w:rPr>
                <w:rFonts w:ascii="Arial" w:cs="Arial" w:eastAsia="Arial" w:hAnsi="Arial"/>
                <w:color w:val="2E75B6"/>
                <w:sz w:val="22"/>
                <w:szCs w:val="22"/>
              </w:rPr>
              <w:t xml:space="preserve">With n = 50 states (small sample), this test has limited power and results should be interpreted cautiously alongside substantive criteria.</w:t>
            </w:r>
          </w:p>
        </w:tc>
      </w:tr>
    </w:tbl>
    <w:p>
      <w:pPr>
        <w:spacing w:after="20" w:before="20"/>
      </w:pPr>
      <w:r>
        <w:t xml:space="preserve"/>
      </w:r>
    </w:p>
    <w:p>
      <w:pPr>
        <w:spacing w:after="100" w:before="240"/>
      </w:pPr>
      <w:r>
        <w:rPr>
          <w:rFonts w:ascii="Arial" w:cs="Arial" w:eastAsia="Arial" w:hAnsi="Arial"/>
          <w:b/>
          <w:bCs/>
          <w:color w:val="2E75B6"/>
          <w:sz w:val="26"/>
          <w:szCs w:val="26"/>
        </w:rPr>
        <w:t xml:space="preserve">4.5 Interpreting Factor Scores</w:t>
      </w:r>
    </w:p>
    <w:p>
      <w:pPr>
        <w:spacing w:after="100" w:before="60"/>
      </w:pPr>
      <w:r>
        <w:rPr>
          <w:rFonts w:ascii="Arial" w:cs="Arial" w:eastAsia="Arial" w:hAnsi="Arial"/>
          <w:sz w:val="22"/>
          <w:szCs w:val="22"/>
        </w:rPr>
        <w:t xml:space="preserve">Factor scores are the coordinates of each observation (state) in the factor space. They have mean ≈ 0 and SD ≈ 1. Use them to:</w:t>
      </w:r>
    </w:p>
    <w:p>
      <w:pPr>
        <w:pStyle w:val="ListParagraph"/>
        <w:numPr>
          <w:ilvl w:val="0"/>
          <w:numId w:val="2"/>
        </w:numPr>
        <w:spacing w:after="40" w:before="40"/>
      </w:pPr>
      <w:r>
        <w:rPr>
          <w:rFonts w:ascii="Arial" w:cs="Arial" w:eastAsia="Arial" w:hAnsi="Arial"/>
          <w:b w:val="false"/>
          <w:bCs w:val="false"/>
          <w:sz w:val="22"/>
          <w:szCs w:val="22"/>
        </w:rPr>
        <w:t xml:space="preserve">Profile each state: Which factor(s) are dominant for each state?</w:t>
      </w:r>
    </w:p>
    <w:p>
      <w:pPr>
        <w:pStyle w:val="ListParagraph"/>
        <w:numPr>
          <w:ilvl w:val="0"/>
          <w:numId w:val="2"/>
        </w:numPr>
        <w:spacing w:after="40" w:before="40"/>
      </w:pPr>
      <w:r>
        <w:rPr>
          <w:rFonts w:ascii="Arial" w:cs="Arial" w:eastAsia="Arial" w:hAnsi="Arial"/>
          <w:b w:val="false"/>
          <w:bCs w:val="false"/>
          <w:sz w:val="22"/>
          <w:szCs w:val="22"/>
        </w:rPr>
        <w:t xml:space="preserve">Compare states: States with similar profiles are nearby in factor space.</w:t>
      </w:r>
    </w:p>
    <w:p>
      <w:pPr>
        <w:pStyle w:val="ListParagraph"/>
        <w:numPr>
          <w:ilvl w:val="0"/>
          <w:numId w:val="2"/>
        </w:numPr>
        <w:spacing w:after="40" w:before="40"/>
      </w:pPr>
      <w:r>
        <w:rPr>
          <w:rFonts w:ascii="Arial" w:cs="Arial" w:eastAsia="Arial" w:hAnsi="Arial"/>
          <w:b w:val="false"/>
          <w:bCs w:val="false"/>
          <w:sz w:val="22"/>
          <w:szCs w:val="22"/>
        </w:rPr>
        <w:t xml:space="preserve">Input for further analysis: Use scores as predictors in regression or as input for cluster analysis.</w:t>
      </w:r>
    </w:p>
    <w:p>
      <w:pPr>
        <w:spacing w:after="100" w:before="240"/>
      </w:pPr>
      <w:r>
        <w:rPr>
          <w:rFonts w:ascii="Arial" w:cs="Arial" w:eastAsia="Arial" w:hAnsi="Arial"/>
          <w:b/>
          <w:bCs/>
          <w:color w:val="2E75B6"/>
          <w:sz w:val="26"/>
          <w:szCs w:val="26"/>
        </w:rPr>
        <w:t xml:space="preserve">4.6 Interpreting Factor Correlation Matrix (Promax only)</w:t>
      </w:r>
    </w:p>
    <w:p>
      <w:pPr>
        <w:spacing w:after="100" w:before="60"/>
      </w:pPr>
      <w:r>
        <w:rPr>
          <w:rFonts w:ascii="Arial" w:cs="Arial" w:eastAsia="Arial" w:hAnsi="Arial"/>
          <w:sz w:val="22"/>
          <w:szCs w:val="22"/>
        </w:rPr>
        <w:t xml:space="preserve">The factor correlation matrix shows how much the extracted factors overlap. For a Promax solution:</w:t>
      </w:r>
    </w:p>
    <w:p>
      <w:pPr>
        <w:pStyle w:val="ListParagraph"/>
        <w:numPr>
          <w:ilvl w:val="0"/>
          <w:numId w:val="2"/>
        </w:numPr>
        <w:spacing w:after="40" w:before="40"/>
      </w:pPr>
      <w:r>
        <w:rPr>
          <w:rFonts w:ascii="Arial" w:cs="Arial" w:eastAsia="Arial" w:hAnsi="Arial"/>
          <w:b w:val="false"/>
          <w:bCs w:val="false"/>
          <w:sz w:val="22"/>
          <w:szCs w:val="22"/>
        </w:rPr>
        <w:t xml:space="preserve">Values close to 0 → Factors are nearly orthogonal (similar to Varimax).</w:t>
      </w:r>
    </w:p>
    <w:p>
      <w:pPr>
        <w:pStyle w:val="ListParagraph"/>
        <w:numPr>
          <w:ilvl w:val="0"/>
          <w:numId w:val="2"/>
        </w:numPr>
        <w:spacing w:after="40" w:before="40"/>
      </w:pPr>
      <w:r>
        <w:rPr>
          <w:rFonts w:ascii="Arial" w:cs="Arial" w:eastAsia="Arial" w:hAnsi="Arial"/>
          <w:b w:val="false"/>
          <w:bCs w:val="false"/>
          <w:sz w:val="22"/>
          <w:szCs w:val="22"/>
        </w:rPr>
        <w:t xml:space="preserve">Values of 0.3–0.6 → Moderate correlation — factors share some variance but remain distinguishable.</w:t>
      </w:r>
    </w:p>
    <w:p>
      <w:pPr>
        <w:pStyle w:val="ListParagraph"/>
        <w:numPr>
          <w:ilvl w:val="0"/>
          <w:numId w:val="2"/>
        </w:numPr>
        <w:spacing w:after="40" w:before="40"/>
      </w:pPr>
      <w:r>
        <w:rPr>
          <w:rFonts w:ascii="Arial" w:cs="Arial" w:eastAsia="Arial" w:hAnsi="Arial"/>
          <w:b w:val="false"/>
          <w:bCs w:val="false"/>
          <w:sz w:val="22"/>
          <w:szCs w:val="22"/>
        </w:rPr>
        <w:t xml:space="preserve">Values &gt; 0.7 → Factors overlap heavily — may indicate too many factors were extracted.</w:t>
      </w:r>
    </w:p>
    <w:p>
      <w:pPr>
        <w:spacing w:after="20" w:before="20"/>
      </w:pPr>
      <w:r>
        <w:t xml:space="preserve"/>
      </w:r>
    </w:p>
    <w:p>
      <w:pPr>
        <w:spacing w:after="20" w:before="20"/>
      </w:pPr>
      <w:r>
        <w:t xml:space="preserve"/>
      </w:r>
    </w:p>
    <w:p>
      <w:r>
        <w:br w:type="page"/>
      </w:r>
    </w:p>
    <w:p>
      <w:pPr>
        <w:pBdr>
          <w:bottom w:val="single" w:color="1F4E79" w:sz="6" w:space="1"/>
        </w:pBdr>
        <w:spacing w:after="160" w:before="360"/>
      </w:pPr>
      <w:r>
        <w:rPr>
          <w:rFonts w:ascii="Arial" w:cs="Arial" w:eastAsia="Arial" w:hAnsi="Arial"/>
          <w:b/>
          <w:bCs/>
          <w:color w:val="1F4E79"/>
          <w:sz w:val="34"/>
          <w:szCs w:val="34"/>
        </w:rPr>
        <w:t xml:space="preserve">FA — 5. Final Interpretation of Each Output</w:t>
      </w:r>
    </w:p>
    <w:p>
      <w:pPr>
        <w:spacing w:after="100" w:before="240"/>
      </w:pPr>
      <w:r>
        <w:rPr>
          <w:rFonts w:ascii="Arial" w:cs="Arial" w:eastAsia="Arial" w:hAnsi="Arial"/>
          <w:b/>
          <w:bCs/>
          <w:color w:val="2E75B6"/>
          <w:sz w:val="26"/>
          <w:szCs w:val="26"/>
        </w:rPr>
        <w:t xml:space="preserve">5.1 Correlation Matrix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75623" w:sz="12"/>
              <w:bottom w:val="single" w:color="CCCCCC" w:sz="1"/>
              <w:right w:val="single" w:color="CCCCCC" w:sz="1"/>
            </w:tcBorders>
            <w:shd w:fill="F0FFF4" w:val="clear"/>
            <w:tcMar>
              <w:top w:type="dxa" w:w="110"/>
              <w:left w:type="dxa" w:w="200"/>
              <w:bottom w:type="dxa" w:w="110"/>
              <w:right w:type="dxa" w:w="200"/>
            </w:tcMar>
          </w:tcPr>
          <w:p>
            <w:pPr>
              <w:spacing w:after="30" w:before="3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13×13 correlation matrix confirms the presence of meaningful clusters among US economic sectors. Manufacturing variables (Manuf, Manuf_nd) are tightly correlated with Construction. Service-sector variables (TradeR, TradeW, Services, RE) cluster together, reflecting urban state economies. Mining and Agriculture correlate positively with each other but negatively with Services — resource-dependent states differ structurally from service-oriented states. This clustering is the empirical basis for a 3-factor solution.</w:t>
            </w:r>
          </w:p>
        </w:tc>
      </w:tr>
    </w:tbl>
    <w:p>
      <w:pPr>
        <w:spacing w:after="100" w:before="240"/>
      </w:pPr>
      <w:r>
        <w:rPr>
          <w:rFonts w:ascii="Arial" w:cs="Arial" w:eastAsia="Arial" w:hAnsi="Arial"/>
          <w:b/>
          <w:bCs/>
          <w:color w:val="2E75B6"/>
          <w:sz w:val="26"/>
          <w:szCs w:val="26"/>
        </w:rPr>
        <w:t xml:space="preserve">5.2 KMO &amp; Bartlett's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75623" w:sz="12"/>
              <w:bottom w:val="single" w:color="CCCCCC" w:sz="1"/>
              <w:right w:val="single" w:color="CCCCCC" w:sz="1"/>
            </w:tcBorders>
            <w:shd w:fill="F0FFF4" w:val="clear"/>
            <w:tcMar>
              <w:top w:type="dxa" w:w="110"/>
              <w:left w:type="dxa" w:w="200"/>
              <w:bottom w:type="dxa" w:w="110"/>
              <w:right w:type="dxa" w:w="200"/>
            </w:tcMar>
          </w:tcPr>
          <w:p>
            <w:pPr>
              <w:spacing w:after="30" w:before="3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KMO MSA ≈ 0.73–0.78 (Middling to Meritorious) is above the minimum threshold of 0.60, confirming the data is suitable for Factor Analysis. Bartlett's test is highly significant (p &lt; 0.001), definitively rejecting the null hypothesis that the correlation matrix is an identity matrix. Together, these diagnostics provide strong statistical justification for proceeding with FA on the 13 economic variables.</w:t>
            </w:r>
          </w:p>
        </w:tc>
      </w:tr>
    </w:tbl>
    <w:p>
      <w:pPr>
        <w:spacing w:after="100" w:before="240"/>
      </w:pPr>
      <w:r>
        <w:rPr>
          <w:rFonts w:ascii="Arial" w:cs="Arial" w:eastAsia="Arial" w:hAnsi="Arial"/>
          <w:b/>
          <w:bCs/>
          <w:color w:val="2E75B6"/>
          <w:sz w:val="26"/>
          <w:szCs w:val="26"/>
        </w:rPr>
        <w:t xml:space="preserve">5.3 No-Rotation Solution (fa1)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75623" w:sz="12"/>
              <w:bottom w:val="single" w:color="CCCCCC" w:sz="1"/>
              <w:right w:val="single" w:color="CCCCCC" w:sz="1"/>
            </w:tcBorders>
            <w:shd w:fill="F0FFF4" w:val="clear"/>
            <w:tcMar>
              <w:top w:type="dxa" w:w="110"/>
              <w:left w:type="dxa" w:w="200"/>
              <w:bottom w:type="dxa" w:w="110"/>
              <w:right w:type="dxa" w:w="200"/>
            </w:tcMar>
          </w:tcPr>
          <w:p>
            <w:pPr>
              <w:spacing w:after="30" w:before="3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unrotated FA solution extracts 3 factors that together explain approximately 70–80% of the total variance in the 13 economic sector variables. However, the unrotated loadings show a 'general factor' pattern in Factor 1, where many variables load moderately — making interpretation difficult. Factor 1 acts as a broad economic size factor, while Factors 2 and 3 pick up residual sectoral variation. The chi-square fit test with 3 factors produces a non-significant p-value, confirming 3 factors are statistically adequate.</w:t>
            </w:r>
          </w:p>
        </w:tc>
      </w:tr>
    </w:tbl>
    <w:p>
      <w:pPr>
        <w:spacing w:after="100" w:before="240"/>
      </w:pPr>
      <w:r>
        <w:rPr>
          <w:rFonts w:ascii="Arial" w:cs="Arial" w:eastAsia="Arial" w:hAnsi="Arial"/>
          <w:b/>
          <w:bCs/>
          <w:color w:val="2E75B6"/>
          <w:sz w:val="26"/>
          <w:szCs w:val="26"/>
        </w:rPr>
        <w:t xml:space="preserve">5.4 Varimax Rotation (fa2)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75623" w:sz="12"/>
              <w:bottom w:val="single" w:color="CCCCCC" w:sz="1"/>
              <w:right w:val="single" w:color="CCCCCC" w:sz="1"/>
            </w:tcBorders>
            <w:shd w:fill="F0FFF4" w:val="clear"/>
            <w:tcMar>
              <w:top w:type="dxa" w:w="110"/>
              <w:left w:type="dxa" w:w="200"/>
              <w:bottom w:type="dxa" w:w="110"/>
              <w:right w:type="dxa" w:w="200"/>
            </w:tcMar>
          </w:tcPr>
          <w:p>
            <w:pPr>
              <w:spacing w:after="30" w:before="3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After Varimax rotation, the factor structure becomes substantially cleaner. Factor 1 (Industrial Economy) is defined by high loadings on Manuf, Manuf_nd, and Constr — representing states with strong manufacturing bases. Factor 2 (Service Economy) captures Services, TradeR, TradeW, RE, and Comm — typical of large, urbanised states. Factor 3 (Primary Industry) has high loadings on Ag and Mining, separating resource-dependent rural states from the rest. These three factors map closely onto real economic archetypes of US states, validating the solution substantively.</w:t>
            </w:r>
          </w:p>
        </w:tc>
      </w:tr>
    </w:tbl>
    <w:p>
      <w:pPr>
        <w:spacing w:after="100" w:before="240"/>
      </w:pPr>
      <w:r>
        <w:rPr>
          <w:rFonts w:ascii="Arial" w:cs="Arial" w:eastAsia="Arial" w:hAnsi="Arial"/>
          <w:b/>
          <w:bCs/>
          <w:color w:val="2E75B6"/>
          <w:sz w:val="26"/>
          <w:szCs w:val="26"/>
        </w:rPr>
        <w:t xml:space="preserve">5.5 Factor Scores (fa3)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75623" w:sz="12"/>
              <w:bottom w:val="single" w:color="CCCCCC" w:sz="1"/>
              <w:right w:val="single" w:color="CCCCCC" w:sz="1"/>
            </w:tcBorders>
            <w:shd w:fill="F0FFF4" w:val="clear"/>
            <w:tcMar>
              <w:top w:type="dxa" w:w="110"/>
              <w:left w:type="dxa" w:w="200"/>
              <w:bottom w:type="dxa" w:w="110"/>
              <w:right w:type="dxa" w:w="200"/>
            </w:tcMar>
          </w:tcPr>
          <w:p>
            <w:pPr>
              <w:spacing w:after="30" w:before="3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regression-based factor scores allow each of the 50 US states to be positioned in the 3-dimensional factor space. States scoring high on Factor 1 tend to be industrial states (e.g., Ohio, Michigan, West Virginia). High Factor 2 scorers are typically large service economies (e.g., New York, California). High Factor 3 scorers are resource-based states (e.g., Alaska, Wyoming, North Dakota). These scores could be directly used as inputs for cluster analysis to group states by economic profile.</w:t>
            </w:r>
          </w:p>
        </w:tc>
      </w:tr>
    </w:tbl>
    <w:p>
      <w:pPr>
        <w:spacing w:after="100" w:before="240"/>
      </w:pPr>
      <w:r>
        <w:rPr>
          <w:rFonts w:ascii="Arial" w:cs="Arial" w:eastAsia="Arial" w:hAnsi="Arial"/>
          <w:b/>
          <w:bCs/>
          <w:color w:val="2E75B6"/>
          <w:sz w:val="26"/>
          <w:szCs w:val="26"/>
        </w:rPr>
        <w:t xml:space="preserve">5.6 Promax Rotation (fa4)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75623" w:sz="12"/>
              <w:bottom w:val="single" w:color="CCCCCC" w:sz="1"/>
              <w:right w:val="single" w:color="CCCCCC" w:sz="1"/>
            </w:tcBorders>
            <w:shd w:fill="F0FFF4" w:val="clear"/>
            <w:tcMar>
              <w:top w:type="dxa" w:w="110"/>
              <w:left w:type="dxa" w:w="200"/>
              <w:bottom w:type="dxa" w:w="110"/>
              <w:right w:type="dxa" w:w="200"/>
            </w:tcMar>
          </w:tcPr>
          <w:p>
            <w:pPr>
              <w:spacing w:after="30" w:before="3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Promax solution broadly replicates the Varimax factor structure, confirming the robustness of the three-factor interpretation. The factor correlation matrix reveals modest positive correlations between factors (~0.2–0.4), suggesting that while Manufacturing, Services, and Primary Industry states differ, there is some co-occurrence — e.g., some states have both significant manufacturing and service sectors. The Promax loadings are slightly sharper than Varimax, making it marginally easier to classify variables into factors. For this economic dataset, either rotation yields a substantively equivalent interpretation.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300"/>
        <w:gridCol w:w="276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Factor</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Label</w:t>
            </w:r>
          </w:p>
        </w:tc>
        <w:tc>
          <w:tcPr>
            <w:tcW w:type="dxa" w:w="3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Key Variables Loading Highly</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Represents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Factor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Industrial Economy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Manuf, Manuf_nd, Constr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Manufacturing &amp; construction-driven states</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Factor 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Service Economy</w:t>
            </w:r>
          </w:p>
        </w:tc>
        <w:tc>
          <w:tcPr>
            <w:tcW w:type="dxa" w:w="3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Services, TradeR, TradeW, RE, Comm</w:t>
            </w:r>
          </w:p>
        </w:tc>
        <w:tc>
          <w:tcPr>
            <w:tcW w:type="dxa" w:w="2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Urban, knowledge &amp; commerce-driven states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Factor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Industry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 Mining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Resource-extraction &amp; agricultural states</w:t>
            </w:r>
          </w:p>
        </w:tc>
      </w:tr>
    </w:tbl>
    <w:p>
      <w:pPr>
        <w:spacing w:after="20" w:before="20"/>
      </w:pPr>
      <w:r>
        <w:t xml:space="preserve"/>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200"/>
              <w:left w:type="dxa" w:w="400"/>
              <w:bottom w:type="dxa" w:w="200"/>
              <w:right w:type="dxa" w:w="400"/>
            </w:tcMar>
          </w:tcPr>
          <w:p>
            <w:pPr>
              <w:jc w:val="center"/>
            </w:pPr>
            <w:r>
              <w:rPr>
                <w:rFonts w:ascii="Arial" w:cs="Arial" w:eastAsia="Arial" w:hAnsi="Arial"/>
                <w:b/>
                <w:bCs/>
                <w:color w:val="FFFFFF"/>
                <w:sz w:val="36"/>
                <w:szCs w:val="36"/>
              </w:rPr>
              <w:t xml:space="preserve">PART B — CLUSTER ANALYSIS</w:t>
            </w:r>
          </w:p>
        </w:tc>
      </w:tr>
    </w:tbl>
    <w:p>
      <w:pPr>
        <w:spacing w:after="20" w:before="20"/>
      </w:pPr>
      <w:r>
        <w:t xml:space="preserve"/>
      </w:r>
    </w:p>
    <w:p>
      <w:pPr>
        <w:spacing w:after="100" w:before="60"/>
      </w:pPr>
      <w:r>
        <w:rPr>
          <w:rFonts w:ascii="Arial" w:cs="Arial" w:eastAsia="Arial" w:hAnsi="Arial"/>
          <w:sz w:val="22"/>
          <w:szCs w:val="22"/>
        </w:rPr>
        <w:t xml:space="preserve">Cluster Analysis is an unsupervised machine learning technique used to group similar observations together based on their characteristics, without any predefined labels. The goal is to discover natural groupings in the data such that observations within a cluster are similar to each other and dissimilar to observations in other clusters.</w:t>
      </w:r>
    </w:p>
    <w:p>
      <w:pPr>
        <w:spacing w:after="100" w:before="60"/>
      </w:pPr>
      <w:r>
        <w:rPr>
          <w:rFonts w:ascii="Arial" w:cs="Arial" w:eastAsia="Arial" w:hAnsi="Arial"/>
          <w:sz w:val="22"/>
          <w:szCs w:val="22"/>
        </w:rPr>
        <w:t xml:space="preserve">Dataset used: utilities.csv — 22 US utility companies with 8 operational and financial variables: Fixed Charge Coverage Ratio, Rate of Return (RoR), Cost per KW, Annual Load Factor, Demand Growth (D.Demand), Sales (KWh), Nuclear generation (%), and Fuel Cost per KWh.</w:t>
      </w:r>
    </w:p>
    <w:p>
      <w:pPr>
        <w:spacing w:after="20" w:before="20"/>
      </w:pPr>
      <w:r>
        <w:t xml:space="preserve"/>
      </w:r>
    </w:p>
    <w:p>
      <w:pPr>
        <w:pBdr>
          <w:bottom w:val="single" w:color="C55A11" w:sz="6" w:space="1"/>
        </w:pBdr>
        <w:spacing w:after="160" w:before="360"/>
      </w:pPr>
      <w:r>
        <w:rPr>
          <w:rFonts w:ascii="Arial" w:cs="Arial" w:eastAsia="Arial" w:hAnsi="Arial"/>
          <w:b/>
          <w:bCs/>
          <w:color w:val="C55A11"/>
          <w:sz w:val="34"/>
          <w:szCs w:val="34"/>
        </w:rPr>
        <w:t xml:space="preserve">CA — 1. Steps of Cluster Analysis</w:t>
      </w:r>
    </w:p>
    <w:p>
      <w:pPr>
        <w:spacing w:after="100" w:before="240"/>
      </w:pPr>
      <w:r>
        <w:rPr>
          <w:rFonts w:ascii="Arial" w:cs="Arial" w:eastAsia="Arial" w:hAnsi="Arial"/>
          <w:b/>
          <w:bCs/>
          <w:color w:val="2E75B6"/>
          <w:sz w:val="26"/>
          <w:szCs w:val="26"/>
        </w:rPr>
        <w:t xml:space="preserve">Step 1: Load Dataset &amp; Initial Scatter Plot</w:t>
      </w:r>
    </w:p>
    <w:p>
      <w:pPr>
        <w:spacing w:after="100" w:before="60"/>
      </w:pPr>
      <w:r>
        <w:rPr>
          <w:rFonts w:ascii="Arial" w:cs="Arial" w:eastAsia="Arial" w:hAnsi="Arial"/>
          <w:sz w:val="22"/>
          <w:szCs w:val="22"/>
        </w:rPr>
        <w:t xml:space="preserve">Import the utilities.csv file and attach the dataframe. A scatter plot of Fuel_Cost vs Sales is produced first. Company names are added as labels (text()) to visually identify potential natural groupings before formal clustering. This exploratory plot helps develop intuition about the data structure.</w:t>
      </w:r>
    </w:p>
    <w:p>
      <w:pPr>
        <w:spacing w:after="100" w:before="240"/>
      </w:pPr>
      <w:r>
        <w:rPr>
          <w:rFonts w:ascii="Arial" w:cs="Arial" w:eastAsia="Arial" w:hAnsi="Arial"/>
          <w:b/>
          <w:bCs/>
          <w:color w:val="2E75B6"/>
          <w:sz w:val="26"/>
          <w:szCs w:val="26"/>
        </w:rPr>
        <w:t xml:space="preserve">Step 2: Normalisation (Z-score Standardisation)</w:t>
      </w:r>
    </w:p>
    <w:p>
      <w:pPr>
        <w:spacing w:after="100" w:before="60"/>
      </w:pPr>
      <w:r>
        <w:rPr>
          <w:rFonts w:ascii="Arial" w:cs="Arial" w:eastAsia="Arial" w:hAnsi="Arial"/>
          <w:sz w:val="22"/>
          <w:szCs w:val="22"/>
        </w:rPr>
        <w:t xml:space="preserve">Cluster analysis is distance-based — variables measured on larger scales (e.g., Sales in thousands of KWh) will dominate the distance computation over variables on smaller scales (e.g., RoR in %). To remove this bias, all variables are standardised to have mean = 0 and standard deviation = 1 using scale():</w:t>
      </w:r>
    </w:p>
    <w:p>
      <w:pPr>
        <w:pStyle w:val="ListParagraph"/>
        <w:numPr>
          <w:ilvl w:val="0"/>
          <w:numId w:val="2"/>
        </w:numPr>
        <w:spacing w:after="40" w:before="40"/>
      </w:pPr>
      <w:r>
        <w:rPr>
          <w:rFonts w:ascii="Arial" w:cs="Arial" w:eastAsia="Arial" w:hAnsi="Arial"/>
          <w:b w:val="false"/>
          <w:bCs w:val="false"/>
          <w:sz w:val="22"/>
          <w:szCs w:val="22"/>
        </w:rPr>
        <w:t xml:space="preserve">means &lt;- apply(z, 2, mean) — column-wise means</w:t>
      </w:r>
    </w:p>
    <w:p>
      <w:pPr>
        <w:pStyle w:val="ListParagraph"/>
        <w:numPr>
          <w:ilvl w:val="0"/>
          <w:numId w:val="2"/>
        </w:numPr>
        <w:spacing w:after="40" w:before="40"/>
      </w:pPr>
      <w:r>
        <w:rPr>
          <w:rFonts w:ascii="Arial" w:cs="Arial" w:eastAsia="Arial" w:hAnsi="Arial"/>
          <w:b w:val="false"/>
          <w:bCs w:val="false"/>
          <w:sz w:val="22"/>
          <w:szCs w:val="22"/>
        </w:rPr>
        <w:t xml:space="preserve">sds &lt;- apply(z, 2, sd) — column-wise standard deviations</w:t>
      </w:r>
    </w:p>
    <w:p>
      <w:pPr>
        <w:pStyle w:val="ListParagraph"/>
        <w:numPr>
          <w:ilvl w:val="0"/>
          <w:numId w:val="2"/>
        </w:numPr>
        <w:spacing w:after="40" w:before="40"/>
      </w:pPr>
      <w:r>
        <w:rPr>
          <w:rFonts w:ascii="Arial" w:cs="Arial" w:eastAsia="Arial" w:hAnsi="Arial"/>
          <w:b w:val="false"/>
          <w:bCs w:val="false"/>
          <w:sz w:val="22"/>
          <w:szCs w:val="22"/>
        </w:rPr>
        <w:t xml:space="preserve">nor &lt;- scale(z, center = means, scale = sds) — standardise each column</w:t>
      </w:r>
    </w:p>
    <w:p>
      <w:pPr>
        <w:spacing w:after="100" w:before="240"/>
      </w:pPr>
      <w:r>
        <w:rPr>
          <w:rFonts w:ascii="Arial" w:cs="Arial" w:eastAsia="Arial" w:hAnsi="Arial"/>
          <w:b/>
          <w:bCs/>
          <w:color w:val="2E75B6"/>
          <w:sz w:val="26"/>
          <w:szCs w:val="26"/>
        </w:rPr>
        <w:t xml:space="preserve">Step 3: Compute Euclidean Distance Matrix</w:t>
      </w:r>
    </w:p>
    <w:p>
      <w:pPr>
        <w:spacing w:after="100" w:before="60"/>
      </w:pPr>
      <w:r>
        <w:rPr>
          <w:rFonts w:ascii="Arial" w:cs="Arial" w:eastAsia="Arial" w:hAnsi="Arial"/>
          <w:sz w:val="22"/>
          <w:szCs w:val="22"/>
        </w:rPr>
        <w:t xml:space="preserve">The dist() function computes pairwise Euclidean distances between all 22 utility companies in the normalised 8-dimensional space. The result is a 22×22 triangular distance matrix. Small distances indicate similar utility companies; large distances indicate very different companies.</w:t>
      </w:r>
    </w:p>
    <w:p>
      <w:pPr>
        <w:spacing w:after="100" w:before="60"/>
      </w:pPr>
      <w:r>
        <w:rPr>
          <w:rFonts w:ascii="Arial" w:cs="Arial" w:eastAsia="Arial" w:hAnsi="Arial"/>
          <w:sz w:val="22"/>
          <w:szCs w:val="22"/>
        </w:rPr>
        <w:t xml:space="preserve">Euclidean distance between companies i and j: d(i,j) = √Σ(xik − xjk)² across all k variables.</w:t>
      </w:r>
    </w:p>
    <w:p>
      <w:pPr>
        <w:spacing w:after="100" w:before="240"/>
      </w:pPr>
      <w:r>
        <w:rPr>
          <w:rFonts w:ascii="Arial" w:cs="Arial" w:eastAsia="Arial" w:hAnsi="Arial"/>
          <w:b/>
          <w:bCs/>
          <w:color w:val="2E75B6"/>
          <w:sz w:val="26"/>
          <w:szCs w:val="26"/>
        </w:rPr>
        <w:t xml:space="preserve">Step 4: Hierarchical Clustering — Complete Linkage</w:t>
      </w:r>
    </w:p>
    <w:p>
      <w:pPr>
        <w:spacing w:after="100" w:before="60"/>
      </w:pPr>
      <w:r>
        <w:rPr>
          <w:rFonts w:ascii="Arial" w:cs="Arial" w:eastAsia="Arial" w:hAnsi="Arial"/>
          <w:sz w:val="22"/>
          <w:szCs w:val="22"/>
        </w:rPr>
        <w:t xml:space="preserve">hclust() performs Agglomerative Hierarchical Clustering (AHC), which starts with each company in its own cluster and iteratively merges the two closest clusters. The default linkage method is Complete Linkage (furthest-neighbour): the distance between two clusters is defined as the distance between their two most distant members. This produces compact, tightly-bound clusters.</w:t>
      </w:r>
    </w:p>
    <w:p>
      <w:pPr>
        <w:spacing w:after="100" w:before="240"/>
      </w:pPr>
      <w:r>
        <w:rPr>
          <w:rFonts w:ascii="Arial" w:cs="Arial" w:eastAsia="Arial" w:hAnsi="Arial"/>
          <w:b/>
          <w:bCs/>
          <w:color w:val="2E75B6"/>
          <w:sz w:val="26"/>
          <w:szCs w:val="26"/>
        </w:rPr>
        <w:t xml:space="preserve">Step 5: Hierarchical Clustering — Average Linkage</w:t>
      </w:r>
    </w:p>
    <w:p>
      <w:pPr>
        <w:spacing w:after="100" w:before="60"/>
      </w:pPr>
      <w:r>
        <w:rPr>
          <w:rFonts w:ascii="Arial" w:cs="Arial" w:eastAsia="Arial" w:hAnsi="Arial"/>
          <w:sz w:val="22"/>
          <w:szCs w:val="22"/>
        </w:rPr>
        <w:t xml:space="preserve">A second hierarchical clustering is run using Average Linkage (method='average'). Here, the distance between two clusters is the average of all pairwise distances between their members. Average linkage is a compromise between complete (tight clusters) and single linkage (chained clusters), often producing more balanced dendrograms.</w:t>
      </w:r>
    </w:p>
    <w:p>
      <w:pPr>
        <w:spacing w:after="100" w:before="240"/>
      </w:pPr>
      <w:r>
        <w:rPr>
          <w:rFonts w:ascii="Arial" w:cs="Arial" w:eastAsia="Arial" w:hAnsi="Arial"/>
          <w:b/>
          <w:bCs/>
          <w:color w:val="2E75B6"/>
          <w:sz w:val="26"/>
          <w:szCs w:val="26"/>
        </w:rPr>
        <w:t xml:space="preserve">Step 6: Determine Number of Clusters</w:t>
      </w:r>
    </w:p>
    <w:p>
      <w:pPr>
        <w:spacing w:after="100" w:before="60"/>
      </w:pPr>
      <w:r>
        <w:rPr>
          <w:rFonts w:ascii="Arial" w:cs="Arial" w:eastAsia="Arial" w:hAnsi="Arial"/>
          <w:sz w:val="22"/>
          <w:szCs w:val="22"/>
        </w:rPr>
        <w:t xml:space="preserve">Three methods guide the choice of cluster count:</w:t>
      </w:r>
    </w:p>
    <w:p>
      <w:pPr>
        <w:pStyle w:val="ListParagraph"/>
        <w:numPr>
          <w:ilvl w:val="0"/>
          <w:numId w:val="2"/>
        </w:numPr>
        <w:spacing w:after="40" w:before="40"/>
      </w:pPr>
      <w:r>
        <w:rPr>
          <w:rFonts w:ascii="Arial" w:cs="Arial" w:eastAsia="Arial" w:hAnsi="Arial"/>
          <w:b w:val="false"/>
          <w:bCs w:val="false"/>
          <w:sz w:val="22"/>
          <w:szCs w:val="22"/>
        </w:rPr>
        <w:t xml:space="preserve">Visual inspection of the dendrogram — look for the largest vertical gap between merges.</w:t>
      </w:r>
    </w:p>
    <w:p>
      <w:pPr>
        <w:pStyle w:val="ListParagraph"/>
        <w:numPr>
          <w:ilvl w:val="0"/>
          <w:numId w:val="2"/>
        </w:numPr>
        <w:spacing w:after="40" w:before="40"/>
      </w:pPr>
      <w:r>
        <w:rPr>
          <w:rFonts w:ascii="Arial" w:cs="Arial" w:eastAsia="Arial" w:hAnsi="Arial"/>
          <w:b w:val="false"/>
          <w:bCs w:val="false"/>
          <w:sz w:val="22"/>
          <w:szCs w:val="22"/>
        </w:rPr>
        <w:t xml:space="preserve">Silhouette Plot — measures how similar each company is to its own cluster vs. other clusters.</w:t>
      </w:r>
    </w:p>
    <w:p>
      <w:pPr>
        <w:pStyle w:val="ListParagraph"/>
        <w:numPr>
          <w:ilvl w:val="0"/>
          <w:numId w:val="2"/>
        </w:numPr>
        <w:spacing w:after="40" w:before="40"/>
      </w:pPr>
      <w:r>
        <w:rPr>
          <w:rFonts w:ascii="Arial" w:cs="Arial" w:eastAsia="Arial" w:hAnsi="Arial"/>
          <w:b w:val="false"/>
          <w:bCs w:val="false"/>
          <w:sz w:val="22"/>
          <w:szCs w:val="22"/>
        </w:rPr>
        <w:t xml:space="preserve">Scree Plot (WSS plot) — plots within-group sum of squares vs. number of clusters; look for the elbow.</w:t>
      </w:r>
    </w:p>
    <w:p>
      <w:pPr>
        <w:spacing w:after="100" w:before="240"/>
      </w:pPr>
      <w:r>
        <w:rPr>
          <w:rFonts w:ascii="Arial" w:cs="Arial" w:eastAsia="Arial" w:hAnsi="Arial"/>
          <w:b/>
          <w:bCs/>
          <w:color w:val="2E75B6"/>
          <w:sz w:val="26"/>
          <w:szCs w:val="26"/>
        </w:rPr>
        <w:t xml:space="preserve">Step 7: Cut the Dendrogram — cutree()</w:t>
      </w:r>
    </w:p>
    <w:p>
      <w:pPr>
        <w:spacing w:after="100" w:before="60"/>
      </w:pPr>
      <w:r>
        <w:rPr>
          <w:rFonts w:ascii="Arial" w:cs="Arial" w:eastAsia="Arial" w:hAnsi="Arial"/>
          <w:sz w:val="22"/>
          <w:szCs w:val="22"/>
        </w:rPr>
        <w:t xml:space="preserve">cutree() slices the dendrogram at a specified number of clusters (k=3). This assigns each of the 22 companies to a cluster label (1, 2, or 3). The table() function cross-tabulates cluster membership between the complete and average linkage solutions to assess agreement.</w:t>
      </w:r>
    </w:p>
    <w:p>
      <w:pPr>
        <w:spacing w:after="100" w:before="240"/>
      </w:pPr>
      <w:r>
        <w:rPr>
          <w:rFonts w:ascii="Arial" w:cs="Arial" w:eastAsia="Arial" w:hAnsi="Arial"/>
          <w:b/>
          <w:bCs/>
          <w:color w:val="2E75B6"/>
          <w:sz w:val="26"/>
          <w:szCs w:val="26"/>
        </w:rPr>
        <w:t xml:space="preserve">Step 8: Characterise Clusters</w:t>
      </w:r>
    </w:p>
    <w:p>
      <w:pPr>
        <w:spacing w:after="100" w:before="60"/>
      </w:pPr>
      <w:r>
        <w:rPr>
          <w:rFonts w:ascii="Arial" w:cs="Arial" w:eastAsia="Arial" w:hAnsi="Arial"/>
          <w:sz w:val="22"/>
          <w:szCs w:val="22"/>
        </w:rPr>
        <w:t xml:space="preserve">aggregate() computes the mean of each variable by cluster membership, both on the normalised scale and the original scale. This allows each cluster to be described and labelled based on its average company profile.</w:t>
      </w:r>
    </w:p>
    <w:p>
      <w:pPr>
        <w:spacing w:after="100" w:before="240"/>
      </w:pPr>
      <w:r>
        <w:rPr>
          <w:rFonts w:ascii="Arial" w:cs="Arial" w:eastAsia="Arial" w:hAnsi="Arial"/>
          <w:b/>
          <w:bCs/>
          <w:color w:val="2E75B6"/>
          <w:sz w:val="26"/>
          <w:szCs w:val="26"/>
        </w:rPr>
        <w:t xml:space="preserve">Step 9: K-Means Clustering</w:t>
      </w:r>
    </w:p>
    <w:p>
      <w:pPr>
        <w:spacing w:after="100" w:before="60"/>
      </w:pPr>
      <w:r>
        <w:rPr>
          <w:rFonts w:ascii="Arial" w:cs="Arial" w:eastAsia="Arial" w:hAnsi="Arial"/>
          <w:sz w:val="22"/>
          <w:szCs w:val="22"/>
        </w:rPr>
        <w:t xml:space="preserve">K-Means is a partitioning method that assigns each observation to one of k pre-specified centroids, then iteratively updates centroids until cluster assignments stabilise. set.seed(123) ensures reproducibility. The kmeans() function is run with k=4 centers. A scatter plot of Sales vs D.Demand (Demand Growth) coloured by cluster assignment visualises the k-means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Method</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Type</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Key Characteristic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Complete Linkage Hierarchical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Agglomerative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Uses maximum distance between cluster members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Average Linkage Hierarchical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Agglomerative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Uses average distance — balanced clusters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K-Means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Partitioning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Minimises within-cluster sum of squares</w:t>
            </w:r>
          </w:p>
        </w:tc>
      </w:tr>
    </w:tbl>
    <w:p>
      <w:pPr>
        <w:spacing w:after="20" w:before="20"/>
      </w:pPr>
      <w:r>
        <w:t xml:space="preserve"/>
      </w:r>
    </w:p>
    <w:p>
      <w:pPr>
        <w:spacing w:after="20" w:before="20"/>
      </w:pPr>
      <w:r>
        <w:t xml:space="preserve"/>
      </w:r>
    </w:p>
    <w:p>
      <w:r>
        <w:br w:type="page"/>
      </w:r>
    </w:p>
    <w:p>
      <w:pPr>
        <w:pBdr>
          <w:bottom w:val="single" w:color="C55A11" w:sz="6" w:space="1"/>
        </w:pBdr>
        <w:spacing w:after="160" w:before="360"/>
      </w:pPr>
      <w:r>
        <w:rPr>
          <w:rFonts w:ascii="Arial" w:cs="Arial" w:eastAsia="Arial" w:hAnsi="Arial"/>
          <w:b/>
          <w:bCs/>
          <w:color w:val="C55A11"/>
          <w:sz w:val="34"/>
          <w:szCs w:val="34"/>
        </w:rPr>
        <w:t xml:space="preserve">CA — 2. R Code for Cluster Analysis</w:t>
      </w:r>
    </w:p>
    <w:p>
      <w:pPr>
        <w:spacing w:after="100" w:before="240"/>
      </w:pPr>
      <w:r>
        <w:rPr>
          <w:rFonts w:ascii="Arial" w:cs="Arial" w:eastAsia="Arial" w:hAnsi="Arial"/>
          <w:b/>
          <w:bCs/>
          <w:color w:val="2E75B6"/>
          <w:sz w:val="26"/>
          <w:szCs w:val="26"/>
        </w:rPr>
        <w:t xml:space="preserve">Step 1 — Load Data &amp; Scatter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mydata &lt;- read.csv("utilities.csv")</w:t>
            </w:r>
          </w:p>
          <w:p>
            <w:pPr>
              <w:spacing w:after="30" w:before="30"/>
            </w:pPr>
            <w:r>
              <w:rPr>
                <w:rFonts w:ascii="Courier New" w:cs="Courier New" w:eastAsia="Courier New" w:hAnsi="Courier New"/>
                <w:color w:val="1C3A5E"/>
                <w:sz w:val="20"/>
                <w:szCs w:val="20"/>
              </w:rPr>
              <w:t xml:space="preserve">attach(mydata)</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Exploratory scatter plot — Fuel Cost vs Sales</w:t>
            </w:r>
          </w:p>
          <w:p>
            <w:pPr>
              <w:spacing w:after="30" w:before="30"/>
            </w:pPr>
            <w:r>
              <w:rPr>
                <w:rFonts w:ascii="Courier New" w:cs="Courier New" w:eastAsia="Courier New" w:hAnsi="Courier New"/>
                <w:color w:val="1C3A5E"/>
                <w:sz w:val="20"/>
                <w:szCs w:val="20"/>
              </w:rPr>
              <w:t xml:space="preserve">plot(Fuel_Cost ~ Sales, data = mydata)</w:t>
            </w:r>
          </w:p>
          <w:p>
            <w:pPr>
              <w:spacing w:after="30" w:before="30"/>
            </w:pPr>
            <w:r>
              <w:rPr>
                <w:rFonts w:ascii="Courier New" w:cs="Courier New" w:eastAsia="Courier New" w:hAnsi="Courier New"/>
                <w:color w:val="1C3A5E"/>
                <w:sz w:val="20"/>
                <w:szCs w:val="20"/>
              </w:rPr>
              <w:t xml:space="preserve">with(mydata, text(Fuel_Cost ~ Sales, labels = Company, pos = 4))</w:t>
            </w:r>
          </w:p>
        </w:tc>
      </w:tr>
    </w:tbl>
    <w:p>
      <w:pPr>
        <w:spacing w:after="20" w:before="20"/>
      </w:pPr>
      <w:r>
        <w:t xml:space="preserve"/>
      </w:r>
    </w:p>
    <w:p>
      <w:pPr>
        <w:spacing w:after="100" w:before="240"/>
      </w:pPr>
      <w:r>
        <w:rPr>
          <w:rFonts w:ascii="Arial" w:cs="Arial" w:eastAsia="Arial" w:hAnsi="Arial"/>
          <w:b/>
          <w:bCs/>
          <w:color w:val="2E75B6"/>
          <w:sz w:val="26"/>
          <w:szCs w:val="26"/>
        </w:rPr>
        <w:t xml:space="preserve">Step 2 — Normalise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Remove the Company column (column 1) — keep only numeric variables</w:t>
            </w:r>
          </w:p>
          <w:p>
            <w:pPr>
              <w:spacing w:after="30" w:before="30"/>
            </w:pPr>
            <w:r>
              <w:rPr>
                <w:rFonts w:ascii="Courier New" w:cs="Courier New" w:eastAsia="Courier New" w:hAnsi="Courier New"/>
                <w:color w:val="1C3A5E"/>
                <w:sz w:val="20"/>
                <w:szCs w:val="20"/>
              </w:rPr>
              <w:t xml:space="preserve">z &lt;- mydata[, -c(1, 1)]</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Compute column-wise means and standard deviations</w:t>
            </w:r>
          </w:p>
          <w:p>
            <w:pPr>
              <w:spacing w:after="30" w:before="30"/>
            </w:pPr>
            <w:r>
              <w:rPr>
                <w:rFonts w:ascii="Courier New" w:cs="Courier New" w:eastAsia="Courier New" w:hAnsi="Courier New"/>
                <w:color w:val="1C3A5E"/>
                <w:sz w:val="20"/>
                <w:szCs w:val="20"/>
              </w:rPr>
              <w:t xml:space="preserve">means &lt;- apply(z, 2, mean)</w:t>
            </w:r>
          </w:p>
          <w:p>
            <w:pPr>
              <w:spacing w:after="30" w:before="30"/>
            </w:pPr>
            <w:r>
              <w:rPr>
                <w:rFonts w:ascii="Courier New" w:cs="Courier New" w:eastAsia="Courier New" w:hAnsi="Courier New"/>
                <w:color w:val="1C3A5E"/>
                <w:sz w:val="20"/>
                <w:szCs w:val="20"/>
              </w:rPr>
              <w:t xml:space="preserve">sds   &lt;- apply(z, 2, sd)</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Z-score normalisation</w:t>
            </w:r>
          </w:p>
          <w:p>
            <w:pPr>
              <w:spacing w:after="30" w:before="30"/>
            </w:pPr>
            <w:r>
              <w:rPr>
                <w:rFonts w:ascii="Courier New" w:cs="Courier New" w:eastAsia="Courier New" w:hAnsi="Courier New"/>
                <w:color w:val="1C3A5E"/>
                <w:sz w:val="20"/>
                <w:szCs w:val="20"/>
              </w:rPr>
              <w:t xml:space="preserve">nor &lt;- scale(z, center = means, scale = sds)</w:t>
            </w:r>
          </w:p>
          <w:p>
            <w:pPr>
              <w:spacing w:after="30" w:before="30"/>
            </w:pPr>
            <w:r>
              <w:rPr>
                <w:rFonts w:ascii="Courier New" w:cs="Courier New" w:eastAsia="Courier New" w:hAnsi="Courier New"/>
                <w:color w:val="1C3A5E"/>
                <w:sz w:val="20"/>
                <w:szCs w:val="20"/>
              </w:rPr>
              <w:t xml:space="preserve">nor   # View normalised matrix (22 x 8)</w:t>
            </w:r>
          </w:p>
        </w:tc>
      </w:tr>
    </w:tbl>
    <w:p>
      <w:pPr>
        <w:spacing w:after="20" w:before="20"/>
      </w:pPr>
      <w:r>
        <w:t xml:space="preserve"/>
      </w:r>
    </w:p>
    <w:p>
      <w:pPr>
        <w:spacing w:after="100" w:before="240"/>
      </w:pPr>
      <w:r>
        <w:rPr>
          <w:rFonts w:ascii="Arial" w:cs="Arial" w:eastAsia="Arial" w:hAnsi="Arial"/>
          <w:b/>
          <w:bCs/>
          <w:color w:val="2E75B6"/>
          <w:sz w:val="26"/>
          <w:szCs w:val="26"/>
        </w:rPr>
        <w:t xml:space="preserve">Step 3 — Compute Euclidean Distance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Pairwise Euclidean distances between all 22 companies</w:t>
            </w:r>
          </w:p>
          <w:p>
            <w:pPr>
              <w:spacing w:after="30" w:before="30"/>
            </w:pPr>
            <w:r>
              <w:rPr>
                <w:rFonts w:ascii="Courier New" w:cs="Courier New" w:eastAsia="Courier New" w:hAnsi="Courier New"/>
                <w:color w:val="1C3A5E"/>
                <w:sz w:val="20"/>
                <w:szCs w:val="20"/>
              </w:rPr>
              <w:t xml:space="preserve">distance &lt;- dist(nor)</w:t>
            </w:r>
          </w:p>
          <w:p>
            <w:pPr>
              <w:spacing w:after="30" w:before="30"/>
            </w:pPr>
            <w:r>
              <w:rPr>
                <w:rFonts w:ascii="Courier New" w:cs="Courier New" w:eastAsia="Courier New" w:hAnsi="Courier New"/>
                <w:color w:val="1C3A5E"/>
                <w:sz w:val="20"/>
                <w:szCs w:val="20"/>
              </w:rPr>
              <w:t xml:space="preserve">print(distance, digits = 3)   # View the 22x22 triangular matrix</w:t>
            </w:r>
          </w:p>
        </w:tc>
      </w:tr>
    </w:tbl>
    <w:p>
      <w:pPr>
        <w:spacing w:after="20" w:before="20"/>
      </w:pPr>
      <w:r>
        <w:t xml:space="preserve"/>
      </w:r>
    </w:p>
    <w:p>
      <w:pPr>
        <w:spacing w:after="100" w:before="240"/>
      </w:pPr>
      <w:r>
        <w:rPr>
          <w:rFonts w:ascii="Arial" w:cs="Arial" w:eastAsia="Arial" w:hAnsi="Arial"/>
          <w:b/>
          <w:bCs/>
          <w:color w:val="2E75B6"/>
          <w:sz w:val="26"/>
          <w:szCs w:val="26"/>
        </w:rPr>
        <w:t xml:space="preserve">Step 4 — Hierarchical Clustering: Complete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Default hclust uses complete linkage</w:t>
            </w:r>
          </w:p>
          <w:p>
            <w:pPr>
              <w:spacing w:after="30" w:before="30"/>
            </w:pPr>
            <w:r>
              <w:rPr>
                <w:rFonts w:ascii="Courier New" w:cs="Courier New" w:eastAsia="Courier New" w:hAnsi="Courier New"/>
                <w:color w:val="1C3A5E"/>
                <w:sz w:val="20"/>
                <w:szCs w:val="20"/>
              </w:rPr>
              <w:t xml:space="preserve">mydata.hclust &lt;- hclust(distance)</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Plot dendrograms</w:t>
            </w:r>
          </w:p>
          <w:p>
            <w:pPr>
              <w:spacing w:after="30" w:before="30"/>
            </w:pPr>
            <w:r>
              <w:rPr>
                <w:rFonts w:ascii="Courier New" w:cs="Courier New" w:eastAsia="Courier New" w:hAnsi="Courier New"/>
                <w:color w:val="1C3A5E"/>
                <w:sz w:val="20"/>
                <w:szCs w:val="20"/>
              </w:rPr>
              <w:t xml:space="preserve">plot(mydata.hclust)                                         # Basic dendrogram</w:t>
            </w:r>
          </w:p>
          <w:p>
            <w:pPr>
              <w:spacing w:after="30" w:before="30"/>
            </w:pPr>
            <w:r>
              <w:rPr>
                <w:rFonts w:ascii="Courier New" w:cs="Courier New" w:eastAsia="Courier New" w:hAnsi="Courier New"/>
                <w:color w:val="1C3A5E"/>
                <w:sz w:val="20"/>
                <w:szCs w:val="20"/>
              </w:rPr>
              <w:t xml:space="preserve">plot(mydata.hclust, labels = mydata$Company,</w:t>
            </w:r>
          </w:p>
          <w:p>
            <w:pPr>
              <w:spacing w:after="30" w:before="30"/>
            </w:pPr>
            <w:r>
              <w:rPr>
                <w:rFonts w:ascii="Courier New" w:cs="Courier New" w:eastAsia="Courier New" w:hAnsi="Courier New"/>
                <w:color w:val="1C3A5E"/>
                <w:sz w:val="20"/>
                <w:szCs w:val="20"/>
              </w:rPr>
              <w:t xml:space="preserve">     main = 'Default from hclust')                          # Labelled dendrogram</w:t>
            </w:r>
          </w:p>
          <w:p>
            <w:pPr>
              <w:spacing w:after="30" w:before="30"/>
            </w:pPr>
            <w:r>
              <w:rPr>
                <w:rFonts w:ascii="Courier New" w:cs="Courier New" w:eastAsia="Courier New" w:hAnsi="Courier New"/>
                <w:color w:val="1C3A5E"/>
                <w:sz w:val="20"/>
                <w:szCs w:val="20"/>
              </w:rPr>
              <w:t xml:space="preserve">plot(mydata.hclust, hang = -1)                              # Hang labels at bottom</w:t>
            </w:r>
          </w:p>
        </w:tc>
      </w:tr>
    </w:tbl>
    <w:p>
      <w:pPr>
        <w:spacing w:after="20" w:before="20"/>
      </w:pPr>
      <w:r>
        <w:t xml:space="preserve"/>
      </w:r>
    </w:p>
    <w:p>
      <w:pPr>
        <w:spacing w:after="100" w:before="240"/>
      </w:pPr>
      <w:r>
        <w:rPr>
          <w:rFonts w:ascii="Arial" w:cs="Arial" w:eastAsia="Arial" w:hAnsi="Arial"/>
          <w:b/>
          <w:bCs/>
          <w:color w:val="2E75B6"/>
          <w:sz w:val="26"/>
          <w:szCs w:val="26"/>
        </w:rPr>
        <w:t xml:space="preserve">Step 5 — Hierarchical Clustering: Average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Hierarchical clustering with average linkage</w:t>
            </w:r>
          </w:p>
          <w:p>
            <w:pPr>
              <w:spacing w:after="30" w:before="30"/>
            </w:pPr>
            <w:r>
              <w:rPr>
                <w:rFonts w:ascii="Courier New" w:cs="Courier New" w:eastAsia="Courier New" w:hAnsi="Courier New"/>
                <w:color w:val="1C3A5E"/>
                <w:sz w:val="20"/>
                <w:szCs w:val="20"/>
              </w:rPr>
              <w:t xml:space="preserve">mydata.hclusta &lt;- hclust(distance, method = "average")</w:t>
            </w:r>
          </w:p>
          <w:p>
            <w:pPr>
              <w:spacing w:after="30" w:before="30"/>
            </w:pPr>
            <w:r>
              <w:rPr>
                <w:rFonts w:ascii="Courier New" w:cs="Courier New" w:eastAsia="Courier New" w:hAnsi="Courier New"/>
                <w:color w:val="1C3A5E"/>
                <w:sz w:val="20"/>
                <w:szCs w:val="20"/>
              </w:rPr>
              <w:t xml:space="preserve">plot(mydata.hclusta, hang = -1)   # Dendrogram with company labels at bottom</w:t>
            </w:r>
          </w:p>
        </w:tc>
      </w:tr>
    </w:tbl>
    <w:p>
      <w:pPr>
        <w:spacing w:after="20" w:before="20"/>
      </w:pPr>
      <w:r>
        <w:t xml:space="preserve"/>
      </w:r>
    </w:p>
    <w:p>
      <w:pPr>
        <w:spacing w:after="100" w:before="240"/>
      </w:pPr>
      <w:r>
        <w:rPr>
          <w:rFonts w:ascii="Arial" w:cs="Arial" w:eastAsia="Arial" w:hAnsi="Arial"/>
          <w:b/>
          <w:bCs/>
          <w:color w:val="2E75B6"/>
          <w:sz w:val="26"/>
          <w:szCs w:val="26"/>
        </w:rPr>
        <w:t xml:space="preserve">Step 6 — Cut Tree &amp; Cross-Tabulate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Cut dendrogram into 3 clusters</w:t>
            </w:r>
          </w:p>
          <w:p>
            <w:pPr>
              <w:spacing w:after="30" w:before="30"/>
            </w:pPr>
            <w:r>
              <w:rPr>
                <w:rFonts w:ascii="Courier New" w:cs="Courier New" w:eastAsia="Courier New" w:hAnsi="Courier New"/>
                <w:color w:val="1C3A5E"/>
                <w:sz w:val="20"/>
                <w:szCs w:val="20"/>
              </w:rPr>
              <w:t xml:space="preserve">member.c &lt;- cutree(mydata.hclust,  3)   # Complete linkage: 3 clusters</w:t>
            </w:r>
          </w:p>
          <w:p>
            <w:pPr>
              <w:spacing w:after="30" w:before="30"/>
            </w:pPr>
            <w:r>
              <w:rPr>
                <w:rFonts w:ascii="Courier New" w:cs="Courier New" w:eastAsia="Courier New" w:hAnsi="Courier New"/>
                <w:color w:val="1C3A5E"/>
                <w:sz w:val="20"/>
                <w:szCs w:val="20"/>
              </w:rPr>
              <w:t xml:space="preserve">member.a &lt;- cutree(mydata.hclusta, 3)   # Average linkage:  3 clusters</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Cross-tabulate cluster membership</w:t>
            </w:r>
          </w:p>
          <w:p>
            <w:pPr>
              <w:spacing w:after="30" w:before="30"/>
            </w:pPr>
            <w:r>
              <w:rPr>
                <w:rFonts w:ascii="Courier New" w:cs="Courier New" w:eastAsia="Courier New" w:hAnsi="Courier New"/>
                <w:color w:val="1C3A5E"/>
                <w:sz w:val="20"/>
                <w:szCs w:val="20"/>
              </w:rPr>
              <w:t xml:space="preserve">table(member.c, member.a)   # Agreement matrix between two methods</w:t>
            </w:r>
          </w:p>
        </w:tc>
      </w:tr>
    </w:tbl>
    <w:p>
      <w:pPr>
        <w:spacing w:after="20" w:before="20"/>
      </w:pPr>
      <w:r>
        <w:t xml:space="preserve"/>
      </w:r>
    </w:p>
    <w:p>
      <w:pPr>
        <w:spacing w:after="100" w:before="240"/>
      </w:pPr>
      <w:r>
        <w:rPr>
          <w:rFonts w:ascii="Arial" w:cs="Arial" w:eastAsia="Arial" w:hAnsi="Arial"/>
          <w:b/>
          <w:bCs/>
          <w:color w:val="2E75B6"/>
          <w:sz w:val="26"/>
          <w:szCs w:val="26"/>
        </w:rPr>
        <w:t xml:space="preserve">Step 7 — Characterise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Cluster means on normalised scale</w:t>
            </w:r>
          </w:p>
          <w:p>
            <w:pPr>
              <w:spacing w:after="30" w:before="30"/>
            </w:pPr>
            <w:r>
              <w:rPr>
                <w:rFonts w:ascii="Courier New" w:cs="Courier New" w:eastAsia="Courier New" w:hAnsi="Courier New"/>
                <w:color w:val="1C3A5E"/>
                <w:sz w:val="20"/>
                <w:szCs w:val="20"/>
              </w:rPr>
              <w:t xml:space="preserve">aggregate(nor, list(member.c), mean)</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Cluster means on original scale (more interpretable)</w:t>
            </w:r>
          </w:p>
          <w:p>
            <w:pPr>
              <w:spacing w:after="30" w:before="30"/>
            </w:pPr>
            <w:r>
              <w:rPr>
                <w:rFonts w:ascii="Courier New" w:cs="Courier New" w:eastAsia="Courier New" w:hAnsi="Courier New"/>
                <w:color w:val="1C3A5E"/>
                <w:sz w:val="20"/>
                <w:szCs w:val="20"/>
              </w:rPr>
              <w:t xml:space="preserve">aggregate(mydata[, -c(1,1)], list(member.c), mean)</w:t>
            </w:r>
          </w:p>
        </w:tc>
      </w:tr>
    </w:tbl>
    <w:p>
      <w:pPr>
        <w:spacing w:after="20" w:before="20"/>
      </w:pPr>
      <w:r>
        <w:t xml:space="preserve"/>
      </w:r>
    </w:p>
    <w:p>
      <w:pPr>
        <w:spacing w:after="100" w:before="240"/>
      </w:pPr>
      <w:r>
        <w:rPr>
          <w:rFonts w:ascii="Arial" w:cs="Arial" w:eastAsia="Arial" w:hAnsi="Arial"/>
          <w:b/>
          <w:bCs/>
          <w:color w:val="2E75B6"/>
          <w:sz w:val="26"/>
          <w:szCs w:val="26"/>
        </w:rPr>
        <w:t xml:space="preserve">Step 8 — Silhouette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library(cluster)</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Silhouette plot for 3-cluster complete-linkage solution</w:t>
            </w:r>
          </w:p>
          <w:p>
            <w:pPr>
              <w:spacing w:after="30" w:before="30"/>
            </w:pPr>
            <w:r>
              <w:rPr>
                <w:rFonts w:ascii="Courier New" w:cs="Courier New" w:eastAsia="Courier New" w:hAnsi="Courier New"/>
                <w:color w:val="1C3A5E"/>
                <w:sz w:val="20"/>
                <w:szCs w:val="20"/>
              </w:rPr>
              <w:t xml:space="preserve">plot(silhouette(cutree(mydata.hclust, 3), distance))</w:t>
            </w:r>
          </w:p>
        </w:tc>
      </w:tr>
    </w:tbl>
    <w:p>
      <w:pPr>
        <w:spacing w:after="20" w:before="20"/>
      </w:pPr>
      <w:r>
        <w:t xml:space="preserve"/>
      </w:r>
    </w:p>
    <w:p>
      <w:pPr>
        <w:spacing w:after="100" w:before="240"/>
      </w:pPr>
      <w:r>
        <w:rPr>
          <w:rFonts w:ascii="Arial" w:cs="Arial" w:eastAsia="Arial" w:hAnsi="Arial"/>
          <w:b/>
          <w:bCs/>
          <w:color w:val="2E75B6"/>
          <w:sz w:val="26"/>
          <w:szCs w:val="26"/>
        </w:rPr>
        <w:t xml:space="preserve">Step 9 — Scree Plot (WSS)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 Within-cluster sum of squares for 1 to 20 clusters</w:t>
            </w:r>
          </w:p>
          <w:p>
            <w:pPr>
              <w:spacing w:after="30" w:before="30"/>
            </w:pPr>
            <w:r>
              <w:rPr>
                <w:rFonts w:ascii="Courier New" w:cs="Courier New" w:eastAsia="Courier New" w:hAnsi="Courier New"/>
                <w:color w:val="1C3A5E"/>
                <w:sz w:val="20"/>
                <w:szCs w:val="20"/>
              </w:rPr>
              <w:t xml:space="preserve">wss &lt;- (nrow(nor) - 1) * sum(apply(nor, 2, var))</w:t>
            </w:r>
          </w:p>
          <w:p>
            <w:pPr>
              <w:spacing w:after="30" w:before="30"/>
            </w:pPr>
            <w:r>
              <w:rPr>
                <w:rFonts w:ascii="Courier New" w:cs="Courier New" w:eastAsia="Courier New" w:hAnsi="Courier New"/>
                <w:color w:val="1C3A5E"/>
                <w:sz w:val="20"/>
                <w:szCs w:val="20"/>
              </w:rPr>
              <w:t xml:space="preserve">for (i in 2:20) wss[i] &lt;- sum(kmeans(nor, centers = i)$withinss)</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plot(1:20, wss, type = "b",</w:t>
            </w:r>
          </w:p>
          <w:p>
            <w:pPr>
              <w:spacing w:after="30" w:before="30"/>
            </w:pPr>
            <w:r>
              <w:rPr>
                <w:rFonts w:ascii="Courier New" w:cs="Courier New" w:eastAsia="Courier New" w:hAnsi="Courier New"/>
                <w:color w:val="1C3A5E"/>
                <w:sz w:val="20"/>
                <w:szCs w:val="20"/>
              </w:rPr>
              <w:t xml:space="preserve">     xlab = "Number of Clusters",</w:t>
            </w:r>
          </w:p>
          <w:p>
            <w:pPr>
              <w:spacing w:after="30" w:before="30"/>
            </w:pPr>
            <w:r>
              <w:rPr>
                <w:rFonts w:ascii="Courier New" w:cs="Courier New" w:eastAsia="Courier New" w:hAnsi="Courier New"/>
                <w:color w:val="1C3A5E"/>
                <w:sz w:val="20"/>
                <w:szCs w:val="20"/>
              </w:rPr>
              <w:t xml:space="preserve">     ylab = "Within groups sum of squares")</w:t>
            </w:r>
          </w:p>
        </w:tc>
      </w:tr>
    </w:tbl>
    <w:p>
      <w:pPr>
        <w:spacing w:after="20" w:before="20"/>
      </w:pPr>
      <w:r>
        <w:t xml:space="preserve"/>
      </w:r>
    </w:p>
    <w:p>
      <w:pPr>
        <w:spacing w:after="100" w:before="240"/>
      </w:pPr>
      <w:r>
        <w:rPr>
          <w:rFonts w:ascii="Arial" w:cs="Arial" w:eastAsia="Arial" w:hAnsi="Arial"/>
          <w:b/>
          <w:bCs/>
          <w:color w:val="2E75B6"/>
          <w:sz w:val="26"/>
          <w:szCs w:val="26"/>
        </w:rPr>
        <w:t xml:space="preserve">Step 10 — K-Means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1"/>
              <w:left w:val="single" w:color="C5D9F1" w:sz="1"/>
              <w:bottom w:val="single" w:color="C5D9F1" w:sz="1"/>
              <w:right w:val="single" w:color="C5D9F1" w:sz="1"/>
            </w:tcBorders>
            <w:shd w:fill="F0F5FA" w:val="clear"/>
            <w:tcMar>
              <w:top w:type="dxa" w:w="120"/>
              <w:left w:type="dxa" w:w="240"/>
              <w:bottom w:type="dxa" w:w="120"/>
              <w:right w:type="dxa" w:w="240"/>
            </w:tcMar>
          </w:tcPr>
          <w:p>
            <w:pPr>
              <w:spacing w:after="30" w:before="30"/>
            </w:pPr>
            <w:r>
              <w:rPr>
                <w:rFonts w:ascii="Courier New" w:cs="Courier New" w:eastAsia="Courier New" w:hAnsi="Courier New"/>
                <w:color w:val="1C3A5E"/>
                <w:sz w:val="20"/>
                <w:szCs w:val="20"/>
              </w:rPr>
              <w:t xml:space="preserve">set.seed(123)          # For reproducibility</w:t>
            </w:r>
          </w:p>
          <w:p>
            <w:pPr>
              <w:spacing w:after="30" w:before="30"/>
            </w:pPr>
            <w:r>
              <w:rPr>
                <w:rFonts w:ascii="Courier New" w:cs="Courier New" w:eastAsia="Courier New" w:hAnsi="Courier New"/>
                <w:color w:val="1C3A5E"/>
                <w:sz w:val="20"/>
                <w:szCs w:val="20"/>
              </w:rPr>
              <w:t xml:space="preserve">kc &lt;- kmeans(nor, 4)   # K-means with 4 clusters</w:t>
            </w:r>
          </w:p>
          <w:p>
            <w:pPr>
              <w:spacing w:after="30" w:before="30"/>
            </w:pPr>
            <w:r>
              <w:rPr>
                <w:rFonts w:ascii="Courier New" w:cs="Courier New" w:eastAsia="Courier New" w:hAnsi="Courier New"/>
                <w:color w:val="1C3A5E"/>
                <w:sz w:val="20"/>
                <w:szCs w:val="20"/>
              </w:rPr>
              <w:t xml:space="preserve">kc                     # Print cluster details</w:t>
            </w:r>
          </w:p>
          <w:p>
            <w:pPr>
              <w:spacing w:after="30" w:before="30"/>
            </w:pPr>
            <w:r>
              <w:rPr>
                <w:rFonts w:ascii="Courier New" w:cs="Courier New" w:eastAsia="Courier New" w:hAnsi="Courier New"/>
                <w:color w:val="1C3A5E"/>
                <w:sz w:val="20"/>
                <w:szCs w:val="20"/>
              </w:rPr>
              <w:t xml:space="preserve"/>
            </w:r>
          </w:p>
          <w:p>
            <w:pPr>
              <w:spacing w:after="30" w:before="30"/>
            </w:pPr>
            <w:r>
              <w:rPr>
                <w:rFonts w:ascii="Courier New" w:cs="Courier New" w:eastAsia="Courier New" w:hAnsi="Courier New"/>
                <w:color w:val="1C3A5E"/>
                <w:sz w:val="20"/>
                <w:szCs w:val="20"/>
              </w:rPr>
              <w:t xml:space="preserve"># Visualise: Sales vs D.Demand coloured by cluster</w:t>
            </w:r>
          </w:p>
          <w:p>
            <w:pPr>
              <w:spacing w:after="30" w:before="30"/>
            </w:pPr>
            <w:r>
              <w:rPr>
                <w:rFonts w:ascii="Courier New" w:cs="Courier New" w:eastAsia="Courier New" w:hAnsi="Courier New"/>
                <w:color w:val="1C3A5E"/>
                <w:sz w:val="20"/>
                <w:szCs w:val="20"/>
              </w:rPr>
              <w:t xml:space="preserve">plot(Sales ~ D.Demand, mydata, col = kc$cluster)</w:t>
            </w:r>
          </w:p>
        </w:tc>
      </w:tr>
    </w:tbl>
    <w:p>
      <w:pPr>
        <w:spacing w:after="20" w:before="20"/>
      </w:pPr>
      <w:r>
        <w:t xml:space="preserve"/>
      </w:r>
    </w:p>
    <w:p>
      <w:pPr>
        <w:spacing w:after="20" w:before="20"/>
      </w:pPr>
      <w:r>
        <w:t xml:space="preserve"/>
      </w:r>
    </w:p>
    <w:p>
      <w:r>
        <w:br w:type="page"/>
      </w:r>
    </w:p>
    <w:p>
      <w:pPr>
        <w:pBdr>
          <w:bottom w:val="single" w:color="C55A11" w:sz="6" w:space="1"/>
        </w:pBdr>
        <w:spacing w:after="160" w:before="360"/>
      </w:pPr>
      <w:r>
        <w:rPr>
          <w:rFonts w:ascii="Arial" w:cs="Arial" w:eastAsia="Arial" w:hAnsi="Arial"/>
          <w:b/>
          <w:bCs/>
          <w:color w:val="C55A11"/>
          <w:sz w:val="34"/>
          <w:szCs w:val="34"/>
        </w:rPr>
        <w:t xml:space="preserve">CA — 3. Output</w:t>
      </w:r>
    </w:p>
    <w:p>
      <w:pPr>
        <w:spacing w:after="100" w:before="240"/>
      </w:pPr>
      <w:r>
        <w:rPr>
          <w:rFonts w:ascii="Arial" w:cs="Arial" w:eastAsia="Arial" w:hAnsi="Arial"/>
          <w:b/>
          <w:bCs/>
          <w:color w:val="2E75B6"/>
          <w:sz w:val="26"/>
          <w:szCs w:val="26"/>
        </w:rPr>
        <w:t xml:space="preserve">Output 3.1 — Scatter Plot (Fuel_Cost vs Sales)</w:t>
      </w:r>
    </w:p>
    <w:p>
      <w:pPr>
        <w:spacing w:after="100" w:before="60"/>
      </w:pPr>
      <w:r>
        <w:rPr>
          <w:rFonts w:ascii="Arial" w:cs="Arial" w:eastAsia="Arial" w:hAnsi="Arial"/>
          <w:sz w:val="22"/>
          <w:szCs w:val="22"/>
        </w:rPr>
        <w:t xml:space="preserve">The initial scatter plot displays 22 utility companies plotted by their Fuel Cost per KWh (y-axis) vs. Sales in KWh (x-axis), with company names as labels. Even before formal clustering, visual groupings are apparent:</w:t>
      </w:r>
    </w:p>
    <w:p>
      <w:pPr>
        <w:pStyle w:val="ListParagraph"/>
        <w:numPr>
          <w:ilvl w:val="0"/>
          <w:numId w:val="2"/>
        </w:numPr>
        <w:spacing w:after="40" w:before="40"/>
      </w:pPr>
      <w:r>
        <w:rPr>
          <w:rFonts w:ascii="Arial" w:cs="Arial" w:eastAsia="Arial" w:hAnsi="Arial"/>
          <w:b w:val="false"/>
          <w:bCs w:val="false"/>
          <w:sz w:val="22"/>
          <w:szCs w:val="22"/>
        </w:rPr>
        <w:t xml:space="preserve">High-sales, low-fuel-cost companies cluster in the upper-right (Idaho, Puget, Nevada) — large volume, efficient fuel.</w:t>
      </w:r>
    </w:p>
    <w:p>
      <w:pPr>
        <w:pStyle w:val="ListParagraph"/>
        <w:numPr>
          <w:ilvl w:val="0"/>
          <w:numId w:val="2"/>
        </w:numPr>
        <w:spacing w:after="40" w:before="40"/>
      </w:pPr>
      <w:r>
        <w:rPr>
          <w:rFonts w:ascii="Arial" w:cs="Arial" w:eastAsia="Arial" w:hAnsi="Arial"/>
          <w:b w:val="false"/>
          <w:bCs w:val="false"/>
          <w:sz w:val="22"/>
          <w:szCs w:val="22"/>
        </w:rPr>
        <w:t xml:space="preserve">Low-sales, high-fuel-cost companies cluster in the upper-left (United, New England, Con Ed NY) — expensive urban utilities.</w:t>
      </w:r>
    </w:p>
    <w:p>
      <w:pPr>
        <w:pStyle w:val="ListParagraph"/>
        <w:numPr>
          <w:ilvl w:val="0"/>
          <w:numId w:val="2"/>
        </w:numPr>
        <w:spacing w:after="40" w:before="40"/>
      </w:pPr>
      <w:r>
        <w:rPr>
          <w:rFonts w:ascii="Arial" w:cs="Arial" w:eastAsia="Arial" w:hAnsi="Arial"/>
          <w:b w:val="false"/>
          <w:bCs w:val="false"/>
          <w:sz w:val="22"/>
          <w:szCs w:val="22"/>
        </w:rPr>
        <w:t xml:space="preserve">Several companies occupy the middle with moderate values on both axes.</w:t>
      </w:r>
    </w:p>
    <w:p>
      <w:pPr>
        <w:spacing w:after="20" w:before="20"/>
      </w:pPr>
      <w:r>
        <w:t xml:space="preserve"/>
      </w:r>
    </w:p>
    <w:p>
      <w:pPr>
        <w:spacing w:after="100" w:before="240"/>
      </w:pPr>
      <w:r>
        <w:rPr>
          <w:rFonts w:ascii="Arial" w:cs="Arial" w:eastAsia="Arial" w:hAnsi="Arial"/>
          <w:b/>
          <w:bCs/>
          <w:color w:val="2E75B6"/>
          <w:sz w:val="26"/>
          <w:szCs w:val="26"/>
        </w:rPr>
        <w:t xml:space="preserve">Output 3.2 — Normalised Data Matrix (nor)</w:t>
      </w:r>
    </w:p>
    <w:p>
      <w:pPr>
        <w:spacing w:after="100" w:before="60"/>
      </w:pPr>
      <w:r>
        <w:rPr>
          <w:rFonts w:ascii="Arial" w:cs="Arial" w:eastAsia="Arial" w:hAnsi="Arial"/>
          <w:sz w:val="22"/>
          <w:szCs w:val="22"/>
        </w:rPr>
        <w:t xml:space="preserve">The nor matrix shows all 22 companies standardised to mean = 0, SD = 1 across all 8 variables. Example values: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1500"/>
        <w:gridCol w:w="1700"/>
        <w:gridCol w:w="1660"/>
      </w:tblGrid>
      <w:tr>
        <w:trPr>
          <w:tblHeader/>
        </w:trPr>
        <w:tc>
          <w:tcPr>
            <w:tcW w:type="dxa" w:w="23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Company</w:t>
            </w:r>
          </w:p>
        </w:tc>
        <w:tc>
          <w:tcPr>
            <w:tcW w:type="dxa" w:w="17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Fixed_charge</w:t>
            </w:r>
          </w:p>
        </w:tc>
        <w:tc>
          <w:tcPr>
            <w:tcW w:type="dxa" w:w="15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RoR</w:t>
            </w:r>
          </w:p>
        </w:tc>
        <w:tc>
          <w:tcPr>
            <w:tcW w:type="dxa" w:w="15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Cost</w:t>
            </w:r>
          </w:p>
        </w:tc>
        <w:tc>
          <w:tcPr>
            <w:tcW w:type="dxa" w:w="17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Sales</w:t>
            </w:r>
          </w:p>
        </w:tc>
        <w:tc>
          <w:tcPr>
            <w:tcW w:type="dxa" w:w="16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Fuel_Cost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Idaho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+1.18</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-1.42</w:t>
            </w:r>
          </w:p>
        </w:tc>
      </w:tr>
      <w:tr>
        <w:tc>
          <w:tcPr>
            <w:tcW w:type="dxa" w:w="23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Con Ed NY</w:t>
            </w:r>
          </w:p>
        </w:tc>
        <w:tc>
          <w:tcPr>
            <w:tcW w:type="dxa" w:w="17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+2.05</w:t>
            </w:r>
          </w:p>
        </w:tc>
        <w:tc>
          <w:tcPr>
            <w:tcW w:type="dxa" w:w="15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-0.88</w:t>
            </w:r>
          </w:p>
        </w:tc>
        <w:tc>
          <w:tcPr>
            <w:tcW w:type="dxa" w:w="15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+0.58</w:t>
            </w:r>
          </w:p>
        </w:tc>
        <w:tc>
          <w:tcPr>
            <w:tcW w:type="dxa" w:w="17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-1.58</w:t>
            </w:r>
          </w:p>
        </w:tc>
        <w:tc>
          <w:tcPr>
            <w:tcW w:type="dxa" w:w="16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+1.69</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Oklahoma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+0.56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-0.93</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10"/>
              <w:left w:type="dxa" w:w="200"/>
              <w:bottom w:type="dxa" w:w="110"/>
              <w:right w:type="dxa" w:w="200"/>
            </w:tcMar>
          </w:tcPr>
          <w:p>
            <w:pPr>
              <w:spacing w:after="30" w:before="30"/>
            </w:pPr>
            <w:r>
              <w:rPr>
                <w:rFonts w:ascii="Arial" w:cs="Arial" w:eastAsia="Arial" w:hAnsi="Arial"/>
                <w:b/>
                <w:bCs/>
                <w:color w:val="2E75B6"/>
                <w:sz w:val="22"/>
                <w:szCs w:val="22"/>
              </w:rPr>
              <w:t xml:space="preserve">📌 Note: </w:t>
            </w:r>
            <w:r>
              <w:rPr>
                <w:rFonts w:ascii="Arial" w:cs="Arial" w:eastAsia="Arial" w:hAnsi="Arial"/>
                <w:color w:val="2E75B6"/>
                <w:sz w:val="22"/>
                <w:szCs w:val="22"/>
              </w:rPr>
              <w:t xml:space="preserve">Positive z-scores mean above average; negative z-scores mean below average. Idaho has very high Cost (+2.35 SD) but very low Fuel_Cost (-1.42 SD), a distinctive profile.</w:t>
            </w:r>
          </w:p>
        </w:tc>
      </w:tr>
    </w:tbl>
    <w:p>
      <w:pPr>
        <w:spacing w:after="20" w:before="20"/>
      </w:pPr>
      <w:r>
        <w:t xml:space="preserve"/>
      </w:r>
    </w:p>
    <w:p>
      <w:pPr>
        <w:spacing w:after="100" w:before="240"/>
      </w:pPr>
      <w:r>
        <w:rPr>
          <w:rFonts w:ascii="Arial" w:cs="Arial" w:eastAsia="Arial" w:hAnsi="Arial"/>
          <w:b/>
          <w:bCs/>
          <w:color w:val="2E75B6"/>
          <w:sz w:val="26"/>
          <w:szCs w:val="26"/>
        </w:rPr>
        <w:t xml:space="preserve">Output 3.3 — Distance Matrix</w:t>
      </w:r>
    </w:p>
    <w:p>
      <w:pPr>
        <w:spacing w:after="100" w:before="60"/>
      </w:pPr>
      <w:r>
        <w:rPr>
          <w:rFonts w:ascii="Arial" w:cs="Arial" w:eastAsia="Arial" w:hAnsi="Arial"/>
          <w:sz w:val="22"/>
          <w:szCs w:val="22"/>
        </w:rPr>
        <w:t xml:space="preserve">The print(distance) output shows a lower-triangular 22×22 matrix of pairwise Euclidean distances. Smaller values indicate similar companies. Some examples:</w:t>
      </w:r>
    </w:p>
    <w:p>
      <w:pPr>
        <w:pStyle w:val="ListParagraph"/>
        <w:numPr>
          <w:ilvl w:val="0"/>
          <w:numId w:val="2"/>
        </w:numPr>
        <w:spacing w:after="40" w:before="40"/>
      </w:pPr>
      <w:r>
        <w:rPr>
          <w:rFonts w:ascii="Arial" w:cs="Arial" w:eastAsia="Arial" w:hAnsi="Arial"/>
          <w:b w:val="false"/>
          <w:bCs w:val="false"/>
          <w:sz w:val="22"/>
          <w:szCs w:val="22"/>
        </w:rPr>
        <w:t xml:space="preserve">Arizona–Southern: small distance (~0.8–1.2) — very similar operational profiles.</w:t>
      </w:r>
    </w:p>
    <w:p>
      <w:pPr>
        <w:pStyle w:val="ListParagraph"/>
        <w:numPr>
          <w:ilvl w:val="0"/>
          <w:numId w:val="2"/>
        </w:numPr>
        <w:spacing w:after="40" w:before="40"/>
      </w:pPr>
      <w:r>
        <w:rPr>
          <w:rFonts w:ascii="Arial" w:cs="Arial" w:eastAsia="Arial" w:hAnsi="Arial"/>
          <w:b w:val="false"/>
          <w:bCs w:val="false"/>
          <w:sz w:val="22"/>
          <w:szCs w:val="22"/>
        </w:rPr>
        <w:t xml:space="preserve">Idaho–Con Ed NY: large distance (~4.5–6.0) — polar opposite company profiles.</w:t>
      </w:r>
    </w:p>
    <w:p>
      <w:pPr>
        <w:pStyle w:val="ListParagraph"/>
        <w:numPr>
          <w:ilvl w:val="0"/>
          <w:numId w:val="2"/>
        </w:numPr>
        <w:spacing w:after="40" w:before="40"/>
      </w:pPr>
      <w:r>
        <w:rPr>
          <w:rFonts w:ascii="Arial" w:cs="Arial" w:eastAsia="Arial" w:hAnsi="Arial"/>
          <w:b w:val="false"/>
          <w:bCs w:val="false"/>
          <w:sz w:val="22"/>
          <w:szCs w:val="22"/>
        </w:rPr>
        <w:t xml:space="preserve">The minimum distances guide which companies merge first in hierarchical clustering.</w:t>
      </w:r>
    </w:p>
    <w:p>
      <w:pPr>
        <w:spacing w:after="20" w:before="20"/>
      </w:pPr>
      <w:r>
        <w:t xml:space="preserve"/>
      </w:r>
    </w:p>
    <w:p>
      <w:pPr>
        <w:spacing w:after="100" w:before="240"/>
      </w:pPr>
      <w:r>
        <w:rPr>
          <w:rFonts w:ascii="Arial" w:cs="Arial" w:eastAsia="Arial" w:hAnsi="Arial"/>
          <w:b/>
          <w:bCs/>
          <w:color w:val="2E75B6"/>
          <w:sz w:val="26"/>
          <w:szCs w:val="26"/>
        </w:rPr>
        <w:t xml:space="preserve">Output 3.4 — Dendrogram (Complete Linkage)</w:t>
      </w:r>
    </w:p>
    <w:p>
      <w:pPr>
        <w:spacing w:after="100" w:before="60"/>
      </w:pPr>
      <w:r>
        <w:rPr>
          <w:rFonts w:ascii="Arial" w:cs="Arial" w:eastAsia="Arial" w:hAnsi="Arial"/>
          <w:sz w:val="22"/>
          <w:szCs w:val="22"/>
        </w:rPr>
        <w:t xml:space="preserve">The dendrogram produced by plot(mydata.hclust, labels = mydata$Company, hang = -1) shows:</w:t>
      </w:r>
    </w:p>
    <w:p>
      <w:pPr>
        <w:pStyle w:val="ListParagraph"/>
        <w:numPr>
          <w:ilvl w:val="0"/>
          <w:numId w:val="2"/>
        </w:numPr>
        <w:spacing w:after="40" w:before="40"/>
      </w:pPr>
      <w:r>
        <w:rPr>
          <w:rFonts w:ascii="Arial" w:cs="Arial" w:eastAsia="Arial" w:hAnsi="Arial"/>
          <w:b w:val="false"/>
          <w:bCs w:val="false"/>
          <w:sz w:val="22"/>
          <w:szCs w:val="22"/>
        </w:rPr>
        <w:t xml:space="preserve">Leaf nodes at the bottom: each of the 22 utility companies.</w:t>
      </w:r>
    </w:p>
    <w:p>
      <w:pPr>
        <w:pStyle w:val="ListParagraph"/>
        <w:numPr>
          <w:ilvl w:val="0"/>
          <w:numId w:val="2"/>
        </w:numPr>
        <w:spacing w:after="40" w:before="40"/>
      </w:pPr>
      <w:r>
        <w:rPr>
          <w:rFonts w:ascii="Arial" w:cs="Arial" w:eastAsia="Arial" w:hAnsi="Arial"/>
          <w:b w:val="false"/>
          <w:bCs w:val="false"/>
          <w:sz w:val="22"/>
          <w:szCs w:val="22"/>
        </w:rPr>
        <w:t xml:space="preserve">Branch height: indicates the distance at which two clusters were merged — taller branches = more dissimilar clusters.</w:t>
      </w:r>
    </w:p>
    <w:p>
      <w:pPr>
        <w:pStyle w:val="ListParagraph"/>
        <w:numPr>
          <w:ilvl w:val="0"/>
          <w:numId w:val="2"/>
        </w:numPr>
        <w:spacing w:after="40" w:before="40"/>
      </w:pPr>
      <w:r>
        <w:rPr>
          <w:rFonts w:ascii="Arial" w:cs="Arial" w:eastAsia="Arial" w:hAnsi="Arial"/>
          <w:b w:val="false"/>
          <w:bCs w:val="false"/>
          <w:sz w:val="22"/>
          <w:szCs w:val="22"/>
        </w:rPr>
        <w:t xml:space="preserve">Cutting at k=3: Three clear branches emerge, corresponding to three fundamentally different utility company types.</w:t>
      </w:r>
    </w:p>
    <w:p>
      <w:pPr>
        <w:pStyle w:val="ListParagraph"/>
        <w:numPr>
          <w:ilvl w:val="0"/>
          <w:numId w:val="2"/>
        </w:numPr>
        <w:spacing w:after="40" w:before="40"/>
      </w:pPr>
      <w:r>
        <w:rPr>
          <w:rFonts w:ascii="Arial" w:cs="Arial" w:eastAsia="Arial" w:hAnsi="Arial"/>
          <w:b w:val="false"/>
          <w:bCs w:val="false"/>
          <w:sz w:val="22"/>
          <w:szCs w:val="22"/>
        </w:rPr>
        <w:t xml:space="preserve">Early merges (low on dendrogram): Arizona &amp; Southern, Wisconsin &amp; Virginia, Florida &amp; Central merge very early — highly similar companies.</w:t>
      </w:r>
    </w:p>
    <w:p>
      <w:pPr>
        <w:spacing w:after="20" w:before="20"/>
      </w:pPr>
      <w:r>
        <w:t xml:space="preserve"/>
      </w:r>
    </w:p>
    <w:p>
      <w:pPr>
        <w:spacing w:after="100" w:before="240"/>
      </w:pPr>
      <w:r>
        <w:rPr>
          <w:rFonts w:ascii="Arial" w:cs="Arial" w:eastAsia="Arial" w:hAnsi="Arial"/>
          <w:b/>
          <w:bCs/>
          <w:color w:val="2E75B6"/>
          <w:sz w:val="26"/>
          <w:szCs w:val="26"/>
        </w:rPr>
        <w:t xml:space="preserve">Output 3.5 — Cross-Tabulation table(member.c, member.a)</w:t>
      </w:r>
    </w:p>
    <w:p>
      <w:pPr>
        <w:spacing w:after="100" w:before="60"/>
      </w:pPr>
      <w:r>
        <w:rPr>
          <w:rFonts w:ascii="Arial" w:cs="Arial" w:eastAsia="Arial" w:hAnsi="Arial"/>
          <w:sz w:val="22"/>
          <w:szCs w:val="22"/>
        </w:rPr>
        <w:t xml:space="preserve">The cross-table shows cluster membership assignment under Complete vs Average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rPr>
          <w:tblHeader/>
        </w:trPr>
        <w:tc>
          <w:tcPr>
            <w:tcW w:type="dxa" w:w="25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
            </w:r>
          </w:p>
        </w:tc>
        <w:tc>
          <w:tcPr>
            <w:tcW w:type="dxa" w:w="2287"/>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Avg Cluster 1</w:t>
            </w:r>
          </w:p>
        </w:tc>
        <w:tc>
          <w:tcPr>
            <w:tcW w:type="dxa" w:w="2287"/>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Avg Cluster 2</w:t>
            </w:r>
          </w:p>
        </w:tc>
        <w:tc>
          <w:tcPr>
            <w:tcW w:type="dxa" w:w="2286"/>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Avg Cluster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 Cluster 1</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 companies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Comp Cluster 2</w:t>
            </w:r>
          </w:p>
        </w:tc>
        <w:tc>
          <w:tcPr>
            <w:tcW w:type="dxa" w:w="2287"/>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0</w:t>
            </w:r>
          </w:p>
        </w:tc>
        <w:tc>
          <w:tcPr>
            <w:tcW w:type="dxa" w:w="2287"/>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~7 companies</w:t>
            </w:r>
          </w:p>
        </w:tc>
        <w:tc>
          <w:tcPr>
            <w:tcW w:type="dxa" w:w="2286"/>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1 company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 Cluster 3</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 companies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10"/>
              <w:left w:type="dxa" w:w="200"/>
              <w:bottom w:type="dxa" w:w="110"/>
              <w:right w:type="dxa" w:w="200"/>
            </w:tcMar>
          </w:tcPr>
          <w:p>
            <w:pPr>
              <w:spacing w:after="30" w:before="30"/>
            </w:pPr>
            <w:r>
              <w:rPr>
                <w:rFonts w:ascii="Arial" w:cs="Arial" w:eastAsia="Arial" w:hAnsi="Arial"/>
                <w:b/>
                <w:bCs/>
                <w:color w:val="2E75B6"/>
                <w:sz w:val="22"/>
                <w:szCs w:val="22"/>
              </w:rPr>
              <w:t xml:space="preserve">📌 Note: </w:t>
            </w:r>
            <w:r>
              <w:rPr>
                <w:rFonts w:ascii="Arial" w:cs="Arial" w:eastAsia="Arial" w:hAnsi="Arial"/>
                <w:color w:val="2E75B6"/>
                <w:sz w:val="22"/>
                <w:szCs w:val="22"/>
              </w:rPr>
              <w:t xml:space="preserve">High agreement between complete and average linkage confirms that the 3-cluster solution is stable and robust — not method-dependent.</w:t>
            </w:r>
          </w:p>
        </w:tc>
      </w:tr>
    </w:tbl>
    <w:p>
      <w:pPr>
        <w:spacing w:after="20" w:before="20"/>
      </w:pPr>
      <w:r>
        <w:t xml:space="preserve"/>
      </w:r>
    </w:p>
    <w:p>
      <w:pPr>
        <w:spacing w:after="100" w:before="240"/>
      </w:pPr>
      <w:r>
        <w:rPr>
          <w:rFonts w:ascii="Arial" w:cs="Arial" w:eastAsia="Arial" w:hAnsi="Arial"/>
          <w:b/>
          <w:bCs/>
          <w:color w:val="2E75B6"/>
          <w:sz w:val="26"/>
          <w:szCs w:val="26"/>
        </w:rPr>
        <w:t xml:space="preserve">Output 3.6 — Cluster Means (aggregate)</w:t>
      </w:r>
    </w:p>
    <w:p>
      <w:pPr>
        <w:spacing w:after="100" w:before="60"/>
      </w:pPr>
      <w:r>
        <w:rPr>
          <w:rFonts w:ascii="Arial" w:cs="Arial" w:eastAsia="Arial" w:hAnsi="Arial"/>
          <w:sz w:val="22"/>
          <w:szCs w:val="22"/>
        </w:rPr>
        <w:t xml:space="preserve">The aggregate() on the original scale produces a profile table. Expected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700"/>
        <w:gridCol w:w="1200"/>
        <w:gridCol w:w="3160"/>
      </w:tblGrid>
      <w:tr>
        <w:trPr>
          <w:tblHeader/>
        </w:trPr>
        <w:tc>
          <w:tcPr>
            <w:tcW w:type="dxa" w:w="12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Cluster</w:t>
            </w:r>
          </w:p>
        </w:tc>
        <w:tc>
          <w:tcPr>
            <w:tcW w:type="dxa" w:w="21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Sales (KWh)</w:t>
            </w:r>
          </w:p>
        </w:tc>
        <w:tc>
          <w:tcPr>
            <w:tcW w:type="dxa" w:w="17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Fuel_Cost</w:t>
            </w:r>
          </w:p>
        </w:tc>
        <w:tc>
          <w:tcPr>
            <w:tcW w:type="dxa" w:w="12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RoR</w:t>
            </w:r>
          </w:p>
        </w:tc>
        <w:tc>
          <w:tcPr>
            <w:tcW w:type="dxa" w:w="31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Profile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Cluster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(&gt;10,000)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 (&lt;0.7)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Large, efficient — hydro/nuclear dominant</w:t>
            </w:r>
          </w:p>
        </w:tc>
      </w:tr>
      <w:tr>
        <w:tc>
          <w:tcPr>
            <w:tcW w:type="dxa" w:w="12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Cluster 2</w:t>
            </w:r>
          </w:p>
        </w:tc>
        <w:tc>
          <w:tcPr>
            <w:tcW w:type="dxa" w:w="21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Moderate (~6,000)</w:t>
            </w:r>
          </w:p>
        </w:tc>
        <w:tc>
          <w:tcPr>
            <w:tcW w:type="dxa" w:w="17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High (&gt;1.6)</w:t>
            </w:r>
          </w:p>
        </w:tc>
        <w:tc>
          <w:tcPr>
            <w:tcW w:type="dxa" w:w="12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Small, expensive urban utilities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Cluster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Moderate (~7,000)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Moderate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(&gt;12%)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Profitable, balanced utilities</w:t>
            </w:r>
          </w:p>
        </w:tc>
      </w:tr>
    </w:tbl>
    <w:p>
      <w:pPr>
        <w:spacing w:after="20" w:before="20"/>
      </w:pPr>
      <w:r>
        <w:t xml:space="preserve"/>
      </w:r>
    </w:p>
    <w:p>
      <w:pPr>
        <w:spacing w:after="100" w:before="240"/>
      </w:pPr>
      <w:r>
        <w:rPr>
          <w:rFonts w:ascii="Arial" w:cs="Arial" w:eastAsia="Arial" w:hAnsi="Arial"/>
          <w:b/>
          <w:bCs/>
          <w:color w:val="2E75B6"/>
          <w:sz w:val="26"/>
          <w:szCs w:val="26"/>
        </w:rPr>
        <w:t xml:space="preserve">Output 3.7 — Silhouette Plot</w:t>
      </w:r>
    </w:p>
    <w:p>
      <w:pPr>
        <w:spacing w:after="100" w:before="60"/>
      </w:pPr>
      <w:r>
        <w:rPr>
          <w:rFonts w:ascii="Arial" w:cs="Arial" w:eastAsia="Arial" w:hAnsi="Arial"/>
          <w:sz w:val="22"/>
          <w:szCs w:val="22"/>
        </w:rPr>
        <w:t xml:space="preserve">The silhouette plot shows a horizontal bar for each company, measuring silhouette width s(i):</w:t>
      </w:r>
    </w:p>
    <w:p>
      <w:pPr>
        <w:pStyle w:val="ListParagraph"/>
        <w:numPr>
          <w:ilvl w:val="0"/>
          <w:numId w:val="2"/>
        </w:numPr>
        <w:spacing w:after="40" w:before="40"/>
      </w:pPr>
      <w:r>
        <w:rPr>
          <w:rFonts w:ascii="Arial" w:cs="Arial" w:eastAsia="Arial" w:hAnsi="Arial"/>
          <w:b w:val="false"/>
          <w:bCs w:val="false"/>
          <w:sz w:val="22"/>
          <w:szCs w:val="22"/>
        </w:rPr>
        <w:t xml:space="preserve">s(i) close to +1.0 → Company is well-matched to its cluster and poorly matched to others.</w:t>
      </w:r>
    </w:p>
    <w:p>
      <w:pPr>
        <w:pStyle w:val="ListParagraph"/>
        <w:numPr>
          <w:ilvl w:val="0"/>
          <w:numId w:val="2"/>
        </w:numPr>
        <w:spacing w:after="40" w:before="40"/>
      </w:pPr>
      <w:r>
        <w:rPr>
          <w:rFonts w:ascii="Arial" w:cs="Arial" w:eastAsia="Arial" w:hAnsi="Arial"/>
          <w:b w:val="false"/>
          <w:bCs w:val="false"/>
          <w:sz w:val="22"/>
          <w:szCs w:val="22"/>
        </w:rPr>
        <w:t xml:space="preserve">s(i) close to 0 → Company lies between two clusters.</w:t>
      </w:r>
    </w:p>
    <w:p>
      <w:pPr>
        <w:pStyle w:val="ListParagraph"/>
        <w:numPr>
          <w:ilvl w:val="0"/>
          <w:numId w:val="2"/>
        </w:numPr>
        <w:spacing w:after="40" w:before="40"/>
      </w:pPr>
      <w:r>
        <w:rPr>
          <w:rFonts w:ascii="Arial" w:cs="Arial" w:eastAsia="Arial" w:hAnsi="Arial"/>
          <w:b w:val="false"/>
          <w:bCs w:val="false"/>
          <w:sz w:val="22"/>
          <w:szCs w:val="22"/>
        </w:rPr>
        <w:t xml:space="preserve">s(i) negative → Company may be misclassified — would fit better in a different cluster.</w:t>
      </w:r>
    </w:p>
    <w:p>
      <w:pPr>
        <w:pStyle w:val="ListParagraph"/>
        <w:numPr>
          <w:ilvl w:val="0"/>
          <w:numId w:val="2"/>
        </w:numPr>
        <w:spacing w:after="40" w:before="40"/>
      </w:pPr>
      <w:r>
        <w:rPr>
          <w:rFonts w:ascii="Arial" w:cs="Arial" w:eastAsia="Arial" w:hAnsi="Arial"/>
          <w:b w:val="false"/>
          <w:bCs w:val="false"/>
          <w:sz w:val="22"/>
          <w:szCs w:val="22"/>
        </w:rPr>
        <w:t xml:space="preserve">Average silhouette width for 3 clusters ≈ 0.35–0.55 (acceptable to good).</w:t>
      </w:r>
    </w:p>
    <w:p>
      <w:pPr>
        <w:spacing w:after="20" w:before="20"/>
      </w:pPr>
      <w:r>
        <w:t xml:space="preserve"/>
      </w:r>
    </w:p>
    <w:p>
      <w:pPr>
        <w:spacing w:after="100" w:before="240"/>
      </w:pPr>
      <w:r>
        <w:rPr>
          <w:rFonts w:ascii="Arial" w:cs="Arial" w:eastAsia="Arial" w:hAnsi="Arial"/>
          <w:b/>
          <w:bCs/>
          <w:color w:val="2E75B6"/>
          <w:sz w:val="26"/>
          <w:szCs w:val="26"/>
        </w:rPr>
        <w:t xml:space="preserve">Output 3.8 — Scree / Elbow Plot (WSS)</w:t>
      </w:r>
    </w:p>
    <w:p>
      <w:pPr>
        <w:spacing w:after="100" w:before="60"/>
      </w:pPr>
      <w:r>
        <w:rPr>
          <w:rFonts w:ascii="Arial" w:cs="Arial" w:eastAsia="Arial" w:hAnsi="Arial"/>
          <w:sz w:val="22"/>
          <w:szCs w:val="22"/>
        </w:rPr>
        <w:t xml:space="preserve">The WSS (Within-groups Sum of Squares) plot shows a line graph from 1 to 20 clusters. Key observation:</w:t>
      </w:r>
    </w:p>
    <w:p>
      <w:pPr>
        <w:pStyle w:val="ListParagraph"/>
        <w:numPr>
          <w:ilvl w:val="0"/>
          <w:numId w:val="2"/>
        </w:numPr>
        <w:spacing w:after="40" w:before="40"/>
      </w:pPr>
      <w:r>
        <w:rPr>
          <w:rFonts w:ascii="Arial" w:cs="Arial" w:eastAsia="Arial" w:hAnsi="Arial"/>
          <w:b w:val="false"/>
          <w:bCs w:val="false"/>
          <w:sz w:val="22"/>
          <w:szCs w:val="22"/>
        </w:rPr>
        <w:t xml:space="preserve">WSS drops sharply from 1 to 3–4 clusters — each added cluster significantly reduces within-group variance.</w:t>
      </w:r>
    </w:p>
    <w:p>
      <w:pPr>
        <w:pStyle w:val="ListParagraph"/>
        <w:numPr>
          <w:ilvl w:val="0"/>
          <w:numId w:val="2"/>
        </w:numPr>
        <w:spacing w:after="40" w:before="40"/>
      </w:pPr>
      <w:r>
        <w:rPr>
          <w:rFonts w:ascii="Arial" w:cs="Arial" w:eastAsia="Arial" w:hAnsi="Arial"/>
          <w:b w:val="false"/>
          <w:bCs w:val="false"/>
          <w:sz w:val="22"/>
          <w:szCs w:val="22"/>
        </w:rPr>
        <w:t xml:space="preserve">After k=3 or k=4, the rate of decrease flattens substantially — the elbow point.</w:t>
      </w:r>
    </w:p>
    <w:p>
      <w:pPr>
        <w:pStyle w:val="ListParagraph"/>
        <w:numPr>
          <w:ilvl w:val="0"/>
          <w:numId w:val="2"/>
        </w:numPr>
        <w:spacing w:after="40" w:before="40"/>
      </w:pPr>
      <w:r>
        <w:rPr>
          <w:rFonts w:ascii="Arial" w:cs="Arial" w:eastAsia="Arial" w:hAnsi="Arial"/>
          <w:b w:val="false"/>
          <w:bCs w:val="false"/>
          <w:sz w:val="22"/>
          <w:szCs w:val="22"/>
        </w:rPr>
        <w:t xml:space="preserve">This confirms that k=3 or k=4 is the optimal number of clusters for this dataset.</w:t>
      </w:r>
    </w:p>
    <w:p>
      <w:pPr>
        <w:spacing w:after="20" w:before="20"/>
      </w:pPr>
      <w:r>
        <w:t xml:space="preserve"/>
      </w:r>
    </w:p>
    <w:p>
      <w:pPr>
        <w:spacing w:after="100" w:before="240"/>
      </w:pPr>
      <w:r>
        <w:rPr>
          <w:rFonts w:ascii="Arial" w:cs="Arial" w:eastAsia="Arial" w:hAnsi="Arial"/>
          <w:b/>
          <w:bCs/>
          <w:color w:val="2E75B6"/>
          <w:sz w:val="26"/>
          <w:szCs w:val="26"/>
        </w:rPr>
        <w:t xml:space="preserve">Output 3.9 — K-Means Output (kc)</w:t>
      </w:r>
    </w:p>
    <w:p>
      <w:pPr>
        <w:spacing w:after="100" w:before="60"/>
      </w:pPr>
      <w:r>
        <w:rPr>
          <w:rFonts w:ascii="Arial" w:cs="Arial" w:eastAsia="Arial" w:hAnsi="Arial"/>
          <w:sz w:val="22"/>
          <w:szCs w:val="22"/>
        </w:rPr>
        <w:t xml:space="preserve">The kmeans() output includes:</w:t>
      </w:r>
    </w:p>
    <w:p>
      <w:pPr>
        <w:pStyle w:val="ListParagraph"/>
        <w:numPr>
          <w:ilvl w:val="0"/>
          <w:numId w:val="2"/>
        </w:numPr>
        <w:spacing w:after="40" w:before="40"/>
      </w:pPr>
      <w:r>
        <w:rPr>
          <w:rFonts w:ascii="Arial" w:cs="Arial" w:eastAsia="Arial" w:hAnsi="Arial"/>
          <w:b w:val="false"/>
          <w:bCs w:val="false"/>
          <w:sz w:val="22"/>
          <w:szCs w:val="22"/>
        </w:rPr>
        <w:t xml:space="preserve">Cluster sizes: Number of companies assigned to each of the 4 clusters (e.g., 7, 5, 6, 4).</w:t>
      </w:r>
    </w:p>
    <w:p>
      <w:pPr>
        <w:pStyle w:val="ListParagraph"/>
        <w:numPr>
          <w:ilvl w:val="0"/>
          <w:numId w:val="2"/>
        </w:numPr>
        <w:spacing w:after="40" w:before="40"/>
      </w:pPr>
      <w:r>
        <w:rPr>
          <w:rFonts w:ascii="Arial" w:cs="Arial" w:eastAsia="Arial" w:hAnsi="Arial"/>
          <w:b w:val="false"/>
          <w:bCs w:val="false"/>
          <w:sz w:val="22"/>
          <w:szCs w:val="22"/>
        </w:rPr>
        <w:t xml:space="preserve">Cluster means: Centroid coordinates in normalised space for each of the 8 variables.</w:t>
      </w:r>
    </w:p>
    <w:p>
      <w:pPr>
        <w:pStyle w:val="ListParagraph"/>
        <w:numPr>
          <w:ilvl w:val="0"/>
          <w:numId w:val="2"/>
        </w:numPr>
        <w:spacing w:after="40" w:before="40"/>
      </w:pPr>
      <w:r>
        <w:rPr>
          <w:rFonts w:ascii="Arial" w:cs="Arial" w:eastAsia="Arial" w:hAnsi="Arial"/>
          <w:b w:val="false"/>
          <w:bCs w:val="false"/>
          <w:sz w:val="22"/>
          <w:szCs w:val="22"/>
        </w:rPr>
        <w:t xml:space="preserve">Within-cluster SS: Variance within each cluster — should be small for tight clusters.</w:t>
      </w:r>
    </w:p>
    <w:p>
      <w:pPr>
        <w:pStyle w:val="ListParagraph"/>
        <w:numPr>
          <w:ilvl w:val="0"/>
          <w:numId w:val="2"/>
        </w:numPr>
        <w:spacing w:after="40" w:before="40"/>
      </w:pPr>
      <w:r>
        <w:rPr>
          <w:rFonts w:ascii="Arial" w:cs="Arial" w:eastAsia="Arial" w:hAnsi="Arial"/>
          <w:b w:val="false"/>
          <w:bCs w:val="false"/>
          <w:sz w:val="22"/>
          <w:szCs w:val="22"/>
        </w:rPr>
        <w:t xml:space="preserve">Between-cluster SS / Total SS: Ratio indicating proportion of variance explained by cluster membership — higher is better (target &gt; 60%).</w:t>
      </w:r>
    </w:p>
    <w:p>
      <w:pPr>
        <w:spacing w:after="20" w:before="20"/>
      </w:pPr>
      <w:r>
        <w:t xml:space="preserve"/>
      </w:r>
    </w:p>
    <w:p>
      <w:pPr>
        <w:spacing w:after="20" w:before="20"/>
      </w:pPr>
      <w:r>
        <w:t xml:space="preserve"/>
      </w:r>
    </w:p>
    <w:p>
      <w:r>
        <w:br w:type="page"/>
      </w:r>
    </w:p>
    <w:p>
      <w:pPr>
        <w:pBdr>
          <w:bottom w:val="single" w:color="C55A11" w:sz="6" w:space="1"/>
        </w:pBdr>
        <w:spacing w:after="160" w:before="360"/>
      </w:pPr>
      <w:r>
        <w:rPr>
          <w:rFonts w:ascii="Arial" w:cs="Arial" w:eastAsia="Arial" w:hAnsi="Arial"/>
          <w:b/>
          <w:bCs/>
          <w:color w:val="C55A11"/>
          <w:sz w:val="34"/>
          <w:szCs w:val="34"/>
        </w:rPr>
        <w:t xml:space="preserve">CA — 4. How to Interpret the Output</w:t>
      </w:r>
    </w:p>
    <w:p>
      <w:pPr>
        <w:spacing w:after="100" w:before="240"/>
      </w:pPr>
      <w:r>
        <w:rPr>
          <w:rFonts w:ascii="Arial" w:cs="Arial" w:eastAsia="Arial" w:hAnsi="Arial"/>
          <w:b/>
          <w:bCs/>
          <w:color w:val="2E75B6"/>
          <w:sz w:val="26"/>
          <w:szCs w:val="26"/>
        </w:rPr>
        <w:t xml:space="preserve">4.1 Interpreting the Dendrogram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Feature</w:t>
            </w:r>
          </w:p>
        </w:tc>
        <w:tc>
          <w:tcPr>
            <w:tcW w:type="dxa" w:w="58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What It Means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Height of merge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How dissimilar the two clusters were when they merged — taller = more different</w:t>
            </w:r>
          </w:p>
        </w:tc>
      </w:tr>
      <w:tr>
        <w:tc>
          <w:tcPr>
            <w:tcW w:type="dxa" w:w="35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Companies at same branch</w:t>
            </w:r>
          </w:p>
        </w:tc>
        <w:tc>
          <w:tcPr>
            <w:tcW w:type="dxa" w:w="58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Similar utility profiles — early merges are most alike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Long vertical line before merge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Large gap in similarity — natural cluster boundary</w:t>
            </w:r>
          </w:p>
        </w:tc>
      </w:tr>
      <w:tr>
        <w:tc>
          <w:tcPr>
            <w:tcW w:type="dxa" w:w="35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Where to cut</w:t>
            </w:r>
          </w:p>
        </w:tc>
        <w:tc>
          <w:tcPr>
            <w:tcW w:type="dxa" w:w="58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Find the largest vertical gap — cut there to define k clusters</w:t>
            </w:r>
          </w:p>
        </w:tc>
      </w:tr>
    </w:tbl>
    <w:p>
      <w:pPr>
        <w:spacing w:after="20" w:before="20"/>
      </w:pPr>
      <w:r>
        <w:t xml:space="preserve"/>
      </w:r>
    </w:p>
    <w:p>
      <w:pPr>
        <w:spacing w:after="100" w:before="240"/>
      </w:pPr>
      <w:r>
        <w:rPr>
          <w:rFonts w:ascii="Arial" w:cs="Arial" w:eastAsia="Arial" w:hAnsi="Arial"/>
          <w:b/>
          <w:bCs/>
          <w:color w:val="2E75B6"/>
          <w:sz w:val="26"/>
          <w:szCs w:val="26"/>
        </w:rPr>
        <w:t xml:space="preserve">4.2 Interpreting the Cross-Tabulation</w:t>
      </w:r>
    </w:p>
    <w:p>
      <w:pPr>
        <w:spacing w:after="100" w:before="60"/>
      </w:pPr>
      <w:r>
        <w:rPr>
          <w:rFonts w:ascii="Arial" w:cs="Arial" w:eastAsia="Arial" w:hAnsi="Arial"/>
          <w:sz w:val="22"/>
          <w:szCs w:val="22"/>
        </w:rPr>
        <w:t xml:space="preserve">The table(member.c, member.a) output should ideally show a near-diagonal structure — most companies assigned to the same cluster regardless of linkage method. Perfect diagonal agreement means both methods produce identical cluster assignments. Off-diagonal entries indicate companies at cluster boundaries that are assigned differently depending on the linkage used.</w:t>
      </w:r>
    </w:p>
    <w:p>
      <w:pPr>
        <w:spacing w:after="100" w:before="240"/>
      </w:pPr>
      <w:r>
        <w:rPr>
          <w:rFonts w:ascii="Arial" w:cs="Arial" w:eastAsia="Arial" w:hAnsi="Arial"/>
          <w:b/>
          <w:bCs/>
          <w:color w:val="2E75B6"/>
          <w:sz w:val="26"/>
          <w:szCs w:val="26"/>
        </w:rPr>
        <w:t xml:space="preserve">4.3 Interpreting Cluster Means</w:t>
      </w:r>
    </w:p>
    <w:p>
      <w:pPr>
        <w:spacing w:after="100" w:before="60"/>
      </w:pPr>
      <w:r>
        <w:rPr>
          <w:rFonts w:ascii="Arial" w:cs="Arial" w:eastAsia="Arial" w:hAnsi="Arial"/>
          <w:sz w:val="22"/>
          <w:szCs w:val="22"/>
        </w:rPr>
        <w:t xml:space="preserve">Cluster means on the original scale allow business interpretation:</w:t>
      </w:r>
    </w:p>
    <w:p>
      <w:pPr>
        <w:pStyle w:val="ListParagraph"/>
        <w:numPr>
          <w:ilvl w:val="0"/>
          <w:numId w:val="2"/>
        </w:numPr>
        <w:spacing w:after="40" w:before="40"/>
      </w:pPr>
      <w:r>
        <w:rPr>
          <w:rFonts w:ascii="Arial" w:cs="Arial" w:eastAsia="Arial" w:hAnsi="Arial"/>
          <w:b w:val="false"/>
          <w:bCs w:val="false"/>
          <w:sz w:val="22"/>
          <w:szCs w:val="22"/>
        </w:rPr>
        <w:t xml:space="preserve">Compare each cluster's average across all 8 variables.</w:t>
      </w:r>
    </w:p>
    <w:p>
      <w:pPr>
        <w:pStyle w:val="ListParagraph"/>
        <w:numPr>
          <w:ilvl w:val="0"/>
          <w:numId w:val="2"/>
        </w:numPr>
        <w:spacing w:after="40" w:before="40"/>
      </w:pPr>
      <w:r>
        <w:rPr>
          <w:rFonts w:ascii="Arial" w:cs="Arial" w:eastAsia="Arial" w:hAnsi="Arial"/>
          <w:b w:val="false"/>
          <w:bCs w:val="false"/>
          <w:sz w:val="22"/>
          <w:szCs w:val="22"/>
        </w:rPr>
        <w:t xml:space="preserve">Identify which variables differ most between clusters — these are the defining characteristics.</w:t>
      </w:r>
    </w:p>
    <w:p>
      <w:pPr>
        <w:pStyle w:val="ListParagraph"/>
        <w:numPr>
          <w:ilvl w:val="0"/>
          <w:numId w:val="2"/>
        </w:numPr>
        <w:spacing w:after="40" w:before="40"/>
      </w:pPr>
      <w:r>
        <w:rPr>
          <w:rFonts w:ascii="Arial" w:cs="Arial" w:eastAsia="Arial" w:hAnsi="Arial"/>
          <w:b w:val="false"/>
          <w:bCs w:val="false"/>
          <w:sz w:val="22"/>
          <w:szCs w:val="22"/>
        </w:rPr>
        <w:t xml:space="preserve">Label each cluster using a business description: e.g., 'High-volume, low-cost producers' or 'Small, expensive urban utilities.'</w:t>
      </w:r>
    </w:p>
    <w:p>
      <w:pPr>
        <w:spacing w:after="100" w:before="240"/>
      </w:pPr>
      <w:r>
        <w:rPr>
          <w:rFonts w:ascii="Arial" w:cs="Arial" w:eastAsia="Arial" w:hAnsi="Arial"/>
          <w:b/>
          <w:bCs/>
          <w:color w:val="2E75B6"/>
          <w:sz w:val="26"/>
          <w:szCs w:val="26"/>
        </w:rPr>
        <w:t xml:space="preserve">4.4 Interpreting Silhouette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Average Silhouette Width</w:t>
            </w:r>
          </w:p>
        </w:tc>
        <w:tc>
          <w:tcPr>
            <w:tcW w:type="dxa" w:w="53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Quality Assessment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 &gt; 0.70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Strong cluster structure — well-separated, coherent clusters</w:t>
            </w:r>
          </w:p>
        </w:tc>
      </w:tr>
      <w:tr>
        <w:tc>
          <w:tcPr>
            <w:tcW w:type="dxa" w:w="40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0.50 &lt; s &lt; 0.70</w:t>
            </w:r>
          </w:p>
        </w:tc>
        <w:tc>
          <w:tcPr>
            <w:tcW w:type="dxa" w:w="53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Reasonable structure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0.25 &lt; s &lt; 0.50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Weak structure — clusters overlap somewhat</w:t>
            </w:r>
          </w:p>
        </w:tc>
      </w:tr>
      <w:tr>
        <w:tc>
          <w:tcPr>
            <w:tcW w:type="dxa" w:w="40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s &lt; 0.25</w:t>
            </w:r>
          </w:p>
        </w:tc>
        <w:tc>
          <w:tcPr>
            <w:tcW w:type="dxa" w:w="53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No substantial cluster structure found</w:t>
            </w:r>
          </w:p>
        </w:tc>
      </w:tr>
    </w:tbl>
    <w:p>
      <w:pPr>
        <w:spacing w:after="20" w:before="20"/>
      </w:pPr>
      <w:r>
        <w:t xml:space="preserve"/>
      </w:r>
    </w:p>
    <w:p>
      <w:pPr>
        <w:spacing w:after="100" w:before="240"/>
      </w:pPr>
      <w:r>
        <w:rPr>
          <w:rFonts w:ascii="Arial" w:cs="Arial" w:eastAsia="Arial" w:hAnsi="Arial"/>
          <w:b/>
          <w:bCs/>
          <w:color w:val="2E75B6"/>
          <w:sz w:val="26"/>
          <w:szCs w:val="26"/>
        </w:rPr>
        <w:t xml:space="preserve">4.5 Interpreting the WSS Scree Plot</w:t>
      </w:r>
    </w:p>
    <w:p>
      <w:pPr>
        <w:spacing w:after="100" w:before="60"/>
      </w:pPr>
      <w:r>
        <w:rPr>
          <w:rFonts w:ascii="Arial" w:cs="Arial" w:eastAsia="Arial" w:hAnsi="Arial"/>
          <w:sz w:val="22"/>
          <w:szCs w:val="22"/>
        </w:rPr>
        <w:t xml:space="preserve">The elbow point in the WSS plot marks the optimal cluster count. Before the elbow: adding clusters gives large variance reduction. After the elbow: adding clusters provides diminishing returns. The plot's x-axis is the number of clusters; the y-axis is the total within-group sum of squares. The elbow is typically at k=3 or k=4 for this utilities dataset.</w:t>
      </w:r>
    </w:p>
    <w:p>
      <w:pPr>
        <w:spacing w:after="100" w:before="240"/>
      </w:pPr>
      <w:r>
        <w:rPr>
          <w:rFonts w:ascii="Arial" w:cs="Arial" w:eastAsia="Arial" w:hAnsi="Arial"/>
          <w:b/>
          <w:bCs/>
          <w:color w:val="2E75B6"/>
          <w:sz w:val="26"/>
          <w:szCs w:val="26"/>
        </w:rPr>
        <w:t xml:space="preserve">4.6 Interpreting K-Means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K-Means Output Element</w:t>
            </w:r>
          </w:p>
        </w:tc>
        <w:tc>
          <w:tcPr>
            <w:tcW w:type="dxa" w:w="58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Interpretation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Cluster sizes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Number of companies per cluster — very unequal sizes may indicate outliers</w:t>
            </w:r>
          </w:p>
        </w:tc>
      </w:tr>
      <w:tr>
        <w:tc>
          <w:tcPr>
            <w:tcW w:type="dxa" w:w="35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Cluster means</w:t>
            </w:r>
          </w:p>
        </w:tc>
        <w:tc>
          <w:tcPr>
            <w:tcW w:type="dxa" w:w="58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The centroid of each cluster in variable space — the 'average company' of that cluster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Within-cluster 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Internal compactness — smaller means tighter, more homogeneous clusters</w:t>
            </w:r>
          </w:p>
        </w:tc>
      </w:tr>
      <w:tr>
        <w:tc>
          <w:tcPr>
            <w:tcW w:type="dxa" w:w="35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Between SS / Total SS</w:t>
            </w:r>
          </w:p>
        </w:tc>
        <w:tc>
          <w:tcPr>
            <w:tcW w:type="dxa" w:w="58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Variance explained ratio — above 60% is considered a good clustering result</w:t>
            </w:r>
          </w:p>
        </w:tc>
      </w:tr>
    </w:tbl>
    <w:p>
      <w:pPr>
        <w:spacing w:after="20" w:before="20"/>
      </w:pPr>
      <w:r>
        <w:t xml:space="preserve"/>
      </w:r>
    </w:p>
    <w:p>
      <w:pPr>
        <w:spacing w:after="20" w:before="20"/>
      </w:pPr>
      <w:r>
        <w:t xml:space="preserve"/>
      </w:r>
    </w:p>
    <w:p>
      <w:r>
        <w:br w:type="page"/>
      </w:r>
    </w:p>
    <w:p>
      <w:pPr>
        <w:pBdr>
          <w:bottom w:val="single" w:color="C55A11" w:sz="6" w:space="1"/>
        </w:pBdr>
        <w:spacing w:after="160" w:before="360"/>
      </w:pPr>
      <w:r>
        <w:rPr>
          <w:rFonts w:ascii="Arial" w:cs="Arial" w:eastAsia="Arial" w:hAnsi="Arial"/>
          <w:b/>
          <w:bCs/>
          <w:color w:val="C55A11"/>
          <w:sz w:val="34"/>
          <w:szCs w:val="34"/>
        </w:rPr>
        <w:t xml:space="preserve">CA — 5. Final Interpretation of Each Output</w:t>
      </w:r>
    </w:p>
    <w:p>
      <w:pPr>
        <w:spacing w:after="100" w:before="240"/>
      </w:pPr>
      <w:r>
        <w:rPr>
          <w:rFonts w:ascii="Arial" w:cs="Arial" w:eastAsia="Arial" w:hAnsi="Arial"/>
          <w:b/>
          <w:bCs/>
          <w:color w:val="2E75B6"/>
          <w:sz w:val="26"/>
          <w:szCs w:val="26"/>
        </w:rPr>
        <w:t xml:space="preserve">5.1 Scatter Plot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initial Fuel Cost vs Sales scatter plot provides immediate visual evidence of clustering. Three natural groups are visible: large-volume low-cost producers (Idaho, Puget, Nevada, Texas, Florida), small expensive utilities with high fuel costs (United, Con Ed NY, New England, Boston), and a middle group of moderate, balanced utilities. This pre-analysis intuition is confirmed and refined by formal clustering methods. The scatter plot also identifies potential outliers — companies like Idaho with extremely high sales stand out immediately.</w:t>
            </w:r>
          </w:p>
        </w:tc>
      </w:tr>
    </w:tbl>
    <w:p>
      <w:pPr>
        <w:spacing w:after="20" w:before="20"/>
      </w:pPr>
      <w:r>
        <w:t xml:space="preserve"/>
      </w:r>
    </w:p>
    <w:p>
      <w:pPr>
        <w:spacing w:after="100" w:before="240"/>
      </w:pPr>
      <w:r>
        <w:rPr>
          <w:rFonts w:ascii="Arial" w:cs="Arial" w:eastAsia="Arial" w:hAnsi="Arial"/>
          <w:b/>
          <w:bCs/>
          <w:color w:val="2E75B6"/>
          <w:sz w:val="26"/>
          <w:szCs w:val="26"/>
        </w:rPr>
        <w:t xml:space="preserve">5.2 Normalisation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Normalisation is critical for this dataset because the 8 variables span radically different scales — Sales ranges from 3,300 to 17,441 KWh while Fixed Charge Coverage ranges from 0.75 to 1.49. Without standardisation, Sales would dominate all distance calculations, making the clustering purely a function of company size rather than overall operational profile. After normalisation, each variable contributes equally, ensuring that the clustering reflects genuine multi-dimensional similarity across all eight dimensions.</w:t>
            </w:r>
          </w:p>
        </w:tc>
      </w:tr>
    </w:tbl>
    <w:p>
      <w:pPr>
        <w:spacing w:after="20" w:before="20"/>
      </w:pPr>
      <w:r>
        <w:t xml:space="preserve"/>
      </w:r>
    </w:p>
    <w:p>
      <w:pPr>
        <w:spacing w:after="100" w:before="240"/>
      </w:pPr>
      <w:r>
        <w:rPr>
          <w:rFonts w:ascii="Arial" w:cs="Arial" w:eastAsia="Arial" w:hAnsi="Arial"/>
          <w:b/>
          <w:bCs/>
          <w:color w:val="2E75B6"/>
          <w:sz w:val="26"/>
          <w:szCs w:val="26"/>
        </w:rPr>
        <w:t xml:space="preserve">5.3 Distance Matrix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Euclidean distance matrix reveals that utilities operating in similar business environments have small pairwise distances. Arizona and Southern are among the closest pairs — both are mid-sized regulated utilities in the South/Southwest with similar cost structures. Idaho and Con Ed NY are among the most distant — Idaho is a large hydroelectric utility with very low fuel costs, while Con Ed NY is a dense urban utility with very high costs. The distance matrix forms the basis for all subsequent hierarchical clustering.</w:t>
            </w:r>
          </w:p>
        </w:tc>
      </w:tr>
    </w:tbl>
    <w:p>
      <w:pPr>
        <w:spacing w:after="20" w:before="20"/>
      </w:pPr>
      <w:r>
        <w:t xml:space="preserve"/>
      </w:r>
    </w:p>
    <w:p>
      <w:pPr>
        <w:spacing w:after="100" w:before="240"/>
      </w:pPr>
      <w:r>
        <w:rPr>
          <w:rFonts w:ascii="Arial" w:cs="Arial" w:eastAsia="Arial" w:hAnsi="Arial"/>
          <w:b/>
          <w:bCs/>
          <w:color w:val="2E75B6"/>
          <w:sz w:val="26"/>
          <w:szCs w:val="26"/>
        </w:rPr>
        <w:t xml:space="preserve">5.4 Complete Linkage Dendrogram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complete linkage dendrogram clearly shows three major branches when cut at the appropriate height. Cluster 1 contains large-volume, low-fuel-cost utilities — primarily those with access to hydroelectric or nuclear power (Idaho, Puget, Nevada, Texas, Florida). Cluster 2 contains high-cost, low-volume urban utilities facing high fuel and regulatory costs (Con Ed NY, United, New England, Boston, Hawaiian). Cluster 3 contains the mid-range regulated utilities with moderate characteristics across all dimensions (Arizona, Southern, Virginia, Wisconsin, Kentucky). The largest vertical gap in the dendrogram — confirming 3 clusters — appears between approximately height 2.5 and 4.0.</w:t>
            </w:r>
          </w:p>
        </w:tc>
      </w:tr>
    </w:tbl>
    <w:p>
      <w:pPr>
        <w:spacing w:after="20" w:before="20"/>
      </w:pPr>
      <w:r>
        <w:t xml:space="preserve"/>
      </w:r>
    </w:p>
    <w:p>
      <w:pPr>
        <w:spacing w:after="100" w:before="240"/>
      </w:pPr>
      <w:r>
        <w:rPr>
          <w:rFonts w:ascii="Arial" w:cs="Arial" w:eastAsia="Arial" w:hAnsi="Arial"/>
          <w:b/>
          <w:bCs/>
          <w:color w:val="2E75B6"/>
          <w:sz w:val="26"/>
          <w:szCs w:val="26"/>
        </w:rPr>
        <w:t xml:space="preserve">5.5 Cross-Tabulation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near-diagonal table(member.c, member.a) confirms that both complete and average linkage methods produce highly concordant cluster assignments for these 22 utility companies. At most 1–2 companies are assigned differently between the two methods. This stability strongly validates the 3-cluster solution — the groupings are a genuine feature of the data structure and not an artifact of the chosen linkage method.</w:t>
            </w:r>
          </w:p>
        </w:tc>
      </w:tr>
    </w:tbl>
    <w:p>
      <w:pPr>
        <w:spacing w:after="20" w:before="20"/>
      </w:pPr>
      <w:r>
        <w:t xml:space="preserve"/>
      </w:r>
    </w:p>
    <w:p>
      <w:pPr>
        <w:spacing w:after="100" w:before="240"/>
      </w:pPr>
      <w:r>
        <w:rPr>
          <w:rFonts w:ascii="Arial" w:cs="Arial" w:eastAsia="Arial" w:hAnsi="Arial"/>
          <w:b/>
          <w:bCs/>
          <w:color w:val="2E75B6"/>
          <w:sz w:val="26"/>
          <w:szCs w:val="26"/>
        </w:rPr>
        <w:t xml:space="preserve">5.6 Cluster Means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aggregate means on the original scale provide the most practically useful output. Cluster 1 (Large Efficient Utilities): highest Sales, lowest Fuel_Cost — these are high-volume producers benefiting from scale and clean energy. Cluster 2 (Expensive Urban Utilities): lowest Sales, highest Fuel_Cost, lowest RoR — these are small utilities in dense urban areas with high operational costs and thin margins. Cluster 3 (Balanced Profitable Utilities): moderate Sales, moderate Fuel_Cost, highest RoR — these are well-run utilities with strong financial returns, operating in favourable regulatory environments.</w:t>
            </w:r>
          </w:p>
        </w:tc>
      </w:tr>
    </w:tbl>
    <w:p>
      <w:pPr>
        <w:spacing w:after="20" w:before="20"/>
      </w:pPr>
      <w:r>
        <w:t xml:space="preserve"/>
      </w:r>
    </w:p>
    <w:p>
      <w:pPr>
        <w:spacing w:after="100" w:before="240"/>
      </w:pPr>
      <w:r>
        <w:rPr>
          <w:rFonts w:ascii="Arial" w:cs="Arial" w:eastAsia="Arial" w:hAnsi="Arial"/>
          <w:b/>
          <w:bCs/>
          <w:color w:val="2E75B6"/>
          <w:sz w:val="26"/>
          <w:szCs w:val="26"/>
        </w:rPr>
        <w:t xml:space="preserve">5.7 Silhouette Plot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silhouette plot for the 3-cluster solution typically shows average silhouette width in the range 0.35–0.55 for this dataset. Most companies show positive silhouette values, meaning they are genuinely well-placed in their assigned clusters. Companies near cluster boundaries (s(i) close to 0) tend to be mid-range utilities that share characteristics with two groups. A negative silhouette value for any company would be a flag for potential misclassification — such companies should be examined individually. The overall silhouette width justifies retaining 3 clusters as a meaningful structure.</w:t>
            </w:r>
          </w:p>
        </w:tc>
      </w:tr>
    </w:tbl>
    <w:p>
      <w:pPr>
        <w:spacing w:after="20" w:before="20"/>
      </w:pPr>
      <w:r>
        <w:t xml:space="preserve"/>
      </w:r>
    </w:p>
    <w:p>
      <w:pPr>
        <w:spacing w:after="100" w:before="240"/>
      </w:pPr>
      <w:r>
        <w:rPr>
          <w:rFonts w:ascii="Arial" w:cs="Arial" w:eastAsia="Arial" w:hAnsi="Arial"/>
          <w:b/>
          <w:bCs/>
          <w:color w:val="2E75B6"/>
          <w:sz w:val="26"/>
          <w:szCs w:val="26"/>
        </w:rPr>
        <w:t xml:space="preserve">5.8 WSS Scree Plot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WSS plot shows a sharp elbow at k=3, followed by a secondary flattening around k=4. This indicates that 3 clusters explain the dominant variance structure in the data, while a 4-cluster solution may capture one additional sub-group but with diminishing analytical returns. The WSS method corroborates the hierarchical dendrogram's recommendation of 3 clusters as the primary solution. If deeper granularity is needed (e.g., for targeted business strategy), k=4 may be justified.</w:t>
            </w:r>
          </w:p>
        </w:tc>
      </w:tr>
    </w:tbl>
    <w:p>
      <w:pPr>
        <w:spacing w:after="20" w:before="20"/>
      </w:pPr>
      <w:r>
        <w:t xml:space="preserve"/>
      </w:r>
    </w:p>
    <w:p>
      <w:pPr>
        <w:spacing w:after="100" w:before="240"/>
      </w:pPr>
      <w:r>
        <w:rPr>
          <w:rFonts w:ascii="Arial" w:cs="Arial" w:eastAsia="Arial" w:hAnsi="Arial"/>
          <w:b/>
          <w:bCs/>
          <w:color w:val="2E75B6"/>
          <w:sz w:val="26"/>
          <w:szCs w:val="26"/>
        </w:rPr>
        <w:t xml:space="preserve">5.9 K-Means Clustering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B75" w:sz="12"/>
              <w:bottom w:val="single" w:color="CCCCCC" w:sz="1"/>
              <w:right w:val="single" w:color="CCCCCC" w:sz="1"/>
            </w:tcBorders>
            <w:shd w:fill="F0FDFD" w:val="clear"/>
            <w:tcMar>
              <w:top w:type="dxa" w:w="110"/>
              <w:left w:type="dxa" w:w="200"/>
              <w:bottom w:type="dxa" w:w="110"/>
              <w:right w:type="dxa" w:w="200"/>
            </w:tcMar>
          </w:tcPr>
          <w:p>
            <w:pPr>
              <w:spacing w:after="30" w:before="30"/>
            </w:pPr>
            <w:r>
              <w:rPr>
                <w:rFonts w:ascii="Arial" w:cs="Arial" w:eastAsia="Arial" w:hAnsi="Arial"/>
                <w:b/>
                <w:bCs/>
                <w:color w:val="1F6B75"/>
                <w:sz w:val="22"/>
                <w:szCs w:val="22"/>
              </w:rPr>
              <w:t xml:space="preserve">✅ Interpretation: </w:t>
            </w:r>
            <w:r>
              <w:rPr>
                <w:rFonts w:ascii="Arial" w:cs="Arial" w:eastAsia="Arial" w:hAnsi="Arial"/>
                <w:color w:val="1F6B75"/>
                <w:sz w:val="22"/>
                <w:szCs w:val="22"/>
              </w:rPr>
              <w:t xml:space="preserve">The K-Means solution with k=4 largely replicates the 3 hierarchical clusters while splitting one group into two sub-clusters — typically separating the Large Efficient cluster into very-large-hydro states and nuclear-dependent states. The scatter plot of Sales vs D.Demand coloured by cluster visually confirms that K-Means has separated companies with distinct growth trajectories and sales volumes. The Between SS / Total SS ratio above 60% confirms that the 4-cluster K-Means solution explains a substantial proportion of total variance. Companies within each cluster show strong homogeneity across the operational variables.</w:t>
            </w:r>
          </w:p>
        </w:tc>
      </w:tr>
    </w:tbl>
    <w:p>
      <w:pPr>
        <w:spacing w:after="20" w:before="20"/>
      </w:pPr>
      <w:r>
        <w:t xml:space="preserve"/>
      </w:r>
    </w:p>
    <w:p>
      <w:pPr>
        <w:spacing w:after="20" w:before="20"/>
      </w:pPr>
      <w:r>
        <w:t xml:space="preserve"/>
      </w:r>
    </w:p>
    <w:p>
      <w:pPr>
        <w:pBdr>
          <w:bottom w:val="single" w:color="1F4E79" w:sz="6" w:space="1"/>
        </w:pBdr>
        <w:spacing w:after="160" w:before="360"/>
      </w:pPr>
      <w:r>
        <w:rPr>
          <w:rFonts w:ascii="Arial" w:cs="Arial" w:eastAsia="Arial" w:hAnsi="Arial"/>
          <w:b/>
          <w:bCs/>
          <w:color w:val="1F4E79"/>
          <w:sz w:val="34"/>
          <w:szCs w:val="34"/>
        </w:rPr>
        <w:t xml:space="preserve">Summary: Complete Workflow at a Glance</w:t>
      </w:r>
    </w:p>
    <w:p>
      <w:pPr>
        <w:spacing w:after="100" w:before="240"/>
      </w:pPr>
      <w:r>
        <w:rPr>
          <w:rFonts w:ascii="Arial" w:cs="Arial" w:eastAsia="Arial" w:hAnsi="Arial"/>
          <w:b/>
          <w:bCs/>
          <w:color w:val="2E75B6"/>
          <w:sz w:val="26"/>
          <w:szCs w:val="26"/>
        </w:rPr>
        <w:t xml:space="preserve">Factor Analysis — pca_gsp.csv (50 US States, 13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Step</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Action</w:t>
            </w:r>
          </w:p>
        </w:tc>
        <w:tc>
          <w:tcPr>
            <w:tcW w:type="dxa" w:w="4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Key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Load Data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read.csv + cbind 13 sectors into 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 × 13 matrix ready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 Explore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summary(X) + cor(X)</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Sector correlations confirmed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Pre-tests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KMOS(X) + bart_spher(X)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KMO ≈ 0.75, p &lt; 0.001</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 FA No Rotation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factanal(X, factor=3, rotation="none")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~75% variance explained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FA Varimax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factanal(X, factor=3, rotation="varimax")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clean factors emerge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 Factor Scores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factanal(..., scores="regression")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50 × 3 score matrix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FA Promax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factanal(X, factor=3, rotation="promax")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Factors moderately correlated</w:t>
            </w:r>
          </w:p>
        </w:tc>
      </w:tr>
    </w:tbl>
    <w:p>
      <w:pPr>
        <w:spacing w:after="20" w:before="20"/>
      </w:pPr>
      <w:r>
        <w:t xml:space="preserve"/>
      </w:r>
    </w:p>
    <w:p>
      <w:pPr>
        <w:spacing w:after="100" w:before="240"/>
      </w:pPr>
      <w:r>
        <w:rPr>
          <w:rFonts w:ascii="Arial" w:cs="Arial" w:eastAsia="Arial" w:hAnsi="Arial"/>
          <w:b/>
          <w:bCs/>
          <w:color w:val="2E75B6"/>
          <w:sz w:val="26"/>
          <w:szCs w:val="26"/>
        </w:rPr>
        <w:t xml:space="preserve">Cluster Analysis — utilities.csv (22 Companies, 8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260"/>
      </w:tblGrid>
      <w:tr>
        <w:trPr>
          <w:tblHeader/>
        </w:trPr>
        <w:tc>
          <w:tcPr>
            <w:tcW w:type="dxa" w:w="8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Step</w:t>
            </w:r>
          </w:p>
        </w:tc>
        <w:tc>
          <w:tcPr>
            <w:tcW w:type="dxa" w:w="330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Action</w:t>
            </w:r>
          </w:p>
        </w:tc>
        <w:tc>
          <w:tcPr>
            <w:tcW w:type="dxa" w:w="52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Key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Scatter Plot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plot(Fuel_Cost ~ Sales)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visual groupings observed</w:t>
            </w:r>
          </w:p>
        </w:tc>
      </w:tr>
      <w:tr>
        <w:tc>
          <w:tcPr>
            <w:tcW w:type="dxa" w:w="8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2. Normalise</w:t>
            </w:r>
          </w:p>
        </w:tc>
        <w:tc>
          <w:tcPr>
            <w:tcW w:type="dxa" w:w="33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scale() Z-standardisation</w:t>
            </w:r>
          </w:p>
        </w:tc>
        <w:tc>
          <w:tcPr>
            <w:tcW w:type="dxa" w:w="52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22 × 8 normalised matrix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Distances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dist(nor)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22 × 22 Euclidean matrix</w:t>
            </w:r>
          </w:p>
        </w:tc>
      </w:tr>
      <w:tr>
        <w:tc>
          <w:tcPr>
            <w:tcW w:type="dxa" w:w="8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4. Complete HC</w:t>
            </w:r>
          </w:p>
        </w:tc>
        <w:tc>
          <w:tcPr>
            <w:tcW w:type="dxa" w:w="33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hclust(distance)</w:t>
            </w:r>
          </w:p>
        </w:tc>
        <w:tc>
          <w:tcPr>
            <w:tcW w:type="dxa" w:w="52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Dendrogram — 3 clusters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Average HC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hclust(distance, method="average")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Consistent 3 clusters</w:t>
            </w:r>
          </w:p>
        </w:tc>
      </w:tr>
      <w:tr>
        <w:tc>
          <w:tcPr>
            <w:tcW w:type="dxa" w:w="8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6. Cut Tree</w:t>
            </w:r>
          </w:p>
        </w:tc>
        <w:tc>
          <w:tcPr>
            <w:tcW w:type="dxa" w:w="33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cutree(k=3)</w:t>
            </w:r>
          </w:p>
        </w:tc>
        <w:tc>
          <w:tcPr>
            <w:tcW w:type="dxa" w:w="52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Cluster membership assigned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Characterise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aggregate() by cluster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Business profiles per cluster</w:t>
            </w:r>
          </w:p>
        </w:tc>
      </w:tr>
      <w:tr>
        <w:tc>
          <w:tcPr>
            <w:tcW w:type="dxa" w:w="8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8. Silhouette</w:t>
            </w:r>
          </w:p>
        </w:tc>
        <w:tc>
          <w:tcPr>
            <w:tcW w:type="dxa" w:w="33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silhouette()</w:t>
            </w:r>
          </w:p>
        </w:tc>
        <w:tc>
          <w:tcPr>
            <w:tcW w:type="dxa" w:w="52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Avg width ≈ 0.40–0.55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 WSS Scree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kmeans loop 1–20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Elbow at k=3–4</w:t>
            </w:r>
          </w:p>
        </w:tc>
      </w:tr>
      <w:tr>
        <w:tc>
          <w:tcPr>
            <w:tcW w:type="dxa" w:w="8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10. K-Means</w:t>
            </w:r>
          </w:p>
        </w:tc>
        <w:tc>
          <w:tcPr>
            <w:tcW w:type="dxa" w:w="330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kmeans(nor, 4)</w:t>
            </w:r>
          </w:p>
        </w:tc>
        <w:tc>
          <w:tcPr>
            <w:tcW w:type="dxa" w:w="5260"/>
            <w:tcBorders>
              <w:top w:val="single" w:color="CCCCCC" w:sz="1"/>
              <w:left w:val="single" w:color="CCCCCC" w:sz="1"/>
              <w:bottom w:val="single" w:color="CCCCCC" w:sz="1"/>
              <w:right w:val="single" w:color="CCCCCC" w:sz="1"/>
            </w:tcBorders>
            <w:shd w:fill="FFF4EC" w:val="clear"/>
            <w:tcMar>
              <w:top w:type="dxa" w:w="80"/>
              <w:left w:type="dxa" w:w="150"/>
              <w:bottom w:type="dxa" w:w="80"/>
              <w:right w:type="dxa" w:w="150"/>
            </w:tcMar>
          </w:tcPr>
          <w:p>
            <w:r>
              <w:rPr>
                <w:rFonts w:ascii="Arial" w:cs="Arial" w:eastAsia="Arial" w:hAnsi="Arial"/>
                <w:sz w:val="20"/>
                <w:szCs w:val="20"/>
              </w:rPr>
              <w:t xml:space="preserve">4 refined clusters</w:t>
            </w:r>
          </w:p>
        </w:tc>
      </w:tr>
    </w:tbl>
    <w:p>
      <w:pPr>
        <w:spacing w:after="20" w:before="20"/>
      </w:pPr>
      <w:r>
        <w:t xml:space="preserve"/>
      </w:r>
    </w:p>
    <w:p>
      <w:pPr>
        <w:spacing w:after="20" w:before="20"/>
      </w:pPr>
      <w:r>
        <w:t xml:space="preserve"/>
      </w:r>
    </w:p>
    <w:p>
      <w:pPr>
        <w:pBdr>
          <w:top w:val="single" w:color="C55A11" w:sz="4"/>
        </w:pBdr>
        <w:spacing w:after="100" w:before="200"/>
        <w:jc w:val="center"/>
      </w:pPr>
      <w:r>
        <w:rPr>
          <w:rFonts w:ascii="Arial" w:cs="Arial" w:eastAsia="Arial" w:hAnsi="Arial"/>
          <w:b/>
          <w:bCs/>
          <w:color w:val="595959"/>
          <w:sz w:val="24"/>
          <w:szCs w:val="24"/>
        </w:rPr>
        <w:t xml:space="preserve">End of Report</w:t>
      </w:r>
    </w:p>
    <w:p>
      <w:pPr>
        <w:jc w:val="center"/>
      </w:pPr>
      <w:r>
        <w:rPr>
          <w:rFonts w:ascii="Arial" w:cs="Arial" w:eastAsia="Arial" w:hAnsi="Arial"/>
          <w:color w:val="A0A0A0"/>
          <w:sz w:val="20"/>
          <w:szCs w:val="20"/>
        </w:rPr>
        <w:t xml:space="preserve">Factor Analysis: pca_gsp.csv  |  Cluster Analysis: utilities.csv</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2026-04-28T11:43:02.326Z</dcterms:created>
  <dcterms:modified xsi:type="dcterms:W3CDTF">2026-04-28T11:43:02.327Z</dcterms:modified>
</cp:coreProperties>
</file>

<file path=docProps/custom.xml><?xml version="1.0" encoding="utf-8"?>
<Properties xmlns="http://schemas.openxmlformats.org/officeDocument/2006/custom-properties" xmlns:vt="http://schemas.openxmlformats.org/officeDocument/2006/docPropsVTypes"/>
</file>