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Regional pairs help to support always-on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Identify services that don't need region support. Some global Azure services that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benefits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00000"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000000"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000000"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01915DA1" w14:textId="77777777" w:rsidR="00A52BA8" w:rsidRDefault="00A52BA8" w:rsidP="00A52BA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Implement Microsoft Cost Management</w:t>
      </w:r>
    </w:p>
    <w:p w14:paraId="40C1916D" w14:textId="77777777" w:rsidR="00A52BA8" w:rsidRDefault="00A52BA8" w:rsidP="00A52BA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CF4D551" w14:textId="77777777" w:rsidR="00A52BA8" w:rsidRDefault="00A52BA8" w:rsidP="00A52BA8">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37A87E1C"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With Azure products and services, you pay only for what you use. As you create and use Azure resources, you're charged for the resources.</w:t>
      </w:r>
    </w:p>
    <w:p w14:paraId="55FAD169"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 xml:space="preserve">Microsoft Cost Management provides support for administrative billing tasks and helps you manage billing access to costs. You can use the product to monitor and control Azure </w:t>
      </w:r>
      <w:proofErr w:type="gramStart"/>
      <w:r>
        <w:rPr>
          <w:rFonts w:ascii="Segoe UI" w:hAnsi="Segoe UI" w:cs="Segoe UI"/>
          <w:color w:val="161616"/>
        </w:rPr>
        <w:t>spending, and</w:t>
      </w:r>
      <w:proofErr w:type="gramEnd"/>
      <w:r>
        <w:rPr>
          <w:rFonts w:ascii="Segoe UI" w:hAnsi="Segoe UI" w:cs="Segoe UI"/>
          <w:color w:val="161616"/>
        </w:rPr>
        <w:t xml:space="preserve"> optimize your Azure resource usage.</w:t>
      </w:r>
    </w:p>
    <w:p w14:paraId="12408FCD" w14:textId="2C1D8E0F" w:rsidR="00A52BA8" w:rsidRDefault="00A52BA8" w:rsidP="00A52BA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8933836" wp14:editId="687358AB">
            <wp:extent cx="5943600" cy="5028565"/>
            <wp:effectExtent l="0" t="0" r="0" b="635"/>
            <wp:docPr id="748554364" name="Picture 1" descr="Screenshot of the Microsoft Cost Management dashboard showing service name and location costs, and billing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Cost Management dashboard showing service name and location costs, and billing foreca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28565"/>
                    </a:xfrm>
                    <a:prstGeom prst="rect">
                      <a:avLst/>
                    </a:prstGeom>
                    <a:noFill/>
                    <a:ln>
                      <a:noFill/>
                    </a:ln>
                  </pic:spPr>
                </pic:pic>
              </a:graphicData>
            </a:graphic>
          </wp:inline>
        </w:drawing>
      </w:r>
    </w:p>
    <w:p w14:paraId="51D9591A"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Things to know about Microsoft Cost Management</w:t>
      </w:r>
    </w:p>
    <w:p w14:paraId="1A3C2C0A"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Your organization is interested in the benefits of using Microsoft Cost Management to monitor their subscription billing and resource usage. As you plan for your implementation, review the following product characteristics and features:</w:t>
      </w:r>
    </w:p>
    <w:p w14:paraId="11723D33"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Microsoft Cost Management shows organizational cost and usage patterns with advanced analytics. Costs are based on negotiated prices and factor in reservation and Azure Hybrid Benefit discounts. Predictive analytics are also available.</w:t>
      </w:r>
    </w:p>
    <w:p w14:paraId="66A27E87"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 xml:space="preserve">Reports in Microsoft Cost Management show the usage-based costs consumed by Azure services and third-party Marketplace offerings. Collectively, the reports show your internal and external costs for usage and Azure Marketplace charges. The reports help you understand your spending and resource </w:t>
      </w:r>
      <w:proofErr w:type="gramStart"/>
      <w:r>
        <w:rPr>
          <w:rFonts w:ascii="Segoe UI" w:hAnsi="Segoe UI" w:cs="Segoe UI"/>
          <w:color w:val="161616"/>
        </w:rPr>
        <w:t>use, and</w:t>
      </w:r>
      <w:proofErr w:type="gramEnd"/>
      <w:r>
        <w:rPr>
          <w:rFonts w:ascii="Segoe UI" w:hAnsi="Segoe UI" w:cs="Segoe UI"/>
          <w:color w:val="161616"/>
        </w:rPr>
        <w:t xml:space="preserve"> can help find spending anomalies. Charges, such as reservation purchases, support, and taxes might not be visible in reports.</w:t>
      </w:r>
    </w:p>
    <w:p w14:paraId="02DCF94F"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The product uses Azure management groups, budgets, and recommendations to show clearly how your expenses are organized and how you might reduce costs.</w:t>
      </w:r>
    </w:p>
    <w:p w14:paraId="7254ED44"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You can use the Azure portal or various APIs for export automation to integrate cost data with external systems and processes. Automated billing data export and scheduled reports are also available.</w:t>
      </w:r>
    </w:p>
    <w:p w14:paraId="3F1F31EE"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Microsoft Cost Management</w:t>
      </w:r>
    </w:p>
    <w:p w14:paraId="2ACB5B58"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Microsoft Cost Management can help you plan for and control your organization costs. Consider how the product features can be implemented to support your business scenarios:</w:t>
      </w:r>
    </w:p>
    <w:p w14:paraId="567BF750"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cost analysis</w:t>
      </w:r>
      <w:r>
        <w:rPr>
          <w:rFonts w:ascii="Segoe UI" w:hAnsi="Segoe UI" w:cs="Segoe UI"/>
          <w:color w:val="161616"/>
        </w:rPr>
        <w:t>. Take advantage of Microsoft Cost Management cost analysis features to explore and analyze your organizational costs. You can view aggregated costs by organization to understand where costs are accrued, and to identify spending trends. Monitor accumulated costs over time to estimate monthly, quarterly, or even yearly cost trends against a budget.</w:t>
      </w:r>
    </w:p>
    <w:p w14:paraId="6CCBA8AD"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budget options</w:t>
      </w:r>
      <w:r>
        <w:rPr>
          <w:rFonts w:ascii="Segoe UI" w:hAnsi="Segoe UI" w:cs="Segoe UI"/>
          <w:color w:val="161616"/>
        </w:rPr>
        <w:t xml:space="preserve">. Use Microsoft Cost Management features to establish and maintain budgets. The product helps you plan for and meet financial accountability in your organization. Budgets help prevent cost thresholds or limits from being surpassed. You can utilize analysis data to </w:t>
      </w:r>
      <w:r>
        <w:rPr>
          <w:rFonts w:ascii="Segoe UI" w:hAnsi="Segoe UI" w:cs="Segoe UI"/>
          <w:color w:val="161616"/>
        </w:rPr>
        <w:lastRenderedPageBreak/>
        <w:t>inform others about their spending to proactively manage costs. The budget features help you see how company spending progresses over time.</w:t>
      </w:r>
    </w:p>
    <w:p w14:paraId="5C12F546"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recommendations</w:t>
      </w:r>
      <w:r>
        <w:rPr>
          <w:rFonts w:ascii="Segoe UI" w:hAnsi="Segoe UI" w:cs="Segoe UI"/>
          <w:color w:val="161616"/>
        </w:rPr>
        <w:t>. Review the Microsoft Cost Management recommendations to learn how you can optimize and improve efficiency by identifying idle and underutilized resources. Recommendations can reveal less expensive resource options. When you act on the recommendations, you change the way you use your resources to save money. Using recommendations is an easy process:</w:t>
      </w:r>
    </w:p>
    <w:p w14:paraId="5E586528"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View cost optimization recommendations to see potential usage inefficiencies.</w:t>
      </w:r>
    </w:p>
    <w:p w14:paraId="002D8A80"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Act on a recommendation to modify your Azure resource use and implement a more cost-effective option.</w:t>
      </w:r>
    </w:p>
    <w:p w14:paraId="6E26F13E"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Verify the new action to make sure the change has the desired effect.</w:t>
      </w:r>
    </w:p>
    <w:p w14:paraId="6701BFD3"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exporting cost management data</w:t>
      </w:r>
      <w:r>
        <w:rPr>
          <w:rFonts w:ascii="Segoe UI" w:hAnsi="Segoe UI" w:cs="Segoe UI"/>
          <w:color w:val="161616"/>
        </w:rPr>
        <w:t>. Microsoft Cost Management helps you work with your billing information. If you use external systems to access or review cost management data, you can easily export the data from Azure.</w:t>
      </w:r>
    </w:p>
    <w:p w14:paraId="4928E3E2"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Set a daily scheduled export in comma-separated-value (CSV) format and store the data files in Azure storage.</w:t>
      </w:r>
    </w:p>
    <w:p w14:paraId="40BB33F6"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Access your exported data from your external system.</w:t>
      </w:r>
    </w:p>
    <w:p w14:paraId="68C53C8E" w14:textId="77777777" w:rsidR="00A52BA8" w:rsidRDefault="00A52BA8" w:rsidP="00A52BA8">
      <w:pPr>
        <w:shd w:val="clear" w:color="auto" w:fill="FFFFFF"/>
        <w:rPr>
          <w:rFonts w:ascii="Segoe UI" w:hAnsi="Segoe UI" w:cs="Segoe UI"/>
          <w:color w:val="161616"/>
        </w:rPr>
      </w:pPr>
      <w:r>
        <w:rPr>
          <w:rFonts w:ascii="Segoe UI" w:hAnsi="Segoe UI" w:cs="Segoe UI"/>
          <w:color w:val="161616"/>
        </w:rPr>
        <w:pict w14:anchorId="52E04A5B">
          <v:rect id="_x0000_i1031" style="width:0;height:0" o:hralign="center" o:hrstd="t" o:hr="t" fillcolor="#a0a0a0" stroked="f"/>
        </w:pict>
      </w:r>
    </w:p>
    <w:p w14:paraId="71B10BC5" w14:textId="77777777" w:rsidR="00A52BA8" w:rsidRDefault="00A52BA8" w:rsidP="00A52BA8">
      <w:pPr>
        <w:pStyle w:val="Heading2"/>
        <w:shd w:val="clear" w:color="auto" w:fill="FFFFFF"/>
        <w:rPr>
          <w:rFonts w:ascii="Segoe UI" w:hAnsi="Segoe UI" w:cs="Segoe UI"/>
          <w:color w:val="161616"/>
        </w:rPr>
      </w:pPr>
      <w:r>
        <w:rPr>
          <w:rFonts w:ascii="Segoe UI" w:hAnsi="Segoe UI" w:cs="Segoe UI"/>
          <w:color w:val="161616"/>
        </w:rPr>
        <w:t xml:space="preserve">Next unit: Apply resource </w:t>
      </w:r>
      <w:proofErr w:type="gramStart"/>
      <w:r>
        <w:rPr>
          <w:rFonts w:ascii="Segoe UI" w:hAnsi="Segoe UI" w:cs="Segoe UI"/>
          <w:color w:val="161616"/>
        </w:rPr>
        <w:t>tagging</w:t>
      </w:r>
      <w:proofErr w:type="gramEnd"/>
    </w:p>
    <w:p w14:paraId="255AB39E" w14:textId="77777777" w:rsidR="004B6626" w:rsidRDefault="004B6626" w:rsidP="004B662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resource </w:t>
      </w:r>
      <w:proofErr w:type="gramStart"/>
      <w:r>
        <w:rPr>
          <w:rFonts w:ascii="Segoe UI" w:hAnsi="Segoe UI" w:cs="Segoe UI"/>
          <w:color w:val="161616"/>
        </w:rPr>
        <w:t>tagging</w:t>
      </w:r>
      <w:proofErr w:type="gramEnd"/>
    </w:p>
    <w:p w14:paraId="23A96E65" w14:textId="77777777" w:rsidR="004B6626" w:rsidRDefault="004B6626" w:rsidP="004B662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5FCE2CC" w14:textId="77777777" w:rsidR="004B6626" w:rsidRDefault="004B6626" w:rsidP="004B6626">
      <w:pPr>
        <w:numPr>
          <w:ilvl w:val="0"/>
          <w:numId w:val="18"/>
        </w:numPr>
        <w:shd w:val="clear" w:color="auto" w:fill="FFFFFF"/>
        <w:spacing w:after="0" w:line="240" w:lineRule="auto"/>
        <w:rPr>
          <w:rFonts w:ascii="Segoe UI" w:hAnsi="Segoe UI" w:cs="Segoe UI"/>
        </w:rPr>
      </w:pPr>
      <w:r>
        <w:rPr>
          <w:rFonts w:ascii="Segoe UI" w:hAnsi="Segoe UI" w:cs="Segoe UI"/>
        </w:rPr>
        <w:t>3 minutes</w:t>
      </w:r>
    </w:p>
    <w:p w14:paraId="4195783D"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You can apply tags to your Azure resources to logically organize them by categories. Tags are useful for sorting, searching, managing, and doing analysis on your resources.</w:t>
      </w:r>
    </w:p>
    <w:p w14:paraId="1E32849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Each resource tag consists of a name and a value. You could have the tag name </w:t>
      </w:r>
      <w:r>
        <w:rPr>
          <w:rStyle w:val="HTMLCode"/>
          <w:rFonts w:ascii="Consolas" w:eastAsiaTheme="majorEastAsia" w:hAnsi="Consolas"/>
          <w:color w:val="161616"/>
        </w:rPr>
        <w:t>Server</w:t>
      </w:r>
      <w:r>
        <w:rPr>
          <w:rFonts w:ascii="Segoe UI" w:hAnsi="Segoe UI" w:cs="Segoe UI"/>
          <w:color w:val="161616"/>
        </w:rPr>
        <w:t> and the value </w:t>
      </w:r>
      <w:r>
        <w:rPr>
          <w:rStyle w:val="HTMLCode"/>
          <w:rFonts w:ascii="Consolas" w:eastAsiaTheme="majorEastAsia" w:hAnsi="Consolas"/>
          <w:color w:val="161616"/>
        </w:rPr>
        <w:t>Production</w:t>
      </w:r>
      <w:r>
        <w:rPr>
          <w:rFonts w:ascii="Segoe UI" w:hAnsi="Segoe UI" w:cs="Segoe UI"/>
          <w:color w:val="161616"/>
        </w:rPr>
        <w:t> or </w:t>
      </w:r>
      <w:r>
        <w:rPr>
          <w:rStyle w:val="HTMLCode"/>
          <w:rFonts w:ascii="Consolas" w:eastAsiaTheme="majorEastAsia" w:hAnsi="Consolas"/>
          <w:color w:val="161616"/>
        </w:rPr>
        <w:t>Development</w:t>
      </w:r>
      <w:r>
        <w:rPr>
          <w:rFonts w:ascii="Segoe UI" w:hAnsi="Segoe UI" w:cs="Segoe UI"/>
          <w:color w:val="161616"/>
        </w:rPr>
        <w:t>, and then apply the tag/value pair to your Engineering computer resources.</w:t>
      </w:r>
    </w:p>
    <w:p w14:paraId="13166DA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Here's an example that shows how to add tags for a resource group in the Azure portal:</w:t>
      </w:r>
    </w:p>
    <w:p w14:paraId="5E7A5C3D" w14:textId="11BAAF4A" w:rsidR="004B6626" w:rsidRDefault="004B6626" w:rsidP="004B662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5AD5BB3" wp14:editId="0E669DA6">
            <wp:extent cx="5943600" cy="1735455"/>
            <wp:effectExtent l="0" t="0" r="0" b="0"/>
            <wp:docPr id="332309234" name="Picture 2" descr="Screenshot that shows how to add tags for a resource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that shows how to add tags for a resource group in the Azure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17317A90"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resource </w:t>
      </w:r>
      <w:proofErr w:type="gramStart"/>
      <w:r>
        <w:rPr>
          <w:rFonts w:ascii="Segoe UI" w:hAnsi="Segoe UI" w:cs="Segoe UI"/>
          <w:color w:val="161616"/>
        </w:rPr>
        <w:t>tags</w:t>
      </w:r>
      <w:proofErr w:type="gramEnd"/>
    </w:p>
    <w:p w14:paraId="60379717"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As you plan your Azure subscriptions, resources, and services, review these characteristics of Azure resource tags:</w:t>
      </w:r>
    </w:p>
    <w:p w14:paraId="4FAC30B6"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Each resource tag has a name and a value.</w:t>
      </w:r>
    </w:p>
    <w:p w14:paraId="1BD58A6A"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name remains constant for all resources that have the tag applied.</w:t>
      </w:r>
    </w:p>
    <w:p w14:paraId="6A2BC53E"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value can be selected from a defined set of values, or unique for a specific resource instance.</w:t>
      </w:r>
    </w:p>
    <w:p w14:paraId="2C3AD954"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A resource or resource group can have a maximum of 50 tag name/value pairs.</w:t>
      </w:r>
    </w:p>
    <w:p w14:paraId="68B04461"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Tags applied to a resource group aren't inherited by the resources in the resource group.</w:t>
      </w:r>
    </w:p>
    <w:p w14:paraId="4D3C2769"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resource </w:t>
      </w:r>
      <w:proofErr w:type="gramStart"/>
      <w:r>
        <w:rPr>
          <w:rFonts w:ascii="Segoe UI" w:hAnsi="Segoe UI" w:cs="Segoe UI"/>
          <w:color w:val="161616"/>
        </w:rPr>
        <w:t>tags</w:t>
      </w:r>
      <w:proofErr w:type="gramEnd"/>
    </w:p>
    <w:p w14:paraId="17C0CFBF"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 are a few things you can do with resource tags:</w:t>
      </w:r>
    </w:p>
    <w:p w14:paraId="5AEE9BBD"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searching on tag data</w:t>
      </w:r>
      <w:r>
        <w:rPr>
          <w:rFonts w:ascii="Segoe UI" w:hAnsi="Segoe UI" w:cs="Segoe UI"/>
          <w:color w:val="161616"/>
        </w:rPr>
        <w:t>. Search for resources in your subscription by querying on the tag name and value.</w:t>
      </w:r>
    </w:p>
    <w:p w14:paraId="0ED99B32"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finding related resources</w:t>
      </w:r>
      <w:r>
        <w:rPr>
          <w:rFonts w:ascii="Segoe UI" w:hAnsi="Segoe UI" w:cs="Segoe UI"/>
          <w:color w:val="161616"/>
        </w:rPr>
        <w:t>. Retrieve related resources from other resource groups by searching on the tag name or value.</w:t>
      </w:r>
    </w:p>
    <w:p w14:paraId="4D239877"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grouping billing data</w:t>
      </w:r>
      <w:r>
        <w:rPr>
          <w:rFonts w:ascii="Segoe UI" w:hAnsi="Segoe UI" w:cs="Segoe UI"/>
          <w:color w:val="161616"/>
        </w:rPr>
        <w:t>. Group resources like virtual machines by cost center and production environment. When you download the resource usage comma-separated values (CSV) file for your services, the tags appear in the </w:t>
      </w:r>
      <w:r>
        <w:rPr>
          <w:rStyle w:val="HTMLCode"/>
          <w:rFonts w:ascii="Consolas" w:eastAsiaTheme="majorEastAsia" w:hAnsi="Consolas"/>
          <w:color w:val="161616"/>
        </w:rPr>
        <w:t>Tags</w:t>
      </w:r>
      <w:r>
        <w:rPr>
          <w:rFonts w:ascii="Segoe UI" w:hAnsi="Segoe UI" w:cs="Segoe UI"/>
          <w:color w:val="161616"/>
        </w:rPr>
        <w:t> column.</w:t>
      </w:r>
    </w:p>
    <w:p w14:paraId="699CFC1F"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 xml:space="preserve">Consider creating tags with PowerShell or </w:t>
      </w:r>
      <w:proofErr w:type="gramStart"/>
      <w:r>
        <w:rPr>
          <w:rStyle w:val="Strong"/>
          <w:rFonts w:ascii="Segoe UI" w:hAnsi="Segoe UI" w:cs="Segoe UI"/>
          <w:color w:val="161616"/>
        </w:rPr>
        <w:t>the Azure</w:t>
      </w:r>
      <w:proofErr w:type="gramEnd"/>
      <w:r>
        <w:rPr>
          <w:rStyle w:val="Strong"/>
          <w:rFonts w:ascii="Segoe UI" w:hAnsi="Segoe UI" w:cs="Segoe UI"/>
          <w:color w:val="161616"/>
        </w:rPr>
        <w:t xml:space="preserve"> CLI</w:t>
      </w:r>
      <w:r>
        <w:rPr>
          <w:rFonts w:ascii="Segoe UI" w:hAnsi="Segoe UI" w:cs="Segoe UI"/>
          <w:color w:val="161616"/>
        </w:rPr>
        <w:t xml:space="preserve">. Create many resource tags </w:t>
      </w:r>
      <w:proofErr w:type="spellStart"/>
      <w:r>
        <w:rPr>
          <w:rFonts w:ascii="Segoe UI" w:hAnsi="Segoe UI" w:cs="Segoe UI"/>
          <w:color w:val="161616"/>
        </w:rPr>
        <w:t>programatically</w:t>
      </w:r>
      <w:proofErr w:type="spellEnd"/>
      <w:r>
        <w:rPr>
          <w:rFonts w:ascii="Segoe UI" w:hAnsi="Segoe UI" w:cs="Segoe UI"/>
          <w:color w:val="161616"/>
        </w:rPr>
        <w:t xml:space="preserve"> by using Azure PowerShell or the Azure CLI.</w:t>
      </w:r>
    </w:p>
    <w:p w14:paraId="46812ADF" w14:textId="77777777" w:rsidR="004B6626" w:rsidRDefault="004B6626" w:rsidP="004B6626">
      <w:pPr>
        <w:shd w:val="clear" w:color="auto" w:fill="FFFFFF"/>
        <w:rPr>
          <w:rFonts w:ascii="Segoe UI" w:hAnsi="Segoe UI" w:cs="Segoe UI"/>
          <w:color w:val="161616"/>
        </w:rPr>
      </w:pPr>
      <w:r>
        <w:rPr>
          <w:rFonts w:ascii="Segoe UI" w:hAnsi="Segoe UI" w:cs="Segoe UI"/>
          <w:color w:val="161616"/>
        </w:rPr>
        <w:pict w14:anchorId="16A3CF77">
          <v:rect id="_x0000_i1035" style="width:0;height:0" o:hralign="center" o:hrstd="t" o:hr="t" fillcolor="#a0a0a0" stroked="f"/>
        </w:pict>
      </w:r>
    </w:p>
    <w:p w14:paraId="64567F48" w14:textId="77777777" w:rsidR="004B6626" w:rsidRDefault="004B6626" w:rsidP="004B6626">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Apply cost </w:t>
      </w:r>
      <w:proofErr w:type="gramStart"/>
      <w:r>
        <w:rPr>
          <w:rFonts w:ascii="Segoe UI" w:hAnsi="Segoe UI" w:cs="Segoe UI"/>
          <w:color w:val="161616"/>
        </w:rPr>
        <w:t>savings</w:t>
      </w:r>
      <w:proofErr w:type="gramEnd"/>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703A"/>
    <w:multiLevelType w:val="multilevel"/>
    <w:tmpl w:val="69D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332"/>
    <w:multiLevelType w:val="multilevel"/>
    <w:tmpl w:val="2D9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AED"/>
    <w:multiLevelType w:val="multilevel"/>
    <w:tmpl w:val="1DC2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5C2A"/>
    <w:multiLevelType w:val="multilevel"/>
    <w:tmpl w:val="F1E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0782"/>
    <w:multiLevelType w:val="multilevel"/>
    <w:tmpl w:val="6F9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261D6"/>
    <w:multiLevelType w:val="multilevel"/>
    <w:tmpl w:val="48B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6"/>
  </w:num>
  <w:num w:numId="2" w16cid:durableId="79452738">
    <w:abstractNumId w:val="9"/>
  </w:num>
  <w:num w:numId="3" w16cid:durableId="1325474547">
    <w:abstractNumId w:val="15"/>
  </w:num>
  <w:num w:numId="4" w16cid:durableId="808281804">
    <w:abstractNumId w:val="8"/>
  </w:num>
  <w:num w:numId="5" w16cid:durableId="1612738870">
    <w:abstractNumId w:val="16"/>
  </w:num>
  <w:num w:numId="6" w16cid:durableId="1859997940">
    <w:abstractNumId w:val="1"/>
  </w:num>
  <w:num w:numId="7" w16cid:durableId="1027371529">
    <w:abstractNumId w:val="10"/>
  </w:num>
  <w:num w:numId="8" w16cid:durableId="378287038">
    <w:abstractNumId w:val="18"/>
  </w:num>
  <w:num w:numId="9" w16cid:durableId="1068382896">
    <w:abstractNumId w:val="0"/>
  </w:num>
  <w:num w:numId="10" w16cid:durableId="1281037938">
    <w:abstractNumId w:val="17"/>
  </w:num>
  <w:num w:numId="11" w16cid:durableId="1844315609">
    <w:abstractNumId w:val="14"/>
  </w:num>
  <w:num w:numId="12" w16cid:durableId="1527868071">
    <w:abstractNumId w:val="11"/>
  </w:num>
  <w:num w:numId="13" w16cid:durableId="1329092285">
    <w:abstractNumId w:val="13"/>
  </w:num>
  <w:num w:numId="14" w16cid:durableId="704453538">
    <w:abstractNumId w:val="2"/>
  </w:num>
  <w:num w:numId="15" w16cid:durableId="1158813227">
    <w:abstractNumId w:val="5"/>
  </w:num>
  <w:num w:numId="16" w16cid:durableId="773327041">
    <w:abstractNumId w:val="4"/>
  </w:num>
  <w:num w:numId="17" w16cid:durableId="92492018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128505166">
    <w:abstractNumId w:val="3"/>
  </w:num>
  <w:num w:numId="19" w16cid:durableId="275405772">
    <w:abstractNumId w:val="7"/>
  </w:num>
  <w:num w:numId="20" w16cid:durableId="1676348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4B6626"/>
    <w:rsid w:val="00667085"/>
    <w:rsid w:val="007451F5"/>
    <w:rsid w:val="00A52BA8"/>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66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540">
      <w:bodyDiv w:val="1"/>
      <w:marLeft w:val="0"/>
      <w:marRight w:val="0"/>
      <w:marTop w:val="0"/>
      <w:marBottom w:val="0"/>
      <w:divBdr>
        <w:top w:val="none" w:sz="0" w:space="0" w:color="auto"/>
        <w:left w:val="none" w:sz="0" w:space="0" w:color="auto"/>
        <w:bottom w:val="none" w:sz="0" w:space="0" w:color="auto"/>
        <w:right w:val="none" w:sz="0" w:space="0" w:color="auto"/>
      </w:divBdr>
      <w:divsChild>
        <w:div w:id="694775109">
          <w:marLeft w:val="0"/>
          <w:marRight w:val="0"/>
          <w:marTop w:val="0"/>
          <w:marBottom w:val="0"/>
          <w:divBdr>
            <w:top w:val="none" w:sz="0" w:space="0" w:color="auto"/>
            <w:left w:val="none" w:sz="0" w:space="0" w:color="auto"/>
            <w:bottom w:val="none" w:sz="0" w:space="0" w:color="auto"/>
            <w:right w:val="none" w:sz="0" w:space="0" w:color="auto"/>
          </w:divBdr>
          <w:divsChild>
            <w:div w:id="1243680516">
              <w:marLeft w:val="0"/>
              <w:marRight w:val="0"/>
              <w:marTop w:val="0"/>
              <w:marBottom w:val="0"/>
              <w:divBdr>
                <w:top w:val="none" w:sz="0" w:space="0" w:color="auto"/>
                <w:left w:val="none" w:sz="0" w:space="0" w:color="auto"/>
                <w:bottom w:val="none" w:sz="0" w:space="0" w:color="auto"/>
                <w:right w:val="none" w:sz="0" w:space="0" w:color="auto"/>
              </w:divBdr>
            </w:div>
          </w:divsChild>
        </w:div>
        <w:div w:id="1383024239">
          <w:marLeft w:val="0"/>
          <w:marRight w:val="0"/>
          <w:marTop w:val="0"/>
          <w:marBottom w:val="0"/>
          <w:divBdr>
            <w:top w:val="none" w:sz="0" w:space="0" w:color="auto"/>
            <w:left w:val="none" w:sz="0" w:space="0" w:color="auto"/>
            <w:bottom w:val="none" w:sz="0" w:space="0" w:color="auto"/>
            <w:right w:val="none" w:sz="0" w:space="0" w:color="auto"/>
          </w:divBdr>
          <w:divsChild>
            <w:div w:id="465314070">
              <w:marLeft w:val="0"/>
              <w:marRight w:val="0"/>
              <w:marTop w:val="0"/>
              <w:marBottom w:val="0"/>
              <w:divBdr>
                <w:top w:val="none" w:sz="0" w:space="0" w:color="auto"/>
                <w:left w:val="none" w:sz="0" w:space="0" w:color="auto"/>
                <w:bottom w:val="none" w:sz="0" w:space="0" w:color="auto"/>
                <w:right w:val="none" w:sz="0" w:space="0" w:color="auto"/>
              </w:divBdr>
              <w:divsChild>
                <w:div w:id="20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02">
      <w:bodyDiv w:val="1"/>
      <w:marLeft w:val="0"/>
      <w:marRight w:val="0"/>
      <w:marTop w:val="0"/>
      <w:marBottom w:val="0"/>
      <w:divBdr>
        <w:top w:val="none" w:sz="0" w:space="0" w:color="auto"/>
        <w:left w:val="none" w:sz="0" w:space="0" w:color="auto"/>
        <w:bottom w:val="none" w:sz="0" w:space="0" w:color="auto"/>
        <w:right w:val="none" w:sz="0" w:space="0" w:color="auto"/>
      </w:divBdr>
      <w:divsChild>
        <w:div w:id="45833954">
          <w:marLeft w:val="0"/>
          <w:marRight w:val="0"/>
          <w:marTop w:val="0"/>
          <w:marBottom w:val="0"/>
          <w:divBdr>
            <w:top w:val="none" w:sz="0" w:space="0" w:color="auto"/>
            <w:left w:val="none" w:sz="0" w:space="0" w:color="auto"/>
            <w:bottom w:val="none" w:sz="0" w:space="0" w:color="auto"/>
            <w:right w:val="none" w:sz="0" w:space="0" w:color="auto"/>
          </w:divBdr>
          <w:divsChild>
            <w:div w:id="270401956">
              <w:marLeft w:val="0"/>
              <w:marRight w:val="0"/>
              <w:marTop w:val="0"/>
              <w:marBottom w:val="0"/>
              <w:divBdr>
                <w:top w:val="none" w:sz="0" w:space="0" w:color="auto"/>
                <w:left w:val="none" w:sz="0" w:space="0" w:color="auto"/>
                <w:bottom w:val="none" w:sz="0" w:space="0" w:color="auto"/>
                <w:right w:val="none" w:sz="0" w:space="0" w:color="auto"/>
              </w:divBdr>
            </w:div>
          </w:divsChild>
        </w:div>
        <w:div w:id="1688632858">
          <w:marLeft w:val="0"/>
          <w:marRight w:val="0"/>
          <w:marTop w:val="0"/>
          <w:marBottom w:val="0"/>
          <w:divBdr>
            <w:top w:val="none" w:sz="0" w:space="0" w:color="auto"/>
            <w:left w:val="none" w:sz="0" w:space="0" w:color="auto"/>
            <w:bottom w:val="none" w:sz="0" w:space="0" w:color="auto"/>
            <w:right w:val="none" w:sz="0" w:space="0" w:color="auto"/>
          </w:divBdr>
          <w:divsChild>
            <w:div w:id="22020612">
              <w:marLeft w:val="0"/>
              <w:marRight w:val="0"/>
              <w:marTop w:val="0"/>
              <w:marBottom w:val="0"/>
              <w:divBdr>
                <w:top w:val="none" w:sz="0" w:space="0" w:color="auto"/>
                <w:left w:val="none" w:sz="0" w:space="0" w:color="auto"/>
                <w:bottom w:val="none" w:sz="0" w:space="0" w:color="auto"/>
                <w:right w:val="none" w:sz="0" w:space="0" w:color="auto"/>
              </w:divBdr>
              <w:divsChild>
                <w:div w:id="14450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10" Type="http://schemas.openxmlformats.org/officeDocument/2006/relationships/hyperlink" Target="https://learn.microsoft.com/en-us/azure/best-practices-availability-paired-reg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2440</Words>
  <Characters>13909</Characters>
  <Application>Microsoft Office Word</Application>
  <DocSecurity>0</DocSecurity>
  <Lines>115</Lines>
  <Paragraphs>32</Paragraphs>
  <ScaleCrop>false</ScaleCrop>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8</cp:revision>
  <dcterms:created xsi:type="dcterms:W3CDTF">2023-03-26T15:09:00Z</dcterms:created>
  <dcterms:modified xsi:type="dcterms:W3CDTF">2023-04-28T01:10:00Z</dcterms:modified>
</cp:coreProperties>
</file>