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09756E1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9.5pt;height:18pt" o:ole="">
            <v:imagedata r:id="rId6" o:title=""/>
          </v:shape>
          <w:control r:id="rId7" w:name="DefaultOcxName17" w:shapeid="_x0000_i1091"/>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1E4F884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095" type="#_x0000_t75" style="width:49.5pt;height:18pt" o:ole="">
            <v:imagedata r:id="rId8" o:title=""/>
          </v:shape>
          <w:control r:id="rId9" w:name="DefaultOcxName16" w:shapeid="_x0000_i1095"/>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23288C8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099" type="#_x0000_t75" style="width:49.5pt;height:18pt" o:ole="">
            <v:imagedata r:id="rId10" o:title=""/>
          </v:shape>
          <w:control r:id="rId11" w:name="DefaultOcxName21" w:shapeid="_x0000_i1099"/>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6A50C11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03" type="#_x0000_t75" style="width:49.5pt;height:18pt" o:ole="">
            <v:imagedata r:id="rId12" o:title=""/>
          </v:shape>
          <w:control r:id="rId13" w:name="DefaultOcxName" w:shapeid="_x0000_i1103"/>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50DFB8C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07" type="#_x0000_t75" style="width:49.5pt;height:18pt" o:ole="">
            <v:imagedata r:id="rId14" o:title=""/>
          </v:shape>
          <w:control r:id="rId15" w:name="DefaultOcxName1" w:shapeid="_x0000_i1107"/>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47F7D82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11" type="#_x0000_t75" style="width:49.5pt;height:18pt" o:ole="">
            <v:imagedata r:id="rId16" o:title=""/>
          </v:shape>
          <w:control r:id="rId17" w:name="DefaultOcxName2" w:shapeid="_x0000_i1111"/>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46DADAE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15" type="#_x0000_t75" style="width:49.5pt;height:18pt" o:ole="">
            <v:imagedata r:id="rId18" o:title=""/>
          </v:shape>
          <w:control r:id="rId19" w:name="DefaultOcxName3" w:shapeid="_x0000_i1115"/>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5385A4E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19" type="#_x0000_t75" style="width:49.5pt;height:18pt" o:ole="">
            <v:imagedata r:id="rId20" o:title=""/>
          </v:shape>
          <w:control r:id="rId21" w:name="DefaultOcxName4" w:shapeid="_x0000_i1119"/>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5E1CF7F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23" type="#_x0000_t75" style="width:49.5pt;height:18pt" o:ole="">
            <v:imagedata r:id="rId22" o:title=""/>
          </v:shape>
          <w:control r:id="rId23" w:name="DefaultOcxName5" w:shapeid="_x0000_i1123"/>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38CF7C0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27" type="#_x0000_t75" style="width:49.5pt;height:18pt" o:ole="">
            <v:imagedata r:id="rId24" o:title=""/>
          </v:shape>
          <w:control r:id="rId25" w:name="DefaultOcxName6" w:shapeid="_x0000_i1127"/>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453A56B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31" type="#_x0000_t75" style="width:49.5pt;height:18pt" o:ole="">
            <v:imagedata r:id="rId26" o:title=""/>
          </v:shape>
          <w:control r:id="rId27" w:name="DefaultOcxName7" w:shapeid="_x0000_i1131"/>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7EDDC60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35" type="#_x0000_t75" style="width:49.5pt;height:18pt" o:ole="">
            <v:imagedata r:id="rId28" o:title=""/>
          </v:shape>
          <w:control r:id="rId29" w:name="DefaultOcxName8" w:shapeid="_x0000_i1135"/>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3E62E20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39" type="#_x0000_t75" style="width:49.5pt;height:18pt" o:ole="">
            <v:imagedata r:id="rId30" o:title=""/>
          </v:shape>
          <w:control r:id="rId31" w:name="DefaultOcxName9" w:shapeid="_x0000_i1139"/>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1443D7B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43" type="#_x0000_t75" style="width:49.5pt;height:18pt" o:ole="">
            <v:imagedata r:id="rId32" o:title=""/>
          </v:shape>
          <w:control r:id="rId33" w:name="DefaultOcxName10" w:shapeid="_x0000_i1143"/>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2E4F294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47" type="#_x0000_t75" style="width:49.5pt;height:18pt" o:ole="">
            <v:imagedata r:id="rId34" o:title=""/>
          </v:shape>
          <w:control r:id="rId35" w:name="DefaultOcxName11" w:shapeid="_x0000_i1147"/>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52CE0D4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51" type="#_x0000_t75" style="width:49.5pt;height:18pt" o:ole="">
            <v:imagedata r:id="rId36" o:title=""/>
          </v:shape>
          <w:control r:id="rId37" w:name="DefaultOcxName12" w:shapeid="_x0000_i1151"/>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5624CA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55" type="#_x0000_t75" style="width:49.5pt;height:18pt" o:ole="">
            <v:imagedata r:id="rId38" o:title=""/>
          </v:shape>
          <w:control r:id="rId39" w:name="DefaultOcxName13" w:shapeid="_x0000_i1155"/>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4975709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59" type="#_x0000_t75" style="width:49.5pt;height:18pt" o:ole="">
            <v:imagedata r:id="rId40" o:title=""/>
          </v:shape>
          <w:control r:id="rId41" w:name="DefaultOcxName14" w:shapeid="_x0000_i1159"/>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7A2C841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63" type="#_x0000_t75" style="width:49.5pt;height:18pt" o:ole="">
            <v:imagedata r:id="rId42" o:title=""/>
          </v:shape>
          <w:control r:id="rId43" w:name="DefaultOcxName15" w:shapeid="_x0000_i1163"/>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A37ACD"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A37ACD"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726673F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67" type="#_x0000_t75" style="width:49.5pt;height:18pt" o:ole="">
            <v:imagedata r:id="rId49" o:title=""/>
          </v:shape>
          <w:control r:id="rId50" w:name="DefaultOcxName19" w:shapeid="_x0000_i1167"/>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56889E1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73" type="#_x0000_t75" style="width:49.5pt;height:18pt" o:ole="">
            <v:imagedata r:id="rId51" o:title=""/>
          </v:shape>
          <w:control r:id="rId52" w:name="DefaultOcxName18" w:shapeid="_x0000_i1173"/>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A37ACD"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A37ACD"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59BAB6C8"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77" type="#_x0000_t75" style="width:49.5pt;height:18pt" o:ole="">
            <v:imagedata r:id="rId55" o:title=""/>
          </v:shape>
          <w:control r:id="rId56" w:name="DefaultOcxName20" w:shapeid="_x0000_i1177"/>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4B9D5083"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83" type="#_x0000_t75" style="width:49.5pt;height:18pt" o:ole="">
            <v:imagedata r:id="rId57" o:title=""/>
          </v:shape>
          <w:control r:id="rId58" w:name="DefaultOcxName110" w:shapeid="_x0000_i1183"/>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A37ACD"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A37ACD"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7279437A"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87" type="#_x0000_t75" style="width:49.5pt;height:18pt" o:ole="">
            <v:imagedata r:id="rId59" o:title=""/>
          </v:shape>
          <w:control r:id="rId60" w:name="DefaultOcxName22" w:shapeid="_x0000_i1187"/>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5093F1E8"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93" type="#_x0000_t75" style="width:49.5pt;height:18pt" o:ole="">
            <v:imagedata r:id="rId61" o:title=""/>
          </v:shape>
          <w:control r:id="rId62" w:name="DefaultOcxName111" w:shapeid="_x0000_i1193"/>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270D128C"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197" type="#_x0000_t75" style="width:49.5pt;height:18pt" o:ole="">
            <v:imagedata r:id="rId66" o:title=""/>
          </v:shape>
          <w:control r:id="rId67" w:name="DefaultOcxName24" w:shapeid="_x0000_i1197"/>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0902105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01" type="#_x0000_t75" style="width:49.5pt;height:18pt" o:ole="">
            <v:imagedata r:id="rId68" o:title=""/>
          </v:shape>
          <w:control r:id="rId69" w:name="DefaultOcxName112" w:shapeid="_x0000_i1201"/>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1DDB898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05" type="#_x0000_t75" style="width:49.5pt;height:18pt" o:ole="">
            <v:imagedata r:id="rId70" o:title=""/>
          </v:shape>
          <w:control r:id="rId71" w:name="DefaultOcxName23" w:shapeid="_x0000_i1205"/>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0E8A50AE"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09" type="#_x0000_t75" style="width:49.5pt;height:18pt" o:ole="">
            <v:imagedata r:id="rId72" o:title=""/>
          </v:shape>
          <w:control r:id="rId73" w:name="DefaultOcxName25" w:shapeid="_x0000_i1209"/>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A37ACD">
        <w:rPr>
          <w:rFonts w:ascii="Ubuntu" w:eastAsia="Times New Roman" w:hAnsi="Ubuntu" w:cs="Times New Roman"/>
          <w:color w:val="212529"/>
          <w:kern w:val="0"/>
          <w:sz w:val="24"/>
          <w:szCs w:val="24"/>
          <w14:ligatures w14:val="none"/>
        </w:rPr>
        <w:t>responded</w:t>
      </w:r>
      <w:proofErr w:type="gramEnd"/>
      <w:r w:rsidRPr="00A37ACD">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A37ACD">
        <w:rPr>
          <w:rFonts w:ascii="Ubuntu" w:eastAsia="Times New Roman" w:hAnsi="Ubuntu" w:cs="Times New Roman"/>
          <w:color w:val="212529"/>
          <w:kern w:val="0"/>
          <w:sz w:val="24"/>
          <w:szCs w:val="24"/>
          <w14:ligatures w14:val="none"/>
        </w:rPr>
        <w:t>hypen</w:t>
      </w:r>
      <w:proofErr w:type="spellEnd"/>
      <w:r w:rsidRPr="00A37ACD">
        <w:rPr>
          <w:rFonts w:ascii="Ubuntu" w:eastAsia="Times New Roman" w:hAnsi="Ubuntu" w:cs="Times New Roman"/>
          <w:color w:val="212529"/>
          <w:kern w:val="0"/>
          <w:sz w:val="24"/>
          <w:szCs w:val="24"/>
          <w14:ligatures w14:val="none"/>
        </w:rPr>
        <w:t xml:space="preserve">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xml:space="preserve">) or CIDR notation. </w:t>
      </w:r>
      <w:proofErr w:type="gramStart"/>
      <w:r w:rsidRPr="00A37ACD">
        <w:rPr>
          <w:rFonts w:ascii="Ubuntu" w:eastAsia="Times New Roman" w:hAnsi="Ubuntu" w:cs="Times New Roman"/>
          <w:color w:val="212529"/>
          <w:kern w:val="0"/>
          <w:sz w:val="24"/>
          <w:szCs w:val="24"/>
          <w14:ligatures w14:val="none"/>
        </w:rPr>
        <w:t>i.e.</w:t>
      </w:r>
      <w:proofErr w:type="gramEnd"/>
      <w:r w:rsidRPr="00A37ACD">
        <w:rPr>
          <w:rFonts w:ascii="Ubuntu" w:eastAsia="Times New Roman" w:hAnsi="Ubuntu" w:cs="Times New Roman"/>
          <w:color w:val="212529"/>
          <w:kern w:val="0"/>
          <w:sz w:val="24"/>
          <w:szCs w:val="24"/>
          <w14:ligatures w14:val="none"/>
        </w:rPr>
        <w:t xml:space="preserv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A37ACD">
        <w:rPr>
          <w:rFonts w:ascii="Ubuntu" w:eastAsia="Times New Roman" w:hAnsi="Ubuntu" w:cs="Times New Roman"/>
          <w:color w:val="212529"/>
          <w:kern w:val="0"/>
          <w:sz w:val="24"/>
          <w:szCs w:val="24"/>
          <w14:ligatures w14:val="none"/>
        </w:rPr>
        <w:t>sudo</w:t>
      </w:r>
      <w:proofErr w:type="spellEnd"/>
      <w:r w:rsidRPr="00A37ACD">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will also cause </w:t>
      </w:r>
      <w:proofErr w:type="spellStart"/>
      <w:r w:rsidRPr="00A37ACD">
        <w:rPr>
          <w:rFonts w:ascii="Ubuntu" w:eastAsia="Times New Roman" w:hAnsi="Ubuntu" w:cs="Times New Roman"/>
          <w:color w:val="212529"/>
          <w:kern w:val="0"/>
          <w:sz w:val="24"/>
          <w:szCs w:val="24"/>
          <w14:ligatures w14:val="none"/>
        </w:rPr>
        <w:t>nmap</w:t>
      </w:r>
      <w:proofErr w:type="spellEnd"/>
      <w:r w:rsidRPr="00A37ACD">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 xml:space="preserve">Answer the questions </w:t>
      </w:r>
      <w:proofErr w:type="gramStart"/>
      <w:r w:rsidRPr="00A37ACD">
        <w:rPr>
          <w:rFonts w:ascii="Ubuntu" w:eastAsia="Times New Roman" w:hAnsi="Ubuntu" w:cs="Times New Roman"/>
          <w:b/>
          <w:bCs/>
          <w:i/>
          <w:iCs/>
          <w:color w:val="212529"/>
          <w:kern w:val="0"/>
          <w:sz w:val="27"/>
          <w:szCs w:val="27"/>
          <w14:ligatures w14:val="none"/>
        </w:rPr>
        <w:t>below</w:t>
      </w:r>
      <w:proofErr w:type="gramEnd"/>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3F42D1F0"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13" type="#_x0000_t75" style="width:42pt;height:18pt" o:ole="">
            <v:imagedata r:id="rId74" o:title=""/>
          </v:shape>
          <w:control r:id="rId75" w:name="DefaultOcxName26" w:shapeid="_x0000_i1213"/>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7"/>
  </w:num>
  <w:num w:numId="3" w16cid:durableId="1371611274">
    <w:abstractNumId w:val="4"/>
  </w:num>
  <w:num w:numId="4" w16cid:durableId="2020962319">
    <w:abstractNumId w:val="3"/>
  </w:num>
  <w:num w:numId="5" w16cid:durableId="935789169">
    <w:abstractNumId w:val="0"/>
  </w:num>
  <w:num w:numId="6" w16cid:durableId="155612666">
    <w:abstractNumId w:val="8"/>
  </w:num>
  <w:num w:numId="7" w16cid:durableId="980227457">
    <w:abstractNumId w:val="2"/>
  </w:num>
  <w:num w:numId="8" w16cid:durableId="1300694386">
    <w:abstractNumId w:val="6"/>
  </w:num>
  <w:num w:numId="9" w16cid:durableId="617837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4145AE"/>
    <w:rsid w:val="00502871"/>
    <w:rsid w:val="00615F1A"/>
    <w:rsid w:val="00667085"/>
    <w:rsid w:val="00A37ACD"/>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16" Type="http://schemas.openxmlformats.org/officeDocument/2006/relationships/image" Target="media/image7.wmf"/><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control" Target="activeX/activeX23.xml"/><Relationship Id="rId66" Type="http://schemas.openxmlformats.org/officeDocument/2006/relationships/image" Target="media/image35.wmf"/><Relationship Id="rId74" Type="http://schemas.openxmlformats.org/officeDocument/2006/relationships/image" Target="media/image39.wmf"/><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75"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6"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28.xml"/><Relationship Id="rId2" Type="http://schemas.openxmlformats.org/officeDocument/2006/relationships/styles" Target="styles.xml"/><Relationship Id="rId2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3435</Words>
  <Characters>19583</Characters>
  <Application>Microsoft Office Word</Application>
  <DocSecurity>0</DocSecurity>
  <Lines>163</Lines>
  <Paragraphs>45</Paragraphs>
  <ScaleCrop>false</ScaleCrop>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8</cp:revision>
  <dcterms:created xsi:type="dcterms:W3CDTF">2023-05-20T13:14:00Z</dcterms:created>
  <dcterms:modified xsi:type="dcterms:W3CDTF">2023-06-12T21:52:00Z</dcterms:modified>
</cp:coreProperties>
</file>