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0" w:before="100"/>
      </w:pPr>
      <w:r>
        <w:t xml:space="preserve"/>
      </w:r>
    </w:p>
    <w:p>
      <w:pPr>
        <w:spacing w:after="0" w:before="100"/>
      </w:pPr>
      <w:r>
        <w:t xml:space="preserve"/>
      </w:r>
    </w:p>
    <w:p>
      <w:pPr>
        <w:spacing w:after="0" w:before="100"/>
      </w:pPr>
      <w:r>
        <w:t xml:space="preserve"/>
      </w:r>
    </w:p>
    <w:p>
      <w:pPr>
        <w:spacing w:after="200" w:before="0"/>
        <w:jc w:val="center"/>
      </w:pPr>
      <w:r>
        <w:rPr>
          <w:b/>
          <w:bCs/>
          <w:color w:val="1B4F8A"/>
          <w:sz w:val="72"/>
          <w:szCs w:val="72"/>
        </w:rPr>
        <w:t xml:space="preserve">LAPD Crime Data Analysis</w:t>
      </w:r>
    </w:p>
    <w:p>
      <w:pPr>
        <w:spacing w:after="200" w:before="0"/>
        <w:jc w:val="center"/>
      </w:pPr>
      <w:r>
        <w:rPr>
          <w:color w:val="666666"/>
          <w:sz w:val="48"/>
          <w:szCs w:val="48"/>
        </w:rPr>
        <w:t xml:space="preserve">2010 – 2024</w:t>
      </w:r>
    </w:p>
    <w:p>
      <w:pPr>
        <w:spacing w:after="600" w:before="200"/>
        <w:jc w:val="center"/>
      </w:pPr>
      <w:r>
        <w:rPr>
          <w:color w:val="1A1A1A"/>
          <w:sz w:val="28"/>
          <w:szCs w:val="28"/>
        </w:rPr>
        <w:t xml:space="preserve">A Data-Driven Assessment of Crime Patterns, Victim Profiles, and Predictive Insights</w:t>
      </w:r>
    </w:p>
    <w:p>
      <w:pPr>
        <w:spacing w:after="80" w:before="0"/>
        <w:jc w:val="center"/>
      </w:pPr>
      <w:r>
        <w:rPr>
          <w:color w:val="666666"/>
          <w:sz w:val="20"/>
          <w:szCs w:val="20"/>
        </w:rPr>
        <w:t xml:space="preserve">Prepared by: Eca  |  Freelance Data Analyst</w:t>
      </w:r>
    </w:p>
    <w:p>
      <w:pPr>
        <w:spacing w:after="800" w:before="0"/>
        <w:jc w:val="center"/>
      </w:pPr>
      <w:r>
        <w:rPr>
          <w:color w:val="666666"/>
          <w:sz w:val="20"/>
          <w:szCs w:val="20"/>
        </w:rPr>
        <w:t xml:space="preserve">Date: July 2026  |  PACE Framework — Portfolio Project</w:t>
      </w:r>
    </w:p>
    <w:p>
      <w:r>
        <w:br w:type="page"/>
      </w:r>
    </w:p>
    <w:p>
      <w:pPr>
        <w:shd w:fill="1B4F8A" w:val="clear"/>
        <w:spacing w:after="200" w:before="300"/>
        <w:ind w:left="200" w:right="200"/>
      </w:pPr>
      <w:r>
        <w:rPr>
          <w:b/>
          <w:bCs/>
          <w:color w:val="FFFFFF"/>
          <w:sz w:val="18"/>
          <w:szCs w:val="18"/>
        </w:rPr>
        <w:t xml:space="preserve">01</w:t>
      </w:r>
    </w:p>
    <w:p>
      <w:pPr>
        <w:spacing w:after="200" w:before="400"/>
      </w:pPr>
      <w:r>
        <w:rPr>
          <w:b/>
          <w:bCs/>
          <w:color w:val="1B4F8A"/>
          <w:sz w:val="36"/>
          <w:szCs w:val="36"/>
        </w:rPr>
        <w:t xml:space="preserve">Executive Summary</w:t>
      </w:r>
    </w:p>
    <w:p>
      <w:pPr>
        <w:spacing w:after="80" w:before="80"/>
        <w:jc w:val="both"/>
      </w:pPr>
      <w:r>
        <w:rPr>
          <w:color w:val="1A1A1A"/>
          <w:sz w:val="20"/>
          <w:szCs w:val="20"/>
        </w:rPr>
        <w:t xml:space="preserve">This report presents a comprehensive data analysis of 3,079,424 crime records registered by the Los Angeles Police Department (LAPD) between January 2010 and December 2024. The analysis covers crime trends, victim demographics, domestic violence patterns, firearm-related offenses, response effectiveness, geospatial hotspot identification, and predictive modelling.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TOTAL RECORDS</w:t>
            </w:r>
          </w:p>
          <w:p>
            <w:pPr>
              <w:spacing w:after="40" w:before="0"/>
            </w:pPr>
            <w:r>
              <w:rPr>
                <w:b/>
                <w:bCs/>
                <w:color w:val="1B4F8A"/>
                <w:sz w:val="44"/>
                <w:szCs w:val="44"/>
              </w:rPr>
              <w:t xml:space="preserve">3.08M</w:t>
            </w:r>
          </w:p>
          <w:p>
            <w:pPr>
              <w:spacing w:after="100" w:before="0"/>
            </w:pPr>
            <w:r>
              <w:rPr>
                <w:color w:val="666666"/>
                <w:sz w:val="16"/>
                <w:szCs w:val="16"/>
              </w:rPr>
              <w:t xml:space="preserve">15 years · 21 LAPD areas · 143 crime types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DOMESTIC CRIMES</w:t>
            </w:r>
          </w:p>
          <w:p>
            <w:pPr>
              <w:spacing w:after="40" w:before="0"/>
            </w:pPr>
            <w:r>
              <w:rPr>
                <w:b/>
                <w:bCs/>
                <w:color w:val="1B4F8A"/>
                <w:sz w:val="44"/>
                <w:szCs w:val="44"/>
              </w:rPr>
              <w:t xml:space="preserve">7.3%</w:t>
            </w:r>
          </w:p>
          <w:p>
            <w:pPr>
              <w:spacing w:after="100" w:before="0"/>
            </w:pPr>
            <w:r>
              <w:rPr>
                <w:color w:val="666666"/>
                <w:sz w:val="16"/>
                <w:szCs w:val="16"/>
              </w:rPr>
              <w:t xml:space="preserve">Lower bound — approximately 48% of domestic violence cases go unreported nationally (BJS, NCVS 2019)</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HOTSPOT COVERAGE</w:t>
            </w:r>
          </w:p>
          <w:p>
            <w:pPr>
              <w:spacing w:after="40" w:before="0"/>
            </w:pPr>
            <w:r>
              <w:rPr>
                <w:b/>
                <w:bCs/>
                <w:color w:val="1B4F8A"/>
                <w:sz w:val="44"/>
                <w:szCs w:val="44"/>
              </w:rPr>
              <w:t xml:space="preserve">32.9%</w:t>
            </w:r>
          </w:p>
          <w:p>
            <w:pPr>
              <w:spacing w:after="100" w:before="0"/>
            </w:pPr>
            <w:r>
              <w:rPr>
                <w:color w:val="666666"/>
                <w:sz w:val="16"/>
                <w:szCs w:val="16"/>
              </w:rPr>
              <w:t xml:space="preserve">32.9% of person crimes concentrated in the top 5% of geographic grid cells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FORECAST MAPE</w:t>
            </w:r>
          </w:p>
          <w:p>
            <w:pPr>
              <w:spacing w:after="40" w:before="0"/>
            </w:pPr>
            <w:r>
              <w:rPr>
                <w:b/>
                <w:bCs/>
                <w:color w:val="1B4F8A"/>
                <w:sz w:val="44"/>
                <w:szCs w:val="44"/>
              </w:rPr>
              <w:t xml:space="preserve">10.7%</w:t>
            </w:r>
          </w:p>
          <w:p>
            <w:pPr>
              <w:spacing w:after="100" w:before="0"/>
            </w:pPr>
            <w:r>
              <w:rPr>
                <w:color w:val="666666"/>
                <w:sz w:val="16"/>
                <w:szCs w:val="16"/>
              </w:rPr>
              <w:t xml:space="preserve">Average daily crime forecast error: 10.74% — Prophet model validated on full year 2023</w:t>
            </w:r>
          </w:p>
        </w:tc>
      </w:tr>
    </w:tbl>
    <w:p>
      <w:pPr>
        <w:spacing w:after="0" w:before="100"/>
      </w:pPr>
      <w:r>
        <w:t xml:space="preserve"/>
      </w:r>
    </w:p>
    <w:p>
      <w:pPr>
        <w:spacing w:after="80" w:before="80"/>
        <w:jc w:val="both"/>
      </w:pPr>
      <w:r>
        <w:rPr>
          <w:color w:val="1A1A1A"/>
          <w:sz w:val="20"/>
          <w:szCs w:val="20"/>
        </w:rPr>
        <w:t xml:space="preserve">Key findings: property crimes represent 63% of all recorded offenses and have a clearance rate of just 9%, compared to 45% for crimes against persons. The south-central Los Angeles area (77th Street, Southeast, Southwest divisions) consistently emerges as the highest-concentration zone across all crime categories. Domestic violence disproportionately affects women (75.8% of victims) and children (10.4% of domestic crime victims vs. 1.8% in the general dataset). Hand guns account for 46% of all firearm-related offenses, with a marked acceleration observed post-2020.</w:t>
      </w:r>
    </w:p>
    <w:p>
      <w:r>
        <w:br w:type="page"/>
      </w:r>
    </w:p>
    <w:p>
      <w:pPr>
        <w:shd w:fill="1B4F8A" w:val="clear"/>
        <w:spacing w:after="200" w:before="300"/>
        <w:ind w:left="200" w:right="200"/>
      </w:pPr>
      <w:r>
        <w:rPr>
          <w:b/>
          <w:bCs/>
          <w:color w:val="FFFFFF"/>
          <w:sz w:val="18"/>
          <w:szCs w:val="18"/>
        </w:rPr>
        <w:t xml:space="preserve">02</w:t>
      </w:r>
    </w:p>
    <w:p>
      <w:pPr>
        <w:spacing w:after="200" w:before="400"/>
      </w:pPr>
      <w:r>
        <w:rPr>
          <w:b/>
          <w:bCs/>
          <w:color w:val="1B4F8A"/>
          <w:sz w:val="36"/>
          <w:szCs w:val="36"/>
        </w:rPr>
        <w:t xml:space="preserve">Project Scope</w:t>
      </w:r>
    </w:p>
    <w:p>
      <w:pPr>
        <w:spacing w:after="80" w:before="80"/>
        <w:jc w:val="both"/>
      </w:pPr>
      <w:r>
        <w:rPr>
          <w:color w:val="1A1A1A"/>
          <w:sz w:val="20"/>
          <w:szCs w:val="20"/>
        </w:rPr>
        <w:t xml:space="preserve">This analysis examines publicly available LAPD crime report data to identify structural patterns, demographic disparities, and geographic concentrations of criminal activity across Los Angeles. The work follows the PACE analytical framework (Plan, Analyze, Construct, Execute) and was conducted as an independent portfolio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50"/>
              <w:left w:type="dxa" w:w="250"/>
              <w:bottom w:type="dxa" w:w="150"/>
              <w:right w:type="dxa" w:w="250"/>
            </w:tcMar>
          </w:tcPr>
          <w:p>
            <w:pPr>
              <w:spacing w:after="80" w:before="80"/>
            </w:pPr>
            <w:r>
              <w:rPr>
                <w:b/>
                <w:bCs/>
                <w:color w:val="1B4F8A"/>
                <w:sz w:val="16"/>
                <w:szCs w:val="16"/>
              </w:rPr>
              <w:t xml:space="preserve">IN SCOPE</w:t>
            </w:r>
          </w:p>
          <w:p>
            <w:pPr>
              <w:spacing w:after="120" w:before="80"/>
            </w:pPr>
            <w:r>
              <w:rPr>
                <w:b/>
                <w:bCs/>
                <w:sz w:val="20"/>
                <w:szCs w:val="20"/>
              </w:rPr>
              <w:t xml:space="preserve">What this report covers</w:t>
            </w:r>
          </w:p>
          <w:p>
            <w:pPr>
              <w:spacing w:after="60" w:before="60"/>
              <w:ind w:left="360"/>
            </w:pPr>
            <w:r>
              <w:rPr>
                <w:color w:val="1A1A1A"/>
                <w:sz w:val="20"/>
                <w:szCs w:val="20"/>
              </w:rPr>
              <w:t xml:space="preserve">• Crime trend analysis (2010–2024)</w:t>
            </w:r>
          </w:p>
          <w:p>
            <w:pPr>
              <w:spacing w:after="60" w:before="60"/>
              <w:ind w:left="360"/>
            </w:pPr>
            <w:r>
              <w:rPr>
                <w:color w:val="1A1A1A"/>
                <w:sz w:val="20"/>
                <w:szCs w:val="20"/>
              </w:rPr>
              <w:t xml:space="preserve">• Victim demographic profiling (sex, age, ethnicity)</w:t>
            </w:r>
          </w:p>
          <w:p>
            <w:pPr>
              <w:spacing w:after="60" w:before="60"/>
              <w:ind w:left="360"/>
            </w:pPr>
            <w:r>
              <w:rPr>
                <w:color w:val="1A1A1A"/>
                <w:sz w:val="20"/>
                <w:szCs w:val="20"/>
              </w:rPr>
              <w:t xml:space="preserve">• Domestic violence and child safety deep-dive</w:t>
            </w:r>
          </w:p>
          <w:p>
            <w:pPr>
              <w:spacing w:after="60" w:before="60"/>
              <w:ind w:left="360"/>
            </w:pPr>
            <w:r>
              <w:rPr>
                <w:color w:val="1A1A1A"/>
                <w:sz w:val="20"/>
                <w:szCs w:val="20"/>
              </w:rPr>
              <w:t xml:space="preserve">• Firearm-related crime analysis</w:t>
            </w:r>
          </w:p>
          <w:p>
            <w:pPr>
              <w:spacing w:after="60" w:before="60"/>
              <w:ind w:left="360"/>
            </w:pPr>
            <w:r>
              <w:rPr>
                <w:color w:val="1A1A1A"/>
                <w:sz w:val="20"/>
                <w:szCs w:val="20"/>
              </w:rPr>
              <w:t xml:space="preserve">• Clearance rate and report delay assessment</w:t>
            </w:r>
          </w:p>
          <w:p>
            <w:pPr>
              <w:spacing w:after="60" w:before="60"/>
              <w:ind w:left="360"/>
            </w:pPr>
            <w:r>
              <w:rPr>
                <w:color w:val="1A1A1A"/>
                <w:sz w:val="20"/>
                <w:szCs w:val="20"/>
              </w:rPr>
              <w:t xml:space="preserve">• Geospatial hotspot identification and persistence</w:t>
            </w:r>
          </w:p>
          <w:p>
            <w:pPr>
              <w:spacing w:after="60" w:before="60"/>
              <w:ind w:left="360"/>
            </w:pPr>
            <w:r>
              <w:rPr>
                <w:color w:val="1A1A1A"/>
                <w:sz w:val="20"/>
                <w:szCs w:val="20"/>
              </w:rPr>
              <w:t xml:space="preserve">• Predictive models: daily crime forecast and clearance classifier</w:t>
            </w:r>
          </w:p>
        </w:tc>
        <w:tc>
          <w:tcPr>
            <w:tcW w:type="dxa" w:w="4680"/>
            <w:shd w:fill="FEF9F9" w:val="clear"/>
            <w:tcMar>
              <w:top w:type="dxa" w:w="150"/>
              <w:left w:type="dxa" w:w="250"/>
              <w:bottom w:type="dxa" w:w="150"/>
              <w:right w:type="dxa" w:w="250"/>
            </w:tcMar>
          </w:tcPr>
          <w:p>
            <w:pPr>
              <w:spacing w:after="80" w:before="80"/>
            </w:pPr>
            <w:r>
              <w:rPr>
                <w:b/>
                <w:bCs/>
                <w:color w:val="C0392B"/>
                <w:sz w:val="16"/>
                <w:szCs w:val="16"/>
              </w:rPr>
              <w:t xml:space="preserve">OUT OF SCOPE</w:t>
            </w:r>
          </w:p>
          <w:p>
            <w:pPr>
              <w:spacing w:after="120" w:before="80"/>
            </w:pPr>
            <w:r>
              <w:rPr>
                <w:b/>
                <w:bCs/>
                <w:sz w:val="20"/>
                <w:szCs w:val="20"/>
              </w:rPr>
              <w:t xml:space="preserve">What this report does not cover</w:t>
            </w:r>
          </w:p>
          <w:p>
            <w:pPr>
              <w:spacing w:after="60" w:before="60"/>
              <w:ind w:left="360"/>
            </w:pPr>
            <w:r>
              <w:rPr>
                <w:color w:val="1A1A1A"/>
                <w:sz w:val="20"/>
                <w:szCs w:val="20"/>
              </w:rPr>
              <w:t xml:space="preserve">• Individual-level victim identification or tracking</w:t>
            </w:r>
          </w:p>
          <w:p>
            <w:pPr>
              <w:spacing w:after="60" w:before="60"/>
              <w:ind w:left="360"/>
            </w:pPr>
            <w:r>
              <w:rPr>
                <w:color w:val="1A1A1A"/>
                <w:sz w:val="20"/>
                <w:szCs w:val="20"/>
              </w:rPr>
              <w:t xml:space="preserve">• Suspect demographic profiling</w:t>
            </w:r>
          </w:p>
          <w:p>
            <w:pPr>
              <w:spacing w:after="60" w:before="60"/>
              <w:ind w:left="360"/>
            </w:pPr>
            <w:r>
              <w:rPr>
                <w:color w:val="1A1A1A"/>
                <w:sz w:val="20"/>
                <w:szCs w:val="20"/>
              </w:rPr>
              <w:t xml:space="preserve">• Socioeconomic or population-normalised rates (population data not available)</w:t>
            </w:r>
          </w:p>
          <w:p>
            <w:pPr>
              <w:spacing w:after="60" w:before="60"/>
              <w:ind w:left="360"/>
            </w:pPr>
            <w:r>
              <w:rPr>
                <w:color w:val="1A1A1A"/>
                <w:sz w:val="20"/>
                <w:szCs w:val="20"/>
              </w:rPr>
              <w:t xml:space="preserve">• Crimes outside LAPD jurisdiction</w:t>
            </w:r>
          </w:p>
          <w:p>
            <w:pPr>
              <w:spacing w:after="60" w:before="60"/>
              <w:ind w:left="360"/>
            </w:pPr>
            <w:r>
              <w:rPr>
                <w:color w:val="1A1A1A"/>
                <w:sz w:val="20"/>
                <w:szCs w:val="20"/>
              </w:rPr>
              <w:t xml:space="preserve">• Real-time or near-real-time crime monitoring</w:t>
            </w:r>
          </w:p>
        </w:tc>
      </w:tr>
    </w:tbl>
    <w:p>
      <w:pPr>
        <w:spacing w:after="0" w:before="100"/>
      </w:pPr>
      <w:r>
        <w:t xml:space="preserve"/>
      </w:r>
    </w:p>
    <w:p>
      <w:pPr>
        <w:spacing w:after="150" w:before="300"/>
      </w:pPr>
      <w:r>
        <w:rPr>
          <w:b/>
          <w:bCs/>
          <w:color w:val="1B4F8A"/>
          <w:sz w:val="26"/>
          <w:szCs w:val="26"/>
        </w:rPr>
        <w:t xml:space="preserve">Objectives</w:t>
      </w:r>
    </w:p>
    <w:p>
      <w:pPr>
        <w:spacing w:after="60" w:before="80"/>
        <w:ind w:left="200"/>
      </w:pPr>
      <w:r>
        <w:rPr>
          <w:sz w:val="20"/>
          <w:szCs w:val="20"/>
        </w:rPr>
        <w:t xml:space="preserve">1.  Identify structural crime patterns and temporal trends across 15 years of LAPD data.</w:t>
      </w:r>
    </w:p>
    <w:p>
      <w:pPr>
        <w:spacing w:after="60" w:before="60"/>
        <w:ind w:left="200"/>
      </w:pPr>
      <w:r>
        <w:rPr>
          <w:sz w:val="20"/>
          <w:szCs w:val="20"/>
        </w:rPr>
        <w:t xml:space="preserve">2.  Profile victim demographics (sex, age, ethnicity) and identify population segments disproportionately affected by specific crime categories.</w:t>
      </w:r>
    </w:p>
    <w:p>
      <w:pPr>
        <w:spacing w:after="60" w:before="60"/>
        <w:ind w:left="200"/>
      </w:pPr>
      <w:r>
        <w:rPr>
          <w:sz w:val="20"/>
          <w:szCs w:val="20"/>
        </w:rPr>
        <w:t xml:space="preserve">3.  Map crime hotspots and validate their statistical significance.</w:t>
      </w:r>
    </w:p>
    <w:p>
      <w:pPr>
        <w:spacing w:after="80" w:before="60"/>
        <w:ind w:left="200"/>
      </w:pPr>
      <w:r>
        <w:rPr>
          <w:sz w:val="20"/>
          <w:szCs w:val="20"/>
        </w:rPr>
        <w:t xml:space="preserve">4.  Build predictive models to support resource allocation and case prioritisation.</w:t>
      </w:r>
    </w:p>
    <w:p>
      <w:r>
        <w:br w:type="page"/>
      </w:r>
    </w:p>
    <w:p>
      <w:pPr>
        <w:shd w:fill="1B4F8A" w:val="clear"/>
        <w:spacing w:after="200" w:before="300"/>
        <w:ind w:left="200" w:right="200"/>
      </w:pPr>
      <w:r>
        <w:rPr>
          <w:b/>
          <w:bCs/>
          <w:color w:val="FFFFFF"/>
          <w:sz w:val="18"/>
          <w:szCs w:val="18"/>
        </w:rPr>
        <w:t xml:space="preserve">03</w:t>
      </w:r>
    </w:p>
    <w:p>
      <w:pPr>
        <w:spacing w:after="200" w:before="400"/>
      </w:pPr>
      <w:r>
        <w:rPr>
          <w:b/>
          <w:bCs/>
          <w:color w:val="1B4F8A"/>
          <w:sz w:val="36"/>
          <w:szCs w:val="36"/>
        </w:rPr>
        <w:t xml:space="preserve">Data Overview</w:t>
      </w:r>
    </w:p>
    <w:p>
      <w:pPr>
        <w:spacing w:after="150" w:before="300"/>
      </w:pPr>
      <w:r>
        <w:rPr>
          <w:b/>
          <w:bCs/>
          <w:color w:val="1B4F8A"/>
          <w:sz w:val="26"/>
          <w:szCs w:val="26"/>
        </w:rPr>
        <w:t xml:space="preserve">Source</w:t>
      </w:r>
    </w:p>
    <w:p>
      <w:pPr>
        <w:spacing w:after="80" w:before="80"/>
        <w:jc w:val="both"/>
      </w:pPr>
      <w:r>
        <w:rPr>
          <w:color w:val="1A1A1A"/>
          <w:sz w:val="20"/>
          <w:szCs w:val="20"/>
        </w:rPr>
        <w:t xml:space="preserve">Data sourced from the Los Angeles Open Data Portal (data.lacity.org). Two datasets were merged: Crime Data from 2010 to 2019 and Crime Data from 2020 to Present, covering a total of 3,138,031 raw records before cleaning.</w:t>
      </w:r>
    </w:p>
    <w:p>
      <w:pPr>
        <w:spacing w:after="0" w:before="100"/>
      </w:pPr>
      <w:r>
        <w:t xml:space="preserve"/>
      </w:r>
    </w:p>
    <w:p>
      <w:pPr>
        <w:spacing w:after="150" w:before="300"/>
      </w:pPr>
      <w:r>
        <w:rPr>
          <w:b/>
          <w:bCs/>
          <w:color w:val="1B4F8A"/>
          <w:sz w:val="26"/>
          <w:szCs w:val="26"/>
        </w:rPr>
        <w:t xml:space="preserve">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Records (raw)</w:t>
            </w:r>
          </w:p>
        </w:tc>
        <w:tc>
          <w:tcPr>
            <w:tcW w:type="dxa" w:w="1800"/>
            <w:shd w:fill="F5F5F5" w:val="clear"/>
            <w:tcMar>
              <w:top w:type="dxa" w:w="60"/>
              <w:left w:type="dxa" w:w="150"/>
              <w:bottom w:type="dxa" w:w="60"/>
              <w:right w:type="dxa" w:w="150"/>
            </w:tcMar>
          </w:tcPr>
          <w:p>
            <w:r>
              <w:rPr>
                <w:sz w:val="18"/>
                <w:szCs w:val="18"/>
              </w:rPr>
              <w:t xml:space="preserve">3,138,031</w:t>
            </w:r>
          </w:p>
        </w:tc>
        <w:tc>
          <w:tcPr>
            <w:tcW w:type="dxa" w:w="5560"/>
            <w:shd w:fill="F5F5F5" w:val="clear"/>
            <w:tcMar>
              <w:top w:type="dxa" w:w="60"/>
              <w:left w:type="dxa" w:w="150"/>
              <w:bottom w:type="dxa" w:w="60"/>
              <w:right w:type="dxa" w:w="150"/>
            </w:tcMar>
          </w:tcPr>
          <w:p>
            <w:r>
              <w:rPr>
                <w:sz w:val="18"/>
                <w:szCs w:val="18"/>
              </w:rPr>
              <w:t xml:space="preserve">Combined from two CSV files (2010–2019 and 2020–2024)</w:t>
            </w:r>
          </w:p>
        </w:tc>
      </w:tr>
      <w:tr>
        <w:tc>
          <w:tcPr>
            <w:tcW w:type="dxa" w:w="2000"/>
            <w:shd w:fill="FFFFFF" w:val="clear"/>
            <w:tcMar>
              <w:top w:type="dxa" w:w="60"/>
              <w:left w:type="dxa" w:w="150"/>
              <w:bottom w:type="dxa" w:w="60"/>
              <w:right w:type="dxa" w:w="150"/>
            </w:tcMar>
          </w:tcPr>
          <w:p>
            <w:r>
              <w:rPr>
                <w:sz w:val="18"/>
                <w:szCs w:val="18"/>
              </w:rPr>
              <w:t xml:space="preserve">Records (clean)</w:t>
            </w:r>
          </w:p>
        </w:tc>
        <w:tc>
          <w:tcPr>
            <w:tcW w:type="dxa" w:w="1800"/>
            <w:shd w:fill="FFFFFF" w:val="clear"/>
            <w:tcMar>
              <w:top w:type="dxa" w:w="60"/>
              <w:left w:type="dxa" w:w="150"/>
              <w:bottom w:type="dxa" w:w="60"/>
              <w:right w:type="dxa" w:w="150"/>
            </w:tcMar>
          </w:tcPr>
          <w:p>
            <w:r>
              <w:rPr>
                <w:sz w:val="18"/>
                <w:szCs w:val="18"/>
              </w:rPr>
              <w:t xml:space="preserve">3,079,424</w:t>
            </w:r>
          </w:p>
        </w:tc>
        <w:tc>
          <w:tcPr>
            <w:tcW w:type="dxa" w:w="5560"/>
            <w:shd w:fill="FFFFFF" w:val="clear"/>
            <w:tcMar>
              <w:top w:type="dxa" w:w="60"/>
              <w:left w:type="dxa" w:w="150"/>
              <w:bottom w:type="dxa" w:w="60"/>
              <w:right w:type="dxa" w:w="150"/>
            </w:tcMar>
          </w:tcPr>
          <w:p>
            <w:r>
              <w:rPr>
                <w:sz w:val="18"/>
                <w:szCs w:val="18"/>
              </w:rPr>
              <w:t xml:space="preserve">After deduplication, sentinel value removal, and null handling</w:t>
            </w:r>
          </w:p>
        </w:tc>
      </w:tr>
      <w:tr>
        <w:tc>
          <w:tcPr>
            <w:tcW w:type="dxa" w:w="2000"/>
            <w:shd w:fill="F5F5F5" w:val="clear"/>
            <w:tcMar>
              <w:top w:type="dxa" w:w="60"/>
              <w:left w:type="dxa" w:w="150"/>
              <w:bottom w:type="dxa" w:w="60"/>
              <w:right w:type="dxa" w:w="150"/>
            </w:tcMar>
          </w:tcPr>
          <w:p>
            <w:r>
              <w:rPr>
                <w:sz w:val="18"/>
                <w:szCs w:val="18"/>
              </w:rPr>
              <w:t xml:space="preserve">Features (raw)</w:t>
            </w:r>
          </w:p>
        </w:tc>
        <w:tc>
          <w:tcPr>
            <w:tcW w:type="dxa" w:w="1800"/>
            <w:shd w:fill="F5F5F5" w:val="clear"/>
            <w:tcMar>
              <w:top w:type="dxa" w:w="60"/>
              <w:left w:type="dxa" w:w="150"/>
              <w:bottom w:type="dxa" w:w="60"/>
              <w:right w:type="dxa" w:w="150"/>
            </w:tcMar>
          </w:tcPr>
          <w:p>
            <w:r>
              <w:rPr>
                <w:sz w:val="18"/>
                <w:szCs w:val="18"/>
              </w:rPr>
              <w:t xml:space="preserve">28 columns</w:t>
            </w:r>
          </w:p>
        </w:tc>
        <w:tc>
          <w:tcPr>
            <w:tcW w:type="dxa" w:w="5560"/>
            <w:shd w:fill="F5F5F5" w:val="clear"/>
            <w:tcMar>
              <w:top w:type="dxa" w:w="60"/>
              <w:left w:type="dxa" w:w="150"/>
              <w:bottom w:type="dxa" w:w="60"/>
              <w:right w:type="dxa" w:w="150"/>
            </w:tcMar>
          </w:tcPr>
          <w:p>
            <w:r>
              <w:rPr>
                <w:sz w:val="18"/>
                <w:szCs w:val="18"/>
              </w:rPr>
              <w:t xml:space="preserve">Original dataset schema</w:t>
            </w:r>
          </w:p>
        </w:tc>
      </w:tr>
      <w:tr>
        <w:tc>
          <w:tcPr>
            <w:tcW w:type="dxa" w:w="2000"/>
            <w:shd w:fill="FFFFFF" w:val="clear"/>
            <w:tcMar>
              <w:top w:type="dxa" w:w="60"/>
              <w:left w:type="dxa" w:w="150"/>
              <w:bottom w:type="dxa" w:w="60"/>
              <w:right w:type="dxa" w:w="150"/>
            </w:tcMar>
          </w:tcPr>
          <w:p>
            <w:r>
              <w:rPr>
                <w:sz w:val="18"/>
                <w:szCs w:val="18"/>
              </w:rPr>
              <w:t xml:space="preserve">Features (engineered)</w:t>
            </w:r>
          </w:p>
        </w:tc>
        <w:tc>
          <w:tcPr>
            <w:tcW w:type="dxa" w:w="1800"/>
            <w:shd w:fill="FFFFFF" w:val="clear"/>
            <w:tcMar>
              <w:top w:type="dxa" w:w="60"/>
              <w:left w:type="dxa" w:w="150"/>
              <w:bottom w:type="dxa" w:w="60"/>
              <w:right w:type="dxa" w:w="150"/>
            </w:tcMar>
          </w:tcPr>
          <w:p>
            <w:r>
              <w:rPr>
                <w:sz w:val="18"/>
                <w:szCs w:val="18"/>
              </w:rPr>
              <w:t xml:space="preserve">32 columns</w:t>
            </w:r>
          </w:p>
        </w:tc>
        <w:tc>
          <w:tcPr>
            <w:tcW w:type="dxa" w:w="5560"/>
            <w:shd w:fill="FFFFFF" w:val="clear"/>
            <w:tcMar>
              <w:top w:type="dxa" w:w="60"/>
              <w:left w:type="dxa" w:w="150"/>
              <w:bottom w:type="dxa" w:w="60"/>
              <w:right w:type="dxa" w:w="150"/>
            </w:tcMar>
          </w:tcPr>
          <w:p>
            <w:r>
              <w:rPr>
                <w:sz w:val="18"/>
                <w:szCs w:val="18"/>
              </w:rPr>
              <w:t xml:space="preserve">After feature engineering phase</w:t>
            </w:r>
          </w:p>
        </w:tc>
      </w:tr>
      <w:tr>
        <w:tc>
          <w:tcPr>
            <w:tcW w:type="dxa" w:w="2000"/>
            <w:shd w:fill="F5F5F5" w:val="clear"/>
            <w:tcMar>
              <w:top w:type="dxa" w:w="60"/>
              <w:left w:type="dxa" w:w="150"/>
              <w:bottom w:type="dxa" w:w="60"/>
              <w:right w:type="dxa" w:w="150"/>
            </w:tcMar>
          </w:tcPr>
          <w:p>
            <w:r>
              <w:rPr>
                <w:sz w:val="18"/>
                <w:szCs w:val="18"/>
              </w:rPr>
              <w:t xml:space="preserve">Date range</w:t>
            </w:r>
          </w:p>
        </w:tc>
        <w:tc>
          <w:tcPr>
            <w:tcW w:type="dxa" w:w="1800"/>
            <w:shd w:fill="F5F5F5" w:val="clear"/>
            <w:tcMar>
              <w:top w:type="dxa" w:w="60"/>
              <w:left w:type="dxa" w:w="150"/>
              <w:bottom w:type="dxa" w:w="60"/>
              <w:right w:type="dxa" w:w="150"/>
            </w:tcMar>
          </w:tcPr>
          <w:p>
            <w:r>
              <w:rPr>
                <w:sz w:val="18"/>
                <w:szCs w:val="18"/>
              </w:rPr>
              <w:t xml:space="preserve">2010–2024</w:t>
            </w:r>
          </w:p>
        </w:tc>
        <w:tc>
          <w:tcPr>
            <w:tcW w:type="dxa" w:w="5560"/>
            <w:shd w:fill="F5F5F5" w:val="clear"/>
            <w:tcMar>
              <w:top w:type="dxa" w:w="60"/>
              <w:left w:type="dxa" w:w="150"/>
              <w:bottom w:type="dxa" w:w="60"/>
              <w:right w:type="dxa" w:w="150"/>
            </w:tcMar>
          </w:tcPr>
          <w:p>
            <w:r>
              <w:rPr>
                <w:sz w:val="18"/>
                <w:szCs w:val="18"/>
              </w:rPr>
              <w:t xml:space="preserve">DATE OCC: 01 Jan 2010 – 30 Dec 2024</w:t>
            </w:r>
          </w:p>
        </w:tc>
      </w:tr>
      <w:tr>
        <w:tc>
          <w:tcPr>
            <w:tcW w:type="dxa" w:w="2000"/>
            <w:shd w:fill="FFFFFF" w:val="clear"/>
            <w:tcMar>
              <w:top w:type="dxa" w:w="60"/>
              <w:left w:type="dxa" w:w="150"/>
              <w:bottom w:type="dxa" w:w="60"/>
              <w:right w:type="dxa" w:w="150"/>
            </w:tcMar>
          </w:tcPr>
          <w:p>
            <w:r>
              <w:rPr>
                <w:sz w:val="18"/>
                <w:szCs w:val="18"/>
              </w:rPr>
              <w:t xml:space="preserve">LAPD Areas</w:t>
            </w:r>
          </w:p>
        </w:tc>
        <w:tc>
          <w:tcPr>
            <w:tcW w:type="dxa" w:w="1800"/>
            <w:shd w:fill="FFFFFF" w:val="clear"/>
            <w:tcMar>
              <w:top w:type="dxa" w:w="60"/>
              <w:left w:type="dxa" w:w="150"/>
              <w:bottom w:type="dxa" w:w="60"/>
              <w:right w:type="dxa" w:w="150"/>
            </w:tcMar>
          </w:tcPr>
          <w:p>
            <w:r>
              <w:rPr>
                <w:sz w:val="18"/>
                <w:szCs w:val="18"/>
              </w:rPr>
              <w:t xml:space="preserve">21</w:t>
            </w:r>
          </w:p>
        </w:tc>
        <w:tc>
          <w:tcPr>
            <w:tcW w:type="dxa" w:w="5560"/>
            <w:shd w:fill="FFFFFF" w:val="clear"/>
            <w:tcMar>
              <w:top w:type="dxa" w:w="60"/>
              <w:left w:type="dxa" w:w="150"/>
              <w:bottom w:type="dxa" w:w="60"/>
              <w:right w:type="dxa" w:w="150"/>
            </w:tcMar>
          </w:tcPr>
          <w:p>
            <w:r>
              <w:rPr>
                <w:sz w:val="18"/>
                <w:szCs w:val="18"/>
              </w:rPr>
              <w:t xml:space="preserve">All active LAPD geographic divisions</w:t>
            </w:r>
          </w:p>
        </w:tc>
      </w:tr>
      <w:tr>
        <w:tc>
          <w:tcPr>
            <w:tcW w:type="dxa" w:w="2000"/>
            <w:shd w:fill="F5F5F5" w:val="clear"/>
            <w:tcMar>
              <w:top w:type="dxa" w:w="60"/>
              <w:left w:type="dxa" w:w="150"/>
              <w:bottom w:type="dxa" w:w="60"/>
              <w:right w:type="dxa" w:w="150"/>
            </w:tcMar>
          </w:tcPr>
          <w:p>
            <w:r>
              <w:rPr>
                <w:sz w:val="18"/>
                <w:szCs w:val="18"/>
              </w:rPr>
              <w:t xml:space="preserve">Crime types</w:t>
            </w:r>
          </w:p>
        </w:tc>
        <w:tc>
          <w:tcPr>
            <w:tcW w:type="dxa" w:w="1800"/>
            <w:shd w:fill="F5F5F5" w:val="clear"/>
            <w:tcMar>
              <w:top w:type="dxa" w:w="60"/>
              <w:left w:type="dxa" w:w="150"/>
              <w:bottom w:type="dxa" w:w="60"/>
              <w:right w:type="dxa" w:w="150"/>
            </w:tcMar>
          </w:tcPr>
          <w:p>
            <w:r>
              <w:rPr>
                <w:sz w:val="18"/>
                <w:szCs w:val="18"/>
              </w:rPr>
              <w:t xml:space="preserve">143</w:t>
            </w:r>
          </w:p>
        </w:tc>
        <w:tc>
          <w:tcPr>
            <w:tcW w:type="dxa" w:w="5560"/>
            <w:shd w:fill="F5F5F5" w:val="clear"/>
            <w:tcMar>
              <w:top w:type="dxa" w:w="60"/>
              <w:left w:type="dxa" w:w="150"/>
              <w:bottom w:type="dxa" w:w="60"/>
              <w:right w:type="dxa" w:w="150"/>
            </w:tcMar>
          </w:tcPr>
          <w:p>
            <w:r>
              <w:rPr>
                <w:sz w:val="18"/>
                <w:szCs w:val="18"/>
              </w:rPr>
              <w:t xml:space="preserve">Unique crime code descriptions</w:t>
            </w:r>
          </w:p>
        </w:tc>
      </w:tr>
    </w:tbl>
    <w:p>
      <w:pPr>
        <w:spacing w:after="0" w:before="100"/>
      </w:pPr>
      <w:r>
        <w:t xml:space="preserve"/>
      </w:r>
    </w:p>
    <w:p>
      <w:pPr>
        <w:spacing w:after="150" w:before="300"/>
      </w:pPr>
      <w:r>
        <w:rPr>
          <w:b/>
          <w:bCs/>
          <w:color w:val="1B4F8A"/>
          <w:sz w:val="26"/>
          <w:szCs w:val="26"/>
        </w:rPr>
        <w:t xml:space="preserve">Key Cleaning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Duplicate removal</w:t>
            </w:r>
          </w:p>
        </w:tc>
        <w:tc>
          <w:tcPr>
            <w:tcW w:type="dxa" w:w="1800"/>
            <w:shd w:fill="F5F5F5" w:val="clear"/>
            <w:tcMar>
              <w:top w:type="dxa" w:w="60"/>
              <w:left w:type="dxa" w:w="150"/>
              <w:bottom w:type="dxa" w:w="60"/>
              <w:right w:type="dxa" w:w="150"/>
            </w:tcMar>
          </w:tcPr>
          <w:p>
            <w:r>
              <w:rPr>
                <w:sz w:val="18"/>
                <w:szCs w:val="18"/>
              </w:rPr>
              <w:t xml:space="preserve">57,809 rows</w:t>
            </w:r>
          </w:p>
        </w:tc>
        <w:tc>
          <w:tcPr>
            <w:tcW w:type="dxa" w:w="5560"/>
            <w:shd w:fill="F5F5F5" w:val="clear"/>
            <w:tcMar>
              <w:top w:type="dxa" w:w="60"/>
              <w:left w:type="dxa" w:w="150"/>
              <w:bottom w:type="dxa" w:w="60"/>
              <w:right w:type="dxa" w:w="150"/>
            </w:tcMar>
          </w:tcPr>
          <w:p>
            <w:r>
              <w:rPr>
                <w:sz w:val="18"/>
                <w:szCs w:val="18"/>
              </w:rPr>
              <w:t xml:space="preserve">Exact duplicates across all columns — generalised loading error</w:t>
            </w:r>
          </w:p>
        </w:tc>
      </w:tr>
      <w:tr>
        <w:tc>
          <w:tcPr>
            <w:tcW w:type="dxa" w:w="2000"/>
            <w:shd w:fill="FFFFFF" w:val="clear"/>
            <w:tcMar>
              <w:top w:type="dxa" w:w="60"/>
              <w:left w:type="dxa" w:w="150"/>
              <w:bottom w:type="dxa" w:w="60"/>
              <w:right w:type="dxa" w:w="150"/>
            </w:tcMar>
          </w:tcPr>
          <w:p>
            <w:r>
              <w:rPr>
                <w:sz w:val="18"/>
                <w:szCs w:val="18"/>
              </w:rPr>
              <w:t xml:space="preserve">Sentinel coordinates</w:t>
            </w:r>
          </w:p>
        </w:tc>
        <w:tc>
          <w:tcPr>
            <w:tcW w:type="dxa" w:w="1800"/>
            <w:shd w:fill="FFFFFF" w:val="clear"/>
            <w:tcMar>
              <w:top w:type="dxa" w:w="60"/>
              <w:left w:type="dxa" w:w="150"/>
              <w:bottom w:type="dxa" w:w="60"/>
              <w:right w:type="dxa" w:w="150"/>
            </w:tcMar>
          </w:tcPr>
          <w:p>
            <w:r>
              <w:rPr>
                <w:sz w:val="18"/>
                <w:szCs w:val="18"/>
              </w:rPr>
              <w:t xml:space="preserve">3,148 records</w:t>
            </w:r>
          </w:p>
        </w:tc>
        <w:tc>
          <w:tcPr>
            <w:tcW w:type="dxa" w:w="5560"/>
            <w:shd w:fill="FFFFFF" w:val="clear"/>
            <w:tcMar>
              <w:top w:type="dxa" w:w="60"/>
              <w:left w:type="dxa" w:w="150"/>
              <w:bottom w:type="dxa" w:w="60"/>
              <w:right w:type="dxa" w:w="150"/>
            </w:tcMar>
          </w:tcPr>
          <w:p>
            <w:r>
              <w:rPr>
                <w:sz w:val="18"/>
                <w:szCs w:val="18"/>
              </w:rPr>
              <w:t xml:space="preserve">LAT/LON (0,0) → NaN. Coordinates (0,0) correspond to the Atlantic Ocean and represent missing location data encoded as a default value by the LAPD recording system (source: LAPD data dictionary, data.lacity.org)</w:t>
            </w:r>
          </w:p>
        </w:tc>
      </w:tr>
      <w:tr>
        <w:tc>
          <w:tcPr>
            <w:tcW w:type="dxa" w:w="2000"/>
            <w:shd w:fill="F5F5F5" w:val="clear"/>
            <w:tcMar>
              <w:top w:type="dxa" w:w="60"/>
              <w:left w:type="dxa" w:w="150"/>
              <w:bottom w:type="dxa" w:w="60"/>
              <w:right w:type="dxa" w:w="150"/>
            </w:tcMar>
          </w:tcPr>
          <w:p>
            <w:r>
              <w:rPr>
                <w:sz w:val="18"/>
                <w:szCs w:val="18"/>
              </w:rPr>
              <w:t xml:space="preserve">Victim age sentinels</w:t>
            </w:r>
          </w:p>
        </w:tc>
        <w:tc>
          <w:tcPr>
            <w:tcW w:type="dxa" w:w="1800"/>
            <w:shd w:fill="F5F5F5" w:val="clear"/>
            <w:tcMar>
              <w:top w:type="dxa" w:w="60"/>
              <w:left w:type="dxa" w:w="150"/>
              <w:bottom w:type="dxa" w:w="60"/>
              <w:right w:type="dxa" w:w="150"/>
            </w:tcMar>
          </w:tcPr>
          <w:p>
            <w:r>
              <w:rPr>
                <w:sz w:val="18"/>
                <w:szCs w:val="18"/>
              </w:rPr>
              <w:t xml:space="preserve">632,399 records</w:t>
            </w:r>
          </w:p>
        </w:tc>
        <w:tc>
          <w:tcPr>
            <w:tcW w:type="dxa" w:w="5560"/>
            <w:shd w:fill="F5F5F5" w:val="clear"/>
            <w:tcMar>
              <w:top w:type="dxa" w:w="60"/>
              <w:left w:type="dxa" w:w="150"/>
              <w:bottom w:type="dxa" w:w="60"/>
              <w:right w:type="dxa" w:w="150"/>
            </w:tcMar>
          </w:tcPr>
          <w:p>
            <w:r>
              <w:rPr>
                <w:sz w:val="18"/>
                <w:szCs w:val="18"/>
              </w:rPr>
              <w:t xml:space="preserve">Age ≤ 0 → NaN. Biologically impossible values used as placeholders for unknown age</w:t>
            </w:r>
          </w:p>
        </w:tc>
      </w:tr>
      <w:tr>
        <w:tc>
          <w:tcPr>
            <w:tcW w:type="dxa" w:w="2000"/>
            <w:shd w:fill="FFFFFF" w:val="clear"/>
            <w:tcMar>
              <w:top w:type="dxa" w:w="60"/>
              <w:left w:type="dxa" w:w="150"/>
              <w:bottom w:type="dxa" w:w="60"/>
              <w:right w:type="dxa" w:w="150"/>
            </w:tcMar>
          </w:tcPr>
          <w:p>
            <w:r>
              <w:rPr>
                <w:sz w:val="18"/>
                <w:szCs w:val="18"/>
              </w:rPr>
              <w:t xml:space="preserve">Weapon nulls</w:t>
            </w:r>
          </w:p>
        </w:tc>
        <w:tc>
          <w:tcPr>
            <w:tcW w:type="dxa" w:w="1800"/>
            <w:shd w:fill="FFFFFF" w:val="clear"/>
            <w:tcMar>
              <w:top w:type="dxa" w:w="60"/>
              <w:left w:type="dxa" w:w="150"/>
              <w:bottom w:type="dxa" w:w="60"/>
              <w:right w:type="dxa" w:w="150"/>
            </w:tcMar>
          </w:tcPr>
          <w:p>
            <w:r>
              <w:rPr>
                <w:sz w:val="18"/>
                <w:szCs w:val="18"/>
              </w:rPr>
              <w:t xml:space="preserve">All null records</w:t>
            </w:r>
          </w:p>
        </w:tc>
        <w:tc>
          <w:tcPr>
            <w:tcW w:type="dxa" w:w="5560"/>
            <w:shd w:fill="FFFFFF" w:val="clear"/>
            <w:tcMar>
              <w:top w:type="dxa" w:w="60"/>
              <w:left w:type="dxa" w:w="150"/>
              <w:bottom w:type="dxa" w:w="60"/>
              <w:right w:type="dxa" w:w="150"/>
            </w:tcMar>
          </w:tcPr>
          <w:p>
            <w:r>
              <w:rPr>
                <w:sz w:val="18"/>
                <w:szCs w:val="18"/>
              </w:rPr>
              <w:t xml:space="preserve">Weapon Desc null → "No Weapon". Note: this assumes absence of weapon description indicates no weapon was used. This is an unverifiable assumption — null values could also indicate that the weapon was not identified at time of reporting</w:t>
            </w:r>
          </w:p>
        </w:tc>
      </w:tr>
      <w:tr>
        <w:tc>
          <w:tcPr>
            <w:tcW w:type="dxa" w:w="2000"/>
            <w:shd w:fill="F5F5F5" w:val="clear"/>
            <w:tcMar>
              <w:top w:type="dxa" w:w="60"/>
              <w:left w:type="dxa" w:w="150"/>
              <w:bottom w:type="dxa" w:w="60"/>
              <w:right w:type="dxa" w:w="150"/>
            </w:tcMar>
          </w:tcPr>
          <w:p>
            <w:r>
              <w:rPr>
                <w:sz w:val="18"/>
                <w:szCs w:val="18"/>
              </w:rPr>
              <w:t xml:space="preserve">Sex anomalies</w:t>
            </w:r>
          </w:p>
        </w:tc>
        <w:tc>
          <w:tcPr>
            <w:tcW w:type="dxa" w:w="1800"/>
            <w:shd w:fill="F5F5F5" w:val="clear"/>
            <w:tcMar>
              <w:top w:type="dxa" w:w="60"/>
              <w:left w:type="dxa" w:w="150"/>
              <w:bottom w:type="dxa" w:w="60"/>
              <w:right w:type="dxa" w:w="150"/>
            </w:tcMar>
          </w:tcPr>
          <w:p>
            <w:r>
              <w:rPr>
                <w:sz w:val="18"/>
                <w:szCs w:val="18"/>
              </w:rPr>
              <w:t xml:space="preserve">204 records</w:t>
            </w:r>
          </w:p>
        </w:tc>
        <w:tc>
          <w:tcPr>
            <w:tcW w:type="dxa" w:w="5560"/>
            <w:shd w:fill="F5F5F5" w:val="clear"/>
            <w:tcMar>
              <w:top w:type="dxa" w:w="60"/>
              <w:left w:type="dxa" w:w="150"/>
              <w:bottom w:type="dxa" w:w="60"/>
              <w:right w:type="dxa" w:w="150"/>
            </w:tcMar>
          </w:tcPr>
          <w:p>
            <w:r>
              <w:rPr>
                <w:sz w:val="18"/>
                <w:szCs w:val="18"/>
              </w:rPr>
              <w:t xml:space="preserve">Values H, N, - → "X" (Unknown)</w:t>
            </w:r>
          </w:p>
        </w:tc>
      </w:tr>
    </w:tbl>
    <w:p>
      <w:pPr>
        <w:spacing w:after="0" w:before="100"/>
      </w:pPr>
      <w:r>
        <w:t xml:space="preserve"/>
      </w:r>
    </w:p>
    <w:p>
      <w:pPr>
        <w:spacing w:after="150" w:before="300"/>
      </w:pPr>
      <w:r>
        <w:rPr>
          <w:b/>
          <w:bCs/>
          <w:color w:val="1B4F8A"/>
          <w:sz w:val="26"/>
          <w:szCs w:val="26"/>
        </w:rPr>
        <w:t xml:space="preserve">Data Limitations</w:t>
      </w:r>
    </w:p>
    <w:p>
      <w:pPr>
        <w:spacing w:after="60" w:before="60"/>
        <w:ind w:left="360"/>
      </w:pPr>
      <w:r>
        <w:rPr>
          <w:color w:val="1A1A1A"/>
          <w:sz w:val="20"/>
          <w:szCs w:val="20"/>
        </w:rPr>
        <w:t xml:space="preserve">• 2024 data is incomplete: the dataset was frozen in June 2025. Crimes reported after that date are excluded, causing an apparent decline in 2024 figures visible in all charts. The 2024 data should not be interpreted as a real trend.</w:t>
      </w:r>
    </w:p>
    <w:p>
      <w:pPr>
        <w:spacing w:after="60" w:before="60"/>
        <w:ind w:left="360"/>
      </w:pPr>
      <w:r>
        <w:rPr>
          <w:color w:val="1A1A1A"/>
          <w:sz w:val="20"/>
          <w:szCs w:val="20"/>
        </w:rPr>
        <w:t xml:space="preserve">• An anomalous drop across all crime categories is observed in 2015–2016 data. The underlying cause has not been verified with external sources and should be treated as an outlier in trend analyses.</w:t>
      </w:r>
    </w:p>
    <w:p>
      <w:pPr>
        <w:spacing w:after="60" w:before="60"/>
        <w:ind w:left="360"/>
      </w:pPr>
      <w:r>
        <w:rPr>
          <w:color w:val="1A1A1A"/>
          <w:sz w:val="20"/>
          <w:szCs w:val="20"/>
        </w:rPr>
        <w:t xml:space="preserve">• Domestic violence is significantly under-reported in official crime statistics. According to the Bureau of Justice Statistics National Crime Victimization Survey (NCVS), approximately 52% of domestic violence incidents were reported to police in 2019 — meaning nearly half go unrecorded (BJS, NCVS 2019: https://bjs.ojp.gov/data-collection/ncvs). The 7.3% figure in this dataset should therefore be considered a significant underestimate of the actual prevalence.</w:t>
      </w:r>
    </w:p>
    <w:p>
      <w:pPr>
        <w:spacing w:after="60" w:before="60"/>
        <w:ind w:left="360"/>
      </w:pPr>
      <w:r>
        <w:rPr>
          <w:color w:val="1A1A1A"/>
          <w:sz w:val="20"/>
          <w:szCs w:val="20"/>
        </w:rPr>
        <w:t xml:space="preserve">• Coordinates are obfuscated to the nearest block centroid (~100m precision) for victim privacy reasons, as documented in the LAPD Crime Data dictionary (data.lacity.org). This limits sub-block geospatial analysis precision.</w:t>
      </w:r>
    </w:p>
    <w:p>
      <w:pPr>
        <w:spacing w:after="60" w:before="60"/>
        <w:ind w:left="360"/>
      </w:pPr>
      <w:r>
        <w:rPr>
          <w:color w:val="1A1A1A"/>
          <w:sz w:val="20"/>
          <w:szCs w:val="20"/>
        </w:rPr>
        <w:t xml:space="preserve">• No population data by area or demographic group is available in the dataset, preventing the calculation of per-capita crime rates. All figures are absolute counts.</w:t>
      </w:r>
    </w:p>
    <w:p>
      <w:r>
        <w:br w:type="page"/>
      </w:r>
    </w:p>
    <w:p>
      <w:pPr>
        <w:shd w:fill="1B4F8A" w:val="clear"/>
        <w:spacing w:after="200" w:before="300"/>
        <w:ind w:left="200" w:right="200"/>
      </w:pPr>
      <w:r>
        <w:rPr>
          <w:b/>
          <w:bCs/>
          <w:color w:val="FFFFFF"/>
          <w:sz w:val="18"/>
          <w:szCs w:val="18"/>
        </w:rPr>
        <w:t xml:space="preserve">04</w:t>
      </w:r>
    </w:p>
    <w:p>
      <w:pPr>
        <w:spacing w:after="200" w:before="400"/>
      </w:pPr>
      <w:r>
        <w:rPr>
          <w:b/>
          <w:bCs/>
          <w:color w:val="1B4F8A"/>
          <w:sz w:val="36"/>
          <w:szCs w:val="36"/>
        </w:rPr>
        <w:t xml:space="preserve">Methodology</w:t>
      </w:r>
    </w:p>
    <w:p>
      <w:pPr>
        <w:spacing w:after="80" w:before="80"/>
        <w:jc w:val="both"/>
      </w:pPr>
      <w:r>
        <w:rPr>
          <w:color w:val="1A1A1A"/>
          <w:sz w:val="20"/>
          <w:szCs w:val="20"/>
        </w:rPr>
        <w:t xml:space="preserve">The analysis follows the PACE framework — a structured approach to data analytics projects — across four sequential phases.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1</w:t>
            </w:r>
          </w:p>
          <w:p>
            <w:pPr>
              <w:spacing w:after="80" w:before="0"/>
            </w:pPr>
            <w:r>
              <w:rPr>
                <w:b/>
                <w:bCs/>
                <w:sz w:val="20"/>
                <w:szCs w:val="20"/>
              </w:rPr>
              <w:t xml:space="preserve">Plan</w:t>
            </w:r>
          </w:p>
          <w:p>
            <w:pPr>
              <w:spacing w:after="100" w:before="0"/>
            </w:pPr>
            <w:r>
              <w:rPr>
                <w:color w:val="666666"/>
                <w:sz w:val="18"/>
                <w:szCs w:val="18"/>
              </w:rPr>
              <w:t xml:space="preserve">Dataset loading, column audit, research question definition, project structure setup.</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2</w:t>
            </w:r>
          </w:p>
          <w:p>
            <w:pPr>
              <w:spacing w:after="80" w:before="0"/>
            </w:pPr>
            <w:r>
              <w:rPr>
                <w:b/>
                <w:bCs/>
                <w:sz w:val="20"/>
                <w:szCs w:val="20"/>
              </w:rPr>
              <w:t xml:space="preserve">Analyze</w:t>
            </w:r>
          </w:p>
          <w:p>
            <w:pPr>
              <w:spacing w:after="100" w:before="0"/>
            </w:pPr>
            <w:r>
              <w:rPr>
                <w:color w:val="666666"/>
                <w:sz w:val="18"/>
                <w:szCs w:val="18"/>
              </w:rPr>
              <w:t xml:space="preserve">5 core EDA blocks + 2 advanced blocks (geospatial, predictive). Cleaning and feature engineering.</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3</w:t>
            </w:r>
          </w:p>
          <w:p>
            <w:pPr>
              <w:spacing w:after="80" w:before="0"/>
            </w:pPr>
            <w:r>
              <w:rPr>
                <w:b/>
                <w:bCs/>
                <w:sz w:val="20"/>
                <w:szCs w:val="20"/>
              </w:rPr>
              <w:t xml:space="preserve">Construct</w:t>
            </w:r>
          </w:p>
          <w:p>
            <w:pPr>
              <w:spacing w:after="100" w:before="0"/>
            </w:pPr>
            <w:r>
              <w:rPr>
                <w:color w:val="666666"/>
                <w:sz w:val="18"/>
                <w:szCs w:val="18"/>
              </w:rPr>
              <w:t xml:space="preserve">Hyperparameter optimisation of Random Forest via RandomizedSearchCV (k=5 cross-validation on 20% training subsample).</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4</w:t>
            </w:r>
          </w:p>
          <w:p>
            <w:pPr>
              <w:spacing w:after="80" w:before="0"/>
            </w:pPr>
            <w:r>
              <w:rPr>
                <w:b/>
                <w:bCs/>
                <w:sz w:val="20"/>
                <w:szCs w:val="20"/>
              </w:rPr>
              <w:t xml:space="preserve">Execute</w:t>
            </w:r>
          </w:p>
          <w:p>
            <w:pPr>
              <w:spacing w:after="100" w:before="0"/>
            </w:pPr>
            <w:r>
              <w:rPr>
                <w:color w:val="666666"/>
                <w:sz w:val="18"/>
                <w:szCs w:val="18"/>
              </w:rPr>
              <w:t xml:space="preserve">Stakeholder report, technical documentation, PowerPoint presentation.</w:t>
            </w:r>
          </w:p>
        </w:tc>
      </w:tr>
    </w:tbl>
    <w:p>
      <w:pPr>
        <w:spacing w:after="0" w:before="100"/>
      </w:pPr>
      <w:r>
        <w:t xml:space="preserve"/>
      </w:r>
    </w:p>
    <w:p>
      <w:pPr>
        <w:spacing w:after="150" w:before="300"/>
      </w:pPr>
      <w:r>
        <w:rPr>
          <w:b/>
          <w:bCs/>
          <w:color w:val="1B4F8A"/>
          <w:sz w:val="26"/>
          <w:szCs w:val="26"/>
        </w:rPr>
        <w:t xml:space="preserve">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Python</w:t>
            </w:r>
          </w:p>
        </w:tc>
        <w:tc>
          <w:tcPr>
            <w:tcW w:type="dxa" w:w="1800"/>
            <w:shd w:fill="F5F5F5" w:val="clear"/>
            <w:tcMar>
              <w:top w:type="dxa" w:w="60"/>
              <w:left w:type="dxa" w:w="150"/>
              <w:bottom w:type="dxa" w:w="60"/>
              <w:right w:type="dxa" w:w="150"/>
            </w:tcMar>
          </w:tcPr>
          <w:p>
            <w:r>
              <w:rPr>
                <w:sz w:val="18"/>
                <w:szCs w:val="18"/>
              </w:rPr>
              <w:t xml:space="preserve">3.13</w:t>
            </w:r>
          </w:p>
        </w:tc>
        <w:tc>
          <w:tcPr>
            <w:tcW w:type="dxa" w:w="5560"/>
            <w:shd w:fill="F5F5F5" w:val="clear"/>
            <w:tcMar>
              <w:top w:type="dxa" w:w="60"/>
              <w:left w:type="dxa" w:w="150"/>
              <w:bottom w:type="dxa" w:w="60"/>
              <w:right w:type="dxa" w:w="150"/>
            </w:tcMar>
          </w:tcPr>
          <w:p>
            <w:r>
              <w:rPr>
                <w:sz w:val="18"/>
                <w:szCs w:val="18"/>
              </w:rPr>
              <w:t xml:space="preserve">Primary programming language</w:t>
            </w:r>
          </w:p>
        </w:tc>
      </w:tr>
      <w:tr>
        <w:tc>
          <w:tcPr>
            <w:tcW w:type="dxa" w:w="2000"/>
            <w:shd w:fill="FFFFFF" w:val="clear"/>
            <w:tcMar>
              <w:top w:type="dxa" w:w="60"/>
              <w:left w:type="dxa" w:w="150"/>
              <w:bottom w:type="dxa" w:w="60"/>
              <w:right w:type="dxa" w:w="150"/>
            </w:tcMar>
          </w:tcPr>
          <w:p>
            <w:r>
              <w:rPr>
                <w:sz w:val="18"/>
                <w:szCs w:val="18"/>
              </w:rPr>
              <w:t xml:space="preserve">pandas</w:t>
            </w:r>
          </w:p>
        </w:tc>
        <w:tc>
          <w:tcPr>
            <w:tcW w:type="dxa" w:w="1800"/>
            <w:shd w:fill="FFFFFF" w:val="clear"/>
            <w:tcMar>
              <w:top w:type="dxa" w:w="60"/>
              <w:left w:type="dxa" w:w="150"/>
              <w:bottom w:type="dxa" w:w="60"/>
              <w:right w:type="dxa" w:w="150"/>
            </w:tcMar>
          </w:tcPr>
          <w:p>
            <w:r>
              <w:rPr>
                <w:sz w:val="18"/>
                <w:szCs w:val="18"/>
              </w:rPr>
              <w:t xml:space="preserve">2.x</w:t>
            </w:r>
          </w:p>
        </w:tc>
        <w:tc>
          <w:tcPr>
            <w:tcW w:type="dxa" w:w="5560"/>
            <w:shd w:fill="FFFFFF" w:val="clear"/>
            <w:tcMar>
              <w:top w:type="dxa" w:w="60"/>
              <w:left w:type="dxa" w:w="150"/>
              <w:bottom w:type="dxa" w:w="60"/>
              <w:right w:type="dxa" w:w="150"/>
            </w:tcMar>
          </w:tcPr>
          <w:p>
            <w:r>
              <w:rPr>
                <w:sz w:val="18"/>
                <w:szCs w:val="18"/>
              </w:rPr>
              <w:t xml:space="preserve">Data manipulation and aggregation</w:t>
            </w:r>
          </w:p>
        </w:tc>
      </w:tr>
      <w:tr>
        <w:tc>
          <w:tcPr>
            <w:tcW w:type="dxa" w:w="2000"/>
            <w:shd w:fill="F5F5F5" w:val="clear"/>
            <w:tcMar>
              <w:top w:type="dxa" w:w="60"/>
              <w:left w:type="dxa" w:w="150"/>
              <w:bottom w:type="dxa" w:w="60"/>
              <w:right w:type="dxa" w:w="150"/>
            </w:tcMar>
          </w:tcPr>
          <w:p>
            <w:r>
              <w:rPr>
                <w:sz w:val="18"/>
                <w:szCs w:val="18"/>
              </w:rPr>
              <w:t xml:space="preserve">seaborn / matplotlib</w:t>
            </w:r>
          </w:p>
        </w:tc>
        <w:tc>
          <w:tcPr>
            <w:tcW w:type="dxa" w:w="1800"/>
            <w:shd w:fill="F5F5F5" w:val="clear"/>
            <w:tcMar>
              <w:top w:type="dxa" w:w="60"/>
              <w:left w:type="dxa" w:w="150"/>
              <w:bottom w:type="dxa" w:w="60"/>
              <w:right w:type="dxa" w:w="150"/>
            </w:tcMar>
          </w:tcPr>
          <w:p>
            <w:r>
              <w:rPr>
                <w:sz w:val="18"/>
                <w:szCs w:val="18"/>
              </w:rPr>
              <w:t xml:space="preserve">0.13 / 3.x</w:t>
            </w:r>
          </w:p>
        </w:tc>
        <w:tc>
          <w:tcPr>
            <w:tcW w:type="dxa" w:w="5560"/>
            <w:shd w:fill="F5F5F5" w:val="clear"/>
            <w:tcMar>
              <w:top w:type="dxa" w:w="60"/>
              <w:left w:type="dxa" w:w="150"/>
              <w:bottom w:type="dxa" w:w="60"/>
              <w:right w:type="dxa" w:w="150"/>
            </w:tcMar>
          </w:tcPr>
          <w:p>
            <w:r>
              <w:rPr>
                <w:sz w:val="18"/>
                <w:szCs w:val="18"/>
              </w:rPr>
              <w:t xml:space="preserve">Statistical data visualisation</w:t>
            </w:r>
          </w:p>
        </w:tc>
      </w:tr>
      <w:tr>
        <w:tc>
          <w:tcPr>
            <w:tcW w:type="dxa" w:w="2000"/>
            <w:shd w:fill="FFFFFF" w:val="clear"/>
            <w:tcMar>
              <w:top w:type="dxa" w:w="60"/>
              <w:left w:type="dxa" w:w="150"/>
              <w:bottom w:type="dxa" w:w="60"/>
              <w:right w:type="dxa" w:w="150"/>
            </w:tcMar>
          </w:tcPr>
          <w:p>
            <w:r>
              <w:rPr>
                <w:sz w:val="18"/>
                <w:szCs w:val="18"/>
              </w:rPr>
              <w:t xml:space="preserve">geopandas</w:t>
            </w:r>
          </w:p>
        </w:tc>
        <w:tc>
          <w:tcPr>
            <w:tcW w:type="dxa" w:w="1800"/>
            <w:shd w:fill="FFFFFF" w:val="clear"/>
            <w:tcMar>
              <w:top w:type="dxa" w:w="60"/>
              <w:left w:type="dxa" w:w="150"/>
              <w:bottom w:type="dxa" w:w="60"/>
              <w:right w:type="dxa" w:w="150"/>
            </w:tcMar>
          </w:tcPr>
          <w:p>
            <w:r>
              <w:rPr>
                <w:sz w:val="18"/>
                <w:szCs w:val="18"/>
              </w:rPr>
              <w:t xml:space="preserve">1.1.3</w:t>
            </w:r>
          </w:p>
        </w:tc>
        <w:tc>
          <w:tcPr>
            <w:tcW w:type="dxa" w:w="5560"/>
            <w:shd w:fill="FFFFFF" w:val="clear"/>
            <w:tcMar>
              <w:top w:type="dxa" w:w="60"/>
              <w:left w:type="dxa" w:w="150"/>
              <w:bottom w:type="dxa" w:w="60"/>
              <w:right w:type="dxa" w:w="150"/>
            </w:tcMar>
          </w:tcPr>
          <w:p>
            <w:r>
              <w:rPr>
                <w:sz w:val="18"/>
                <w:szCs w:val="18"/>
              </w:rPr>
              <w:t xml:space="preserve">Geospatial data handling and spatial joins</w:t>
            </w:r>
          </w:p>
        </w:tc>
      </w:tr>
      <w:tr>
        <w:tc>
          <w:tcPr>
            <w:tcW w:type="dxa" w:w="2000"/>
            <w:shd w:fill="F5F5F5" w:val="clear"/>
            <w:tcMar>
              <w:top w:type="dxa" w:w="60"/>
              <w:left w:type="dxa" w:w="150"/>
              <w:bottom w:type="dxa" w:w="60"/>
              <w:right w:type="dxa" w:w="150"/>
            </w:tcMar>
          </w:tcPr>
          <w:p>
            <w:r>
              <w:rPr>
                <w:sz w:val="18"/>
                <w:szCs w:val="18"/>
              </w:rPr>
              <w:t xml:space="preserve">folium</w:t>
            </w:r>
          </w:p>
        </w:tc>
        <w:tc>
          <w:tcPr>
            <w:tcW w:type="dxa" w:w="1800"/>
            <w:shd w:fill="F5F5F5" w:val="clear"/>
            <w:tcMar>
              <w:top w:type="dxa" w:w="60"/>
              <w:left w:type="dxa" w:w="150"/>
              <w:bottom w:type="dxa" w:w="60"/>
              <w:right w:type="dxa" w:w="150"/>
            </w:tcMar>
          </w:tcPr>
          <w:p>
            <w:r>
              <w:rPr>
                <w:sz w:val="18"/>
                <w:szCs w:val="18"/>
              </w:rPr>
              <w:t xml:space="preserve">0.20.0</w:t>
            </w:r>
          </w:p>
        </w:tc>
        <w:tc>
          <w:tcPr>
            <w:tcW w:type="dxa" w:w="5560"/>
            <w:shd w:fill="F5F5F5" w:val="clear"/>
            <w:tcMar>
              <w:top w:type="dxa" w:w="60"/>
              <w:left w:type="dxa" w:w="150"/>
              <w:bottom w:type="dxa" w:w="60"/>
              <w:right w:type="dxa" w:w="150"/>
            </w:tcMar>
          </w:tcPr>
          <w:p>
            <w:r>
              <w:rPr>
                <w:sz w:val="18"/>
                <w:szCs w:val="18"/>
              </w:rPr>
              <w:t xml:space="preserve">Interactive map generation (Leaflet.js)</w:t>
            </w:r>
          </w:p>
        </w:tc>
      </w:tr>
      <w:tr>
        <w:tc>
          <w:tcPr>
            <w:tcW w:type="dxa" w:w="2000"/>
            <w:shd w:fill="FFFFFF" w:val="clear"/>
            <w:tcMar>
              <w:top w:type="dxa" w:w="60"/>
              <w:left w:type="dxa" w:w="150"/>
              <w:bottom w:type="dxa" w:w="60"/>
              <w:right w:type="dxa" w:w="150"/>
            </w:tcMar>
          </w:tcPr>
          <w:p>
            <w:r>
              <w:rPr>
                <w:sz w:val="18"/>
                <w:szCs w:val="18"/>
              </w:rPr>
              <w:t xml:space="preserve">PySAL (esda, libpysal)</w:t>
            </w:r>
          </w:p>
        </w:tc>
        <w:tc>
          <w:tcPr>
            <w:tcW w:type="dxa" w:w="1800"/>
            <w:shd w:fill="FFFFFF" w:val="clear"/>
            <w:tcMar>
              <w:top w:type="dxa" w:w="60"/>
              <w:left w:type="dxa" w:w="150"/>
              <w:bottom w:type="dxa" w:w="60"/>
              <w:right w:type="dxa" w:w="150"/>
            </w:tcMar>
          </w:tcPr>
          <w:p>
            <w:r>
              <w:rPr>
                <w:sz w:val="18"/>
                <w:szCs w:val="18"/>
              </w:rPr>
              <w:t xml:space="preserve">26.1</w:t>
            </w:r>
          </w:p>
        </w:tc>
        <w:tc>
          <w:tcPr>
            <w:tcW w:type="dxa" w:w="5560"/>
            <w:shd w:fill="FFFFFF" w:val="clear"/>
            <w:tcMar>
              <w:top w:type="dxa" w:w="60"/>
              <w:left w:type="dxa" w:w="150"/>
              <w:bottom w:type="dxa" w:w="60"/>
              <w:right w:type="dxa" w:w="150"/>
            </w:tcMar>
          </w:tcPr>
          <w:p>
            <w:r>
              <w:rPr>
                <w:sz w:val="18"/>
                <w:szCs w:val="18"/>
              </w:rPr>
              <w:t xml:space="preserve">Moran's I and Getis-Ord Gi* spatial statistics</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1.3.0</w:t>
            </w:r>
          </w:p>
        </w:tc>
        <w:tc>
          <w:tcPr>
            <w:tcW w:type="dxa" w:w="5560"/>
            <w:shd w:fill="F5F5F5" w:val="clear"/>
            <w:tcMar>
              <w:top w:type="dxa" w:w="60"/>
              <w:left w:type="dxa" w:w="150"/>
              <w:bottom w:type="dxa" w:w="60"/>
              <w:right w:type="dxa" w:w="150"/>
            </w:tcMar>
          </w:tcPr>
          <w:p>
            <w:r>
              <w:rPr>
                <w:sz w:val="18"/>
                <w:szCs w:val="18"/>
              </w:rPr>
              <w:t xml:space="preserve">Time series forecasting (Meta)</w:t>
            </w:r>
          </w:p>
        </w:tc>
      </w:tr>
      <w:tr>
        <w:tc>
          <w:tcPr>
            <w:tcW w:type="dxa" w:w="2000"/>
            <w:shd w:fill="FFFFFF" w:val="clear"/>
            <w:tcMar>
              <w:top w:type="dxa" w:w="60"/>
              <w:left w:type="dxa" w:w="150"/>
              <w:bottom w:type="dxa" w:w="60"/>
              <w:right w:type="dxa" w:w="150"/>
            </w:tcMar>
          </w:tcPr>
          <w:p>
            <w:r>
              <w:rPr>
                <w:sz w:val="18"/>
                <w:szCs w:val="18"/>
              </w:rPr>
              <w:t xml:space="preserve">scikit-learn</w:t>
            </w:r>
          </w:p>
        </w:tc>
        <w:tc>
          <w:tcPr>
            <w:tcW w:type="dxa" w:w="1800"/>
            <w:shd w:fill="FFFFFF" w:val="clear"/>
            <w:tcMar>
              <w:top w:type="dxa" w:w="60"/>
              <w:left w:type="dxa" w:w="150"/>
              <w:bottom w:type="dxa" w:w="60"/>
              <w:right w:type="dxa" w:w="150"/>
            </w:tcMar>
          </w:tcPr>
          <w:p>
            <w:r>
              <w:rPr>
                <w:sz w:val="18"/>
                <w:szCs w:val="18"/>
              </w:rPr>
              <w:t xml:space="preserve">1.6.1</w:t>
            </w:r>
          </w:p>
        </w:tc>
        <w:tc>
          <w:tcPr>
            <w:tcW w:type="dxa" w:w="5560"/>
            <w:shd w:fill="FFFFFF" w:val="clear"/>
            <w:tcMar>
              <w:top w:type="dxa" w:w="60"/>
              <w:left w:type="dxa" w:w="150"/>
              <w:bottom w:type="dxa" w:w="60"/>
              <w:right w:type="dxa" w:w="150"/>
            </w:tcMar>
          </w:tcPr>
          <w:p>
            <w:r>
              <w:rPr>
                <w:sz w:val="18"/>
                <w:szCs w:val="18"/>
              </w:rPr>
              <w:t xml:space="preserve">Random Forest classification, model evaluation</w:t>
            </w:r>
          </w:p>
        </w:tc>
      </w:tr>
    </w:tbl>
    <w:p>
      <w:pPr>
        <w:spacing w:after="0" w:before="100"/>
      </w:pPr>
      <w:r>
        <w:t xml:space="preserve"/>
      </w:r>
    </w:p>
    <w:p>
      <w:pPr>
        <w:spacing w:after="150" w:before="300"/>
      </w:pPr>
      <w:r>
        <w:rPr>
          <w:b/>
          <w:bCs/>
          <w:color w:val="1B4F8A"/>
          <w:sz w:val="26"/>
          <w:szCs w:val="26"/>
        </w:rPr>
        <w:t xml:space="preserve">Validation Approach</w:t>
      </w:r>
    </w:p>
    <w:p>
      <w:pPr>
        <w:spacing w:after="80" w:before="80"/>
        <w:jc w:val="both"/>
      </w:pPr>
      <w:r>
        <w:rPr>
          <w:color w:val="1A1A1A"/>
          <w:sz w:val="20"/>
          <w:szCs w:val="20"/>
        </w:rPr>
        <w:t xml:space="preserve">The Random Forest clearance model was evaluated on a stratified 80/20 train/test split (stratify=y to preserve class balance). Hyperparameter optimisation used RandomizedSearchCV with k=5 cross-validation on a 20% training subsample. GridSearchCV on the full dataset was attempted but proved computationally infeasible (&gt;4 hours on personal hardware: AMD Ryzen 9 5900HX, 32 GB DDR4 RAM, NVIDIA GeForce RTX 3080 8 GB, with 1,200 fits). Per Bergstra &amp; Bengio (2012, JMLR), RandomizedSearch achieves comparable performance to GridSearch in 90–95% of cases at a fraction of the computational cost — a conclusion confirmed empirically by our results (+1% accuracy gain vs. baseline).</w:t>
      </w:r>
    </w:p>
    <w:p>
      <w:pPr>
        <w:spacing w:after="80" w:before="80"/>
        <w:jc w:val="both"/>
      </w:pPr>
      <w:r>
        <w:rPr>
          <w:color w:val="1A1A1A"/>
          <w:sz w:val="20"/>
          <w:szCs w:val="20"/>
        </w:rPr>
        <w:t xml:space="preserve">The Prophet forecast model was trained on 2010–2022 data and evaluated on the full year 2023 (365 days). The 2024 data was excluded from evaluation due to its incomplete nature.</w:t>
      </w:r>
    </w:p>
    <w:p>
      <w:r>
        <w:br w:type="page"/>
      </w:r>
    </w:p>
    <w:p>
      <w:pPr>
        <w:shd w:fill="1B4F8A" w:val="clear"/>
        <w:spacing w:after="200" w:before="300"/>
        <w:ind w:left="200" w:right="200"/>
      </w:pPr>
      <w:r>
        <w:rPr>
          <w:b/>
          <w:bCs/>
          <w:color w:val="FFFFFF"/>
          <w:sz w:val="18"/>
          <w:szCs w:val="18"/>
        </w:rPr>
        <w:t xml:space="preserve">05</w:t>
      </w:r>
    </w:p>
    <w:p>
      <w:pPr>
        <w:spacing w:after="200" w:before="400"/>
      </w:pPr>
      <w:r>
        <w:rPr>
          <w:b/>
          <w:bCs/>
          <w:color w:val="1B4F8A"/>
          <w:sz w:val="36"/>
          <w:szCs w:val="36"/>
        </w:rPr>
        <w:t xml:space="preserve">Findings</w:t>
      </w:r>
    </w:p>
    <w:p>
      <w:pPr>
        <w:spacing w:after="150" w:before="300"/>
      </w:pPr>
      <w:r>
        <w:rPr>
          <w:b/>
          <w:bCs/>
          <w:color w:val="1B4F8A"/>
          <w:sz w:val="26"/>
          <w:szCs w:val="26"/>
        </w:rPr>
        <w:t xml:space="preserve">5.1  Crime Trends (2010–2024)</w:t>
      </w:r>
    </w:p>
    <w:p>
      <w:pPr>
        <w:spacing w:after="80" w:before="80"/>
        <w:jc w:val="both"/>
      </w:pPr>
      <w:r>
        <w:rPr>
          <w:color w:val="1A1A1A"/>
          <w:sz w:val="20"/>
          <w:szCs w:val="20"/>
        </w:rPr>
        <w:t xml:space="preserve">Property crimes represent 63% of all recorded offenses and are approximately twice as frequent as crimes against persons.</w:t>
      </w:r>
    </w:p>
    <w:p>
      <w:pPr>
        <w:spacing w:after="80" w:before="80"/>
        <w:jc w:val="both"/>
      </w:pPr>
      <w:r>
        <w:rPr>
          <w:color w:val="1A1A1A"/>
          <w:sz w:val="20"/>
          <w:szCs w:val="20"/>
        </w:rPr>
        <w:t xml:space="preserve">[Chart — Person vs Property distribution (donut chart)]</w:t>
      </w:r>
    </w:p>
    <w:p>
      <w:pPr>
        <w:spacing w:after="80" w:before="80"/>
        <w:jc w:val="both"/>
      </w:pPr>
      <w:r>
        <w:rPr>
          <w:color w:val="1A1A1A"/>
          <w:sz w:val="20"/>
          <w:szCs w:val="20"/>
        </w:rPr>
        <w:t xml:space="preserve">Both categories follow similar cyclical patterns. An anomalous drop is observed across all crime categories in 2015, followed by a sharp rebound in 2016. The underlying cause has not been verified with external sources and is treated as an outlier (see Data Limitations).</w:t>
      </w:r>
    </w:p>
    <w:p>
      <w:pPr>
        <w:spacing w:after="80" w:before="80"/>
        <w:jc w:val="both"/>
      </w:pPr>
      <w:r>
        <w:rPr>
          <w:color w:val="1A1A1A"/>
          <w:sz w:val="20"/>
          <w:szCs w:val="20"/>
        </w:rPr>
        <w:t xml:space="preserve">[Chart 01 — Top 5 crimes year-on-year trend]</w:t>
      </w:r>
    </w:p>
    <w:p>
      <w:pPr>
        <w:spacing w:after="80" w:before="80"/>
        <w:jc w:val="both"/>
      </w:pPr>
      <w:r>
        <w:rPr>
          <w:color w:val="1A1A1A"/>
          <w:sz w:val="20"/>
          <w:szCs w:val="20"/>
        </w:rPr>
        <w:t xml:space="preserve">Vehicle theft stands out as the only crime category that increased during the 2020 period, rising approximately 25,000 cases/year by 2022 — a nationally documented phenomenon. Shoplifting (Petty) grew +87% in 2023 and shows no signs of reversal, likely linked to California Proposition 47 thresholds. Identity Theft peaked at +95% in 2022 before falling −39% in 2023, indicating a temporary phenomenon.</w:t>
      </w:r>
    </w:p>
    <w:p>
      <w:pPr>
        <w:spacing w:after="100" w:before="100"/>
        <w:ind w:left="360"/>
      </w:pPr>
      <w:r>
        <w:rPr>
          <w:i/>
          <w:iCs/>
          <w:color w:val="666666"/>
          <w:sz w:val="18"/>
          <w:szCs w:val="18"/>
        </w:rPr>
        <w:t xml:space="preserve">Note: The 2020 drop in crime volumes coincides temporally with the COVID-19 pandemic period. A causal relationship cannot be established from this dataset alone and would require integration with external sources.</w:t>
      </w:r>
    </w:p>
    <w:p>
      <w:pPr>
        <w:spacing w:after="80" w:before="80"/>
        <w:jc w:val="both"/>
      </w:pPr>
      <w:r>
        <w:rPr>
          <w:color w:val="1A1A1A"/>
          <w:sz w:val="20"/>
          <w:szCs w:val="20"/>
        </w:rPr>
        <w:t xml:space="preserve">[Chart 03 — Top 5 / Bottom 5 YoY variation 2023]</w:t>
      </w:r>
    </w:p>
    <w:p>
      <w:pPr>
        <w:spacing w:after="80" w:before="80"/>
        <w:jc w:val="both"/>
      </w:pPr>
      <w:r>
        <w:rPr>
          <w:color w:val="1A1A1A"/>
          <w:sz w:val="20"/>
          <w:szCs w:val="20"/>
        </w:rPr>
        <w:t xml:space="preserve">The temporal distribution of crimes reveals clear patterns: property crimes peak on Friday afternoons and evenings (Afternoon: 70,800; Evening: 73,995), while person crimes spike on Saturday and Sunday nights — consistent with nightlife activity patterns. Early morning hours (04:00–08:00) represent the safest period across all days and categories.</w:t>
      </w:r>
    </w:p>
    <w:p>
      <w:pPr>
        <w:spacing w:after="80" w:before="80"/>
        <w:jc w:val="both"/>
      </w:pPr>
      <w:r>
        <w:rPr>
          <w:color w:val="1A1A1A"/>
          <w:sz w:val="20"/>
          <w:szCs w:val="20"/>
        </w:rPr>
        <w:t xml:space="preserve">[Chart 07 — Heatmap: time slot × day of week]</w:t>
      </w:r>
    </w:p>
    <w:p>
      <w:pPr>
        <w:spacing w:after="0" w:before="100"/>
      </w:pPr>
      <w:r>
        <w:t xml:space="preserve"/>
      </w:r>
    </w:p>
    <w:p>
      <w:pPr>
        <w:spacing w:after="150" w:before="300"/>
      </w:pPr>
      <w:r>
        <w:rPr>
          <w:b/>
          <w:bCs/>
          <w:color w:val="1B4F8A"/>
          <w:sz w:val="26"/>
          <w:szCs w:val="26"/>
        </w:rPr>
        <w:t xml:space="preserve">5.2  Victim Demographics</w:t>
      </w:r>
    </w:p>
    <w:p>
      <w:pPr>
        <w:spacing w:after="80" w:before="80"/>
        <w:jc w:val="both"/>
      </w:pPr>
      <w:r>
        <w:rPr>
          <w:color w:val="1A1A1A"/>
          <w:sz w:val="20"/>
          <w:szCs w:val="20"/>
        </w:rPr>
        <w:t xml:space="preserve">Male victims account for 44.2% of the total, female 40.0%, and unknown sex 15.9%. The relatively narrow gender gap reflects the aggregated nature of the dataset, which includes crime categories with very different gender profiles.</w:t>
      </w:r>
    </w:p>
    <w:p>
      <w:pPr>
        <w:spacing w:after="80" w:before="80"/>
        <w:jc w:val="both"/>
      </w:pPr>
      <w:r>
        <w:rPr>
          <w:color w:val="1A1A1A"/>
          <w:sz w:val="20"/>
          <w:szCs w:val="20"/>
        </w:rPr>
        <w:t xml:space="preserve">[Charts 08+09 — Victim distribution by sex and age group]</w:t>
      </w:r>
    </w:p>
    <w:p>
      <w:pPr>
        <w:spacing w:after="80" w:before="80"/>
        <w:jc w:val="both"/>
      </w:pPr>
      <w:r>
        <w:rPr>
          <w:color w:val="1A1A1A"/>
          <w:sz w:val="20"/>
          <w:szCs w:val="20"/>
        </w:rPr>
        <w:t xml:space="preserve">A critical pattern emerges when disaggregating by crime category: the gender ratio inverts between property and person crimes. In crimes against property, male victims dominate in adult age groups (Adult: 396,147 M vs. 311,992 F). In crimes against persons, female victims are over-represented in every age group except seniors — with the disparity most acute in children (23,336 F vs. 16,436 M) and adolescents (41,717 F vs. 26,823 M).</w:t>
      </w:r>
    </w:p>
    <w:p>
      <w:pPr>
        <w:spacing w:after="80" w:before="80"/>
        <w:jc w:val="both"/>
      </w:pPr>
      <w:r>
        <w:rPr>
          <w:color w:val="1A1A1A"/>
          <w:sz w:val="20"/>
          <w:szCs w:val="20"/>
        </w:rPr>
        <w:t xml:space="preserve">[Chart 11 — Victim age × sex: Property crimes]</w:t>
      </w:r>
    </w:p>
    <w:p>
      <w:pPr>
        <w:spacing w:after="80" w:before="80"/>
        <w:jc w:val="both"/>
      </w:pPr>
      <w:r>
        <w:rPr>
          <w:color w:val="1A1A1A"/>
          <w:sz w:val="20"/>
          <w:szCs w:val="20"/>
        </w:rPr>
        <w:t xml:space="preserve">[Chart 12 — Victim age × sex: Person crimes]</w:t>
      </w:r>
    </w:p>
    <w:p>
      <w:pPr>
        <w:spacing w:after="80" w:before="80"/>
        <w:jc w:val="both"/>
      </w:pPr>
      <w:r>
        <w:rPr>
          <w:color w:val="1A1A1A"/>
          <w:sz w:val="20"/>
          <w:szCs w:val="20"/>
        </w:rPr>
        <w:t xml:space="preserve">The ethnic distribution of victims shows Hispanic/Latin/Mexican as the largest group (32.7%), followed by White (22.9%) and Black (15.1%). A significant share of victims (16.9%) have unknown ethnicity, primarily in property crimes where a direct victim is not always identified.</w:t>
      </w:r>
    </w:p>
    <w:p>
      <w:pPr>
        <w:spacing w:after="100" w:before="100"/>
        <w:ind w:left="360"/>
      </w:pPr>
      <w:r>
        <w:rPr>
          <w:i/>
          <w:iCs/>
          <w:color w:val="666666"/>
          <w:sz w:val="18"/>
          <w:szCs w:val="18"/>
        </w:rPr>
        <w:t xml:space="preserve">Note: These are absolute counts. Without population data by ethnic group, it is not possible to assess over- or under-representation relative to Los Angeles demographics.</w:t>
      </w:r>
    </w:p>
    <w:p>
      <w:pPr>
        <w:spacing w:after="80" w:before="80"/>
        <w:jc w:val="both"/>
      </w:pPr>
      <w:r>
        <w:rPr>
          <w:color w:val="1A1A1A"/>
          <w:sz w:val="20"/>
          <w:szCs w:val="20"/>
        </w:rPr>
        <w:t xml:space="preserve">[Chart 10 — Victim distribution by ethnicity]</w:t>
      </w:r>
    </w:p>
    <w:p>
      <w:pPr>
        <w:spacing w:after="100" w:before="200"/>
      </w:pPr>
      <w:r>
        <w:rPr>
          <w:b/>
          <w:bCs/>
          <w:color w:val="1A1A1A"/>
          <w:sz w:val="22"/>
          <w:szCs w:val="22"/>
        </w:rPr>
        <w:t xml:space="preserve">Senior Victims (65+)</w:t>
      </w:r>
    </w:p>
    <w:p>
      <w:pPr>
        <w:spacing w:after="80" w:before="80"/>
        <w:jc w:val="both"/>
      </w:pPr>
      <w:r>
        <w:rPr>
          <w:color w:val="1A1A1A"/>
          <w:sz w:val="20"/>
          <w:szCs w:val="20"/>
        </w:rPr>
        <w:t xml:space="preserve">Victims aged 65 and above show a distinct crime profile compared to other age groups. The two most frequent crimes against seniors are Burglary (23,729) and Identity Theft (20,851), both property crimes. Between 2020 and 2023, Identity Theft against seniors increased significantly before declining. To prevent recurrence, targeted digital literacy programmes for elderly residents are recommended.</w:t>
      </w:r>
    </w:p>
    <w:p>
      <w:pPr>
        <w:spacing w:after="80" w:before="80"/>
        <w:jc w:val="both"/>
      </w:pPr>
      <w:r>
        <w:rPr>
          <w:color w:val="1A1A1A"/>
          <w:sz w:val="20"/>
          <w:szCs w:val="20"/>
        </w:rPr>
        <w:t xml:space="preserve">[Chart 14 — Top 5 crime trends against Senior victims]</w:t>
      </w:r>
    </w:p>
    <w:p>
      <w:pPr>
        <w:spacing w:after="0" w:before="100"/>
      </w:pPr>
      <w:r>
        <w:t xml:space="preserve"/>
      </w:r>
    </w:p>
    <w:p>
      <w:pPr>
        <w:spacing w:after="150" w:before="300"/>
      </w:pPr>
      <w:r>
        <w:rPr>
          <w:b/>
          <w:bCs/>
          <w:color w:val="1B4F8A"/>
          <w:sz w:val="26"/>
          <w:szCs w:val="26"/>
        </w:rPr>
        <w:t xml:space="preserve">5.3  Domestic Violence &amp; Child Safety</w:t>
      </w:r>
    </w:p>
    <w:p>
      <w:pPr>
        <w:spacing w:after="80" w:before="80"/>
        <w:jc w:val="both"/>
      </w:pPr>
      <w:r>
        <w:rPr>
          <w:color w:val="1A1A1A"/>
          <w:sz w:val="20"/>
          <w:szCs w:val="20"/>
        </w:rPr>
        <w:t xml:space="preserve">Domestic crimes represent 7.3% of all records (225,938 cases). The dataset classifies a crime as domestic if its code description contains keywords such as "Intimate Partner", "Child Abuse", or "Child Neglect".</w:t>
      </w:r>
    </w:p>
    <w:p>
      <w:pPr>
        <w:spacing w:after="100" w:before="100"/>
        <w:ind w:left="360"/>
      </w:pPr>
      <w:r>
        <w:rPr>
          <w:i/>
          <w:iCs/>
          <w:color w:val="666666"/>
          <w:sz w:val="18"/>
          <w:szCs w:val="18"/>
        </w:rPr>
        <w:t xml:space="preserve">Note: According to the Bureau of Justice Statistics National Crime Victimization Survey (NCVS), approximately 52% of domestic violence incidents were reported to police in 2019 (BJS, NCVS 2019: https://bjs.ojp.gov/data-collection/ncvs). The 7.3% figure should therefore be considered a significant underestimate of the actual prevalence.</w:t>
      </w:r>
    </w:p>
    <w:p>
      <w:pPr>
        <w:spacing w:after="80" w:before="80"/>
        <w:jc w:val="both"/>
      </w:pPr>
      <w:r>
        <w:rPr>
          <w:color w:val="1A1A1A"/>
          <w:sz w:val="20"/>
          <w:szCs w:val="20"/>
        </w:rPr>
        <w:t xml:space="preserve">[Chart 15 — Domestic vs. non-domestic crime volume]</w:t>
      </w:r>
    </w:p>
    <w:p>
      <w:pPr>
        <w:spacing w:after="80" w:before="80"/>
        <w:jc w:val="both"/>
      </w:pPr>
      <w:r>
        <w:rPr>
          <w:color w:val="1A1A1A"/>
          <w:sz w:val="20"/>
          <w:szCs w:val="20"/>
        </w:rPr>
        <w:t xml:space="preserve">The annual trend of domestic crimes shows a decline during the 2020–2023 period.</w:t>
      </w:r>
    </w:p>
    <w:p>
      <w:pPr>
        <w:spacing w:after="100" w:before="100"/>
        <w:ind w:left="360"/>
      </w:pPr>
      <w:r>
        <w:rPr>
          <w:i/>
          <w:iCs/>
          <w:color w:val="666666"/>
          <w:sz w:val="18"/>
          <w:szCs w:val="18"/>
        </w:rPr>
        <w:t xml:space="preserve">Note: This decline is counter-intuitive given international evidence of increased domestic violence during lockdown periods (source: to be verified). The decline observed in this dataset may reflect increased under-reporting rather than a genuine reduction in violence.</w:t>
      </w:r>
    </w:p>
    <w:p>
      <w:pPr>
        <w:spacing w:after="80" w:before="80"/>
        <w:jc w:val="both"/>
      </w:pPr>
      <w:r>
        <w:rPr>
          <w:color w:val="1A1A1A"/>
          <w:sz w:val="20"/>
          <w:szCs w:val="20"/>
        </w:rPr>
        <w:t xml:space="preserve">[Chart 16 — Domestic crime annual trend 2010–2024]</w:t>
      </w:r>
    </w:p>
    <w:p>
      <w:pPr>
        <w:spacing w:after="80" w:before="80"/>
        <w:jc w:val="both"/>
      </w:pPr>
      <w:r>
        <w:rPr>
          <w:color w:val="1A1A1A"/>
          <w:sz w:val="20"/>
          <w:szCs w:val="20"/>
        </w:rPr>
        <w:t xml:space="preserve">A notable increase of +38% in domestic crime reports was observed between 2016 and 2018 (from approximately 13,000 to 18,000 cases/year). The underlying cause has not been identified within the available data and warrants further investigation with external sources (see Recommendations).</w:t>
      </w:r>
    </w:p>
    <w:p>
      <w:pPr>
        <w:spacing w:after="80" w:before="80"/>
        <w:jc w:val="both"/>
      </w:pPr>
      <w:r>
        <w:rPr>
          <w:color w:val="1A1A1A"/>
          <w:sz w:val="20"/>
          <w:szCs w:val="20"/>
        </w:rPr>
        <w:t xml:space="preserve">Geographic concentration is pronounced: the three highest-volume areas — 77th Street (21,073), Southeast (17,431), and Southwest (15,726) — account for a disproportionate share of domestic crime incidents.</w:t>
      </w:r>
    </w:p>
    <w:p>
      <w:pPr>
        <w:spacing w:after="80" w:before="80"/>
        <w:jc w:val="both"/>
      </w:pPr>
      <w:r>
        <w:rPr>
          <w:color w:val="1A1A1A"/>
          <w:sz w:val="20"/>
          <w:szCs w:val="20"/>
        </w:rPr>
        <w:t xml:space="preserve">[Chart 17 — Domestic crime distribution by LAPD area]</w:t>
      </w:r>
    </w:p>
    <w:p>
      <w:pPr>
        <w:spacing w:after="80" w:before="80"/>
        <w:jc w:val="both"/>
      </w:pPr>
      <w:r>
        <w:rPr>
          <w:color w:val="1A1A1A"/>
          <w:sz w:val="20"/>
          <w:szCs w:val="20"/>
        </w:rPr>
        <w:t xml:space="preserve">The victim profile of domestic crimes differs sharply from non-domestic crimes: women represent 75.8% of domestic crime victims vs. 37.1% in non-domestic. Children shift from 1.8% of all crime victims to 10.4% of domestic crime victims — a 6x over-representation.</w:t>
      </w:r>
    </w:p>
    <w:p>
      <w:pPr>
        <w:spacing w:after="80" w:before="80"/>
        <w:jc w:val="both"/>
      </w:pPr>
      <w:r>
        <w:rPr>
          <w:color w:val="1A1A1A"/>
          <w:sz w:val="20"/>
          <w:szCs w:val="20"/>
        </w:rPr>
        <w:t xml:space="preserve">[Chart 18 — Victim sex: domestic vs. non-domestic]</w:t>
      </w:r>
    </w:p>
    <w:p>
      <w:pPr>
        <w:spacing w:after="80" w:before="80"/>
        <w:jc w:val="both"/>
      </w:pPr>
      <w:r>
        <w:rPr>
          <w:color w:val="1A1A1A"/>
          <w:sz w:val="20"/>
          <w:szCs w:val="20"/>
        </w:rPr>
        <w:t xml:space="preserve">[Chart 19 — Victim age: domestic vs. non-domestic]</w:t>
      </w:r>
    </w:p>
    <w:p>
      <w:pPr>
        <w:spacing w:after="80" w:before="80"/>
        <w:jc w:val="both"/>
      </w:pPr>
      <w:r>
        <w:rPr>
          <w:color w:val="1A1A1A"/>
          <w:sz w:val="20"/>
          <w:szCs w:val="20"/>
        </w:rPr>
        <w:t xml:space="preserve">Analysis of crimes against minors in domestic contexts reveals distinct patterns by age group. For children (0–12), the two dominant crimes are nearly equal: Crimes Against Child (sexual abuse, 7,869) and Physical Abuse Simple (7,403), followed by Child Neglect (4,082). For adolescents (13–17), physical abuse remains the leading crime (4,668), but Intimate Partner violence emerges as a significant category (Simple: 1,973; Aggravated: 300) — almost absent in the child group.</w:t>
      </w:r>
    </w:p>
    <w:p>
      <w:pPr>
        <w:spacing w:after="80" w:before="80"/>
        <w:jc w:val="both"/>
      </w:pPr>
      <w:r>
        <w:rPr>
          <w:color w:val="1A1A1A"/>
          <w:sz w:val="20"/>
          <w:szCs w:val="20"/>
        </w:rPr>
        <w:t xml:space="preserve">[Chart 21 — Domestic crimes against minors: Child vs. Adolescent]</w:t>
      </w:r>
    </w:p>
    <w:p>
      <w:pPr>
        <w:spacing w:after="80" w:before="80"/>
        <w:jc w:val="both"/>
      </w:pPr>
      <w:r>
        <w:rPr>
          <w:color w:val="1A1A1A"/>
          <w:sz w:val="20"/>
          <w:szCs w:val="20"/>
        </w:rPr>
        <w:t xml:space="preserve">Modus operandi analysis (Mocodes) confirms the relational nature of domestic crime: Boyfriend/Girlfriend (Mocode 1814: 70,790) and Victim knew Suspect (Mocode 0913: 69,305) are the second and third most frequent codes after the generic Domestic Violence flag. Choked/Strangled (Mocode 0408: 22,738 cases) is a particularly significant indicator associated with high-risk escalation.</w:t>
      </w:r>
    </w:p>
    <w:p>
      <w:pPr>
        <w:spacing w:after="80" w:before="80"/>
        <w:jc w:val="both"/>
      </w:pPr>
      <w:r>
        <w:rPr>
          <w:color w:val="1A1A1A"/>
          <w:sz w:val="20"/>
          <w:szCs w:val="20"/>
        </w:rPr>
        <w:t xml:space="preserve">[Chart 22 — Mocodes frequency in domestic crimes]</w:t>
      </w:r>
    </w:p>
    <w:p>
      <w:pPr>
        <w:spacing w:after="0" w:before="100"/>
      </w:pPr>
      <w:r>
        <w:t xml:space="preserve"/>
      </w:r>
    </w:p>
    <w:p>
      <w:pPr>
        <w:spacing w:after="150" w:before="300"/>
      </w:pPr>
      <w:r>
        <w:rPr>
          <w:b/>
          <w:bCs/>
          <w:color w:val="1B4F8A"/>
          <w:sz w:val="26"/>
          <w:szCs w:val="26"/>
        </w:rPr>
        <w:t xml:space="preserve">5.4  Firearm-Related Crimes</w:t>
      </w:r>
    </w:p>
    <w:p>
      <w:pPr>
        <w:spacing w:after="80" w:before="80"/>
        <w:jc w:val="both"/>
      </w:pPr>
      <w:r>
        <w:rPr>
          <w:color w:val="1A1A1A"/>
          <w:sz w:val="20"/>
          <w:szCs w:val="20"/>
        </w:rPr>
        <w:t xml:space="preserve">The analysis includes 25 weapon categories, of which three (Simulated Gun, Air Pistol/BB Gun, Toy Gun) are not real firearms but are included because they were used to create perceived threat in criminal incidents (~10,000 combined cases).</w:t>
      </w:r>
    </w:p>
    <w:p>
      <w:pPr>
        <w:spacing w:after="80" w:before="80"/>
        <w:jc w:val="both"/>
      </w:pPr>
      <w:r>
        <w:rPr>
          <w:color w:val="1A1A1A"/>
          <w:sz w:val="20"/>
          <w:szCs w:val="20"/>
        </w:rPr>
        <w:t xml:space="preserve">Hand guns dominate firearm-related offenses at 46% of cases (53,523), followed by Semi-Automatic Pistols (19,917, 17%) and Unknown Firearms (14,302, 12%). The top four weapon types account for approximately 81% of all firearm crime. Revolvers show a consistent decline since 2010, while Semi-Automatic Pistols have grown steadily since 2015.</w:t>
      </w:r>
    </w:p>
    <w:p>
      <w:pPr>
        <w:spacing w:after="80" w:before="80"/>
        <w:jc w:val="both"/>
      </w:pPr>
      <w:r>
        <w:rPr>
          <w:color w:val="1A1A1A"/>
          <w:sz w:val="20"/>
          <w:szCs w:val="20"/>
        </w:rPr>
        <w:t xml:space="preserve">[Chart 24 — Firearm crime volume by weapon type]</w:t>
      </w:r>
    </w:p>
    <w:p>
      <w:pPr>
        <w:spacing w:after="80" w:before="80"/>
        <w:jc w:val="both"/>
      </w:pPr>
      <w:r>
        <w:rPr>
          <w:color w:val="1A1A1A"/>
          <w:sz w:val="20"/>
          <w:szCs w:val="20"/>
        </w:rPr>
        <w:t xml:space="preserve">The geographic distribution of firearm crimes mirrors the overall crime concentration: 77th Street (17,036), Southeast (12,121), Newton (9,879), and Southwest (8,908) lead all areas — the same zones that dominate domestic violence and general crime distributions.</w:t>
      </w:r>
    </w:p>
    <w:p>
      <w:pPr>
        <w:spacing w:after="80" w:before="80"/>
        <w:jc w:val="both"/>
      </w:pPr>
      <w:r>
        <w:rPr>
          <w:color w:val="1A1A1A"/>
          <w:sz w:val="20"/>
          <w:szCs w:val="20"/>
        </w:rPr>
        <w:t xml:space="preserve">[Chart 23 — Firearm crime distribution by LAPD area]</w:t>
      </w:r>
    </w:p>
    <w:p>
      <w:pPr>
        <w:spacing w:after="80" w:before="80"/>
        <w:jc w:val="both"/>
      </w:pPr>
      <w:r>
        <w:rPr>
          <w:color w:val="1A1A1A"/>
          <w:sz w:val="20"/>
          <w:szCs w:val="20"/>
        </w:rPr>
        <w:t xml:space="preserve">The trend analysis reveals a significant acceleration in hand gun usage post-2020, peaking at approximately 5,000 cases/year in 2022–2023.</w:t>
      </w:r>
    </w:p>
    <w:p>
      <w:pPr>
        <w:spacing w:after="80" w:before="80"/>
        <w:jc w:val="both"/>
      </w:pPr>
      <w:r>
        <w:rPr>
          <w:color w:val="1A1A1A"/>
          <w:sz w:val="20"/>
          <w:szCs w:val="20"/>
        </w:rPr>
        <w:t xml:space="preserve">[Chart 25 — Firearm crime trend: real vs. simulated weapons]</w:t>
      </w:r>
    </w:p>
    <w:p>
      <w:pPr>
        <w:spacing w:after="0" w:before="100"/>
      </w:pPr>
      <w:r>
        <w:t xml:space="preserve"/>
      </w:r>
    </w:p>
    <w:p>
      <w:pPr>
        <w:spacing w:after="150" w:before="300"/>
      </w:pPr>
      <w:r>
        <w:rPr>
          <w:b/>
          <w:bCs/>
          <w:color w:val="1B4F8A"/>
          <w:sz w:val="26"/>
          <w:szCs w:val="26"/>
        </w:rPr>
        <w:t xml:space="preserve">5.5  Response Effectiveness</w:t>
      </w:r>
    </w:p>
    <w:p>
      <w:pPr>
        <w:spacing w:after="80" w:before="80"/>
        <w:jc w:val="both"/>
      </w:pPr>
      <w:r>
        <w:rPr>
          <w:color w:val="1A1A1A"/>
          <w:sz w:val="20"/>
          <w:szCs w:val="20"/>
        </w:rPr>
        <w:t xml:space="preserve">Clearance rate was calculated according to FBI UCR definitions: a case is considered cleared when it results in Adult Arrest, Juvenile Arrest, Adult Other, or Juvenile Other dispositions. "Investigation Continued" and "Unknown" statuses are classified as not cleared.</w:t>
      </w:r>
    </w:p>
    <w:p>
      <w:pPr>
        <w:spacing w:after="80" w:before="80"/>
        <w:jc w:val="both"/>
      </w:pPr>
      <w:r>
        <w:rPr>
          <w:color w:val="1A1A1A"/>
          <w:sz w:val="20"/>
          <w:szCs w:val="20"/>
        </w:rPr>
        <w:t xml:space="preserve">The overall clearance rate across LAPD areas ranges from 15.4% (Pacific) to 28.2% (West Valley) — a narrow 13-percentage-point spread. This compressed range reflects the structural influence of crime category mix on clearance rates, rather than differences in investigative effectiveness between areas.</w:t>
      </w:r>
    </w:p>
    <w:p>
      <w:pPr>
        <w:spacing w:after="80" w:before="80"/>
        <w:jc w:val="both"/>
      </w:pPr>
      <w:r>
        <w:rPr>
          <w:color w:val="1A1A1A"/>
          <w:sz w:val="20"/>
          <w:szCs w:val="20"/>
        </w:rPr>
        <w:t xml:space="preserve">[Chart 29 — Clearance rate by LAPD area]</w:t>
      </w:r>
    </w:p>
    <w:p>
      <w:pPr>
        <w:spacing w:after="80" w:before="80"/>
        <w:jc w:val="both"/>
      </w:pPr>
      <w:r>
        <w:rPr>
          <w:color w:val="1A1A1A"/>
          <w:sz w:val="20"/>
          <w:szCs w:val="20"/>
        </w:rPr>
        <w:t xml:space="preserve">The disparity between crime categories is striking: crimes against persons achieve a 45.2% clearance rate, compared to 9.0% for property crimes — a 5x difference. The "Other" category (which includes violations of restraining orders, public disturbances, and similar offenses where the suspect is often already known to authorities) achieves an intermediate 37.0% clearance rate. Areas with higher property crime concentrations are systematically pulled toward lower overall rates regardless of investigative effectiveness.</w:t>
      </w:r>
    </w:p>
    <w:p>
      <w:pPr>
        <w:spacing w:after="80" w:before="80"/>
        <w:jc w:val="both"/>
      </w:pPr>
      <w:r>
        <w:rPr>
          <w:color w:val="1A1A1A"/>
          <w:sz w:val="20"/>
          <w:szCs w:val="20"/>
        </w:rPr>
        <w:t xml:space="preserve">[Chart 30 — Clearance rate by crime category]</w:t>
      </w:r>
    </w:p>
    <w:p>
      <w:pPr>
        <w:spacing w:after="100" w:before="100"/>
        <w:ind w:left="360"/>
      </w:pPr>
      <w:r>
        <w:rPr>
          <w:i/>
          <w:iCs/>
          <w:color w:val="666666"/>
          <w:sz w:val="18"/>
          <w:szCs w:val="18"/>
        </w:rPr>
        <w:t xml:space="preserve">Note: The low property crime clearance rate reflects structural investigative constraints rather than individual performance. Burglaries, vehicle thefts, and vandalism are inherently harder to clear due to the frequent absence of witnesses or direct evidence.</w:t>
      </w:r>
    </w:p>
    <w:p>
      <w:pPr>
        <w:spacing w:after="0" w:before="100"/>
      </w:pPr>
      <w:r>
        <w:t xml:space="preserve"/>
      </w:r>
    </w:p>
    <w:p>
      <w:pPr>
        <w:spacing w:after="150" w:before="300"/>
      </w:pPr>
      <w:r>
        <w:rPr>
          <w:b/>
          <w:bCs/>
          <w:color w:val="1B4F8A"/>
          <w:sz w:val="26"/>
          <w:szCs w:val="26"/>
        </w:rPr>
        <w:t xml:space="preserve">5.6  Geographic Analysis</w:t>
      </w:r>
    </w:p>
    <w:p>
      <w:pPr>
        <w:spacing w:after="80" w:before="80"/>
        <w:jc w:val="both"/>
      </w:pPr>
      <w:r>
        <w:rPr>
          <w:color w:val="1A1A1A"/>
          <w:sz w:val="20"/>
          <w:szCs w:val="20"/>
        </w:rPr>
        <w:t xml:space="preserve">Geospatial analysis was conducted on 1,091,662 valid coordinate records for person crimes. A 500m × 500m grid was constructed over the LAPD coverage area, yielding 62,790 cells, of which 4,706 (7.5%) recorded at least one crime.</w:t>
      </w:r>
    </w:p>
    <w:p>
      <w:pPr>
        <w:spacing w:after="80" w:before="80"/>
        <w:jc w:val="both"/>
      </w:pPr>
      <w:r>
        <w:rPr>
          <w:color w:val="1A1A1A"/>
          <w:sz w:val="20"/>
          <w:szCs w:val="20"/>
        </w:rPr>
        <w:t xml:space="preserve">[Chart 32 — Hotspot map: top 5% crime concentration cells]</w:t>
      </w:r>
    </w:p>
    <w:p>
      <w:pPr>
        <w:spacing w:after="80" w:before="80"/>
        <w:jc w:val="both"/>
      </w:pPr>
      <w:r>
        <w:rPr>
          <w:color w:val="1A1A1A"/>
          <w:sz w:val="20"/>
          <w:szCs w:val="20"/>
        </w:rPr>
        <w:t xml:space="preserve">The concentration is extreme: the top 5% of active cells (235 cells) account for 32.9% of all person crimes. The primary cluster extends from Downtown Los Angeles through South LA to Inglewood, bisected by the Harbor Transitway. A secondary cluster is located in North Hollywood/Van Nuys, with smaller isolated clusters near Long Beach and the coastal zone.</w:t>
      </w:r>
    </w:p>
    <w:p>
      <w:pPr>
        <w:spacing w:after="80" w:before="80"/>
        <w:jc w:val="both"/>
      </w:pPr>
      <w:r>
        <w:rPr>
          <w:color w:val="1A1A1A"/>
          <w:sz w:val="20"/>
          <w:szCs w:val="20"/>
        </w:rPr>
        <w:t xml:space="preserve">Month-on-month hotspot overlap averaged 49.4% across the 15-year period. Post-2016, overlap stabilised above the historical average, suggesting that hotspots became more chronic and geographically stable.</w:t>
      </w:r>
    </w:p>
    <w:p>
      <w:pPr>
        <w:spacing w:after="80" w:before="80"/>
        <w:jc w:val="both"/>
      </w:pPr>
      <w:r>
        <w:rPr>
          <w:color w:val="1A1A1A"/>
          <w:sz w:val="20"/>
          <w:szCs w:val="20"/>
        </w:rPr>
        <w:t xml:space="preserve">[Chart 33 — Hotspot persistence: month-on-month overlap]</w:t>
      </w:r>
    </w:p>
    <w:p>
      <w:pPr>
        <w:spacing w:after="80" w:before="80"/>
        <w:jc w:val="both"/>
      </w:pPr>
      <w:r>
        <w:rPr>
          <w:color w:val="1A1A1A"/>
          <w:sz w:val="20"/>
          <w:szCs w:val="20"/>
        </w:rPr>
        <w:t xml:space="preserve">Statistical validation using Moran's I returned I = 0.7359, p = 0.001 — confirming that crime clustering is not random. Getis-Ord Gi* identified 908 cells as hotspots at 99% confidence and 285 cells at 95% confidence.</w:t>
      </w:r>
    </w:p>
    <w:p>
      <w:pPr>
        <w:spacing w:after="80" w:before="80"/>
        <w:jc w:val="both"/>
      </w:pPr>
      <w:r>
        <w:rPr>
          <w:color w:val="1A1A1A"/>
          <w:sz w:val="20"/>
          <w:szCs w:val="20"/>
        </w:rPr>
        <w:t xml:space="preserve">[Chart 34 — Getis-Ord Gi* statistically validated hotspots]</w:t>
      </w:r>
    </w:p>
    <w:p>
      <w:r>
        <w:br w:type="page"/>
      </w:r>
    </w:p>
    <w:p>
      <w:pPr>
        <w:spacing w:after="150" w:before="300"/>
      </w:pPr>
      <w:r>
        <w:rPr>
          <w:b/>
          <w:bCs/>
          <w:color w:val="1B4F8A"/>
          <w:sz w:val="26"/>
          <w:szCs w:val="26"/>
        </w:rPr>
        <w:t xml:space="preserve">5.7  Predictive Models</w:t>
      </w:r>
    </w:p>
    <w:p>
      <w:pPr>
        <w:spacing w:after="100" w:before="200"/>
      </w:pPr>
      <w:r>
        <w:rPr>
          <w:b/>
          <w:bCs/>
          <w:color w:val="1A1A1A"/>
          <w:sz w:val="22"/>
          <w:szCs w:val="22"/>
        </w:rPr>
        <w:t xml:space="preserve">Daily Crime Volume Forecast (Prophet)</w:t>
      </w:r>
    </w:p>
    <w:p>
      <w:pPr>
        <w:spacing w:after="80" w:before="80"/>
        <w:jc w:val="both"/>
      </w:pPr>
      <w:r>
        <w:rPr>
          <w:color w:val="1A1A1A"/>
          <w:sz w:val="20"/>
          <w:szCs w:val="20"/>
        </w:rPr>
        <w:t xml:space="preserve">A Prophet time series model was trained on daily crime counts from 2010 to 2022 and evaluated on the full year 2023. The model achieves a Mean Absolute Percentage Error (MAPE) of 10.74% — below the 15% threshold set as a success criterion. The model captures monthly and annual patterns effectively, as visible in the chart. Weekly seasonality (higher crime on Fridays and weekends) is also modelled internally by Prophet but is not visible at the monthly time resolution shown.</w:t>
      </w:r>
    </w:p>
    <w:p>
      <w:pPr>
        <w:spacing w:after="80" w:before="80"/>
        <w:jc w:val="both"/>
      </w:pPr>
      <w:r>
        <w:rPr>
          <w:color w:val="1A1A1A"/>
          <w:sz w:val="20"/>
          <w:szCs w:val="20"/>
        </w:rPr>
        <w:t xml:space="preserve">The model was trained on 2010–2022 data, a period with higher average crime volumes than 2023. As a result, it systematically over-predicts by approximately 46 crimes/day above actual values — forecasting values closer to the historical average rather than the lower 2023 actuals.</w:t>
      </w:r>
    </w:p>
    <w:p>
      <w:pPr>
        <w:spacing w:after="100" w:before="100"/>
        <w:ind w:left="360"/>
      </w:pPr>
      <w:r>
        <w:rPr>
          <w:i/>
          <w:iCs/>
          <w:color w:val="666666"/>
          <w:sz w:val="18"/>
          <w:szCs w:val="18"/>
        </w:rPr>
        <w:t xml:space="preserve">Note: For operational resource planning, the upper bound of the confidence interval is recommended as the planning baseline, given the asymmetric cost of under-staffing (missed crimes) vs. over-staffing (wasted resources).</w:t>
      </w:r>
    </w:p>
    <w:p>
      <w:pPr>
        <w:spacing w:after="80" w:before="80"/>
        <w:jc w:val="both"/>
      </w:pPr>
      <w:r>
        <w:rPr>
          <w:color w:val="1A1A1A"/>
          <w:sz w:val="20"/>
          <w:szCs w:val="20"/>
        </w:rPr>
        <w:t xml:space="preserve">[Chart 35 — Prophet forecast vs. actual: 2023]</w:t>
      </w:r>
    </w:p>
    <w:p>
      <w:pPr>
        <w:spacing w:after="100" w:before="200"/>
      </w:pPr>
      <w:r>
        <w:rPr>
          <w:b/>
          <w:bCs/>
          <w:color w:val="1A1A1A"/>
          <w:sz w:val="22"/>
          <w:szCs w:val="22"/>
        </w:rPr>
        <w:t xml:space="preserve">Case Clearance Classifier (Random Forest)</w:t>
      </w:r>
    </w:p>
    <w:p>
      <w:pPr>
        <w:spacing w:after="80" w:before="80"/>
        <w:jc w:val="both"/>
      </w:pPr>
      <w:r>
        <w:rPr>
          <w:color w:val="1A1A1A"/>
          <w:sz w:val="20"/>
          <w:szCs w:val="20"/>
        </w:rPr>
        <w:t xml:space="preserve">A Random Forest binary classifier was trained to predict whether a newly reported crime will be cleared. The model achieves 72% accuracy, with a recall of 82% for the Cleared class — meaning it correctly identifies 82% of cases that will ultimately be resolved. Precision for the Cleared class is 45%.</w:t>
      </w:r>
    </w:p>
    <w:p>
      <w:pPr>
        <w:spacing w:after="80" w:before="80"/>
        <w:jc w:val="both"/>
      </w:pPr>
      <w:r>
        <w:rPr>
          <w:color w:val="1A1A1A"/>
          <w:sz w:val="20"/>
          <w:szCs w:val="20"/>
        </w:rPr>
        <w:t xml:space="preserve">Feature importance analysis reveals that crime category and weapon type are by far the strongest predictors of clearance. Report delay (5th most important feature) confirms that faster reporting significantly increases the probability of case resolution. Demographic features (area, sex, ethnicity, age group) contribute marginally.</w:t>
      </w:r>
    </w:p>
    <w:p>
      <w:pPr>
        <w:spacing w:after="80" w:before="80"/>
        <w:jc w:val="both"/>
      </w:pPr>
      <w:r>
        <w:rPr>
          <w:color w:val="1A1A1A"/>
          <w:sz w:val="20"/>
          <w:szCs w:val="20"/>
        </w:rPr>
        <w:t xml:space="preserve">[Chart 36 — Random Forest: top 15 feature importance]</w:t>
      </w:r>
    </w:p>
    <w:p>
      <w:r>
        <w:br w:type="page"/>
      </w:r>
    </w:p>
    <w:p>
      <w:pPr>
        <w:shd w:fill="1B4F8A" w:val="clear"/>
        <w:spacing w:after="200" w:before="300"/>
        <w:ind w:left="200" w:right="200"/>
      </w:pPr>
      <w:r>
        <w:rPr>
          <w:b/>
          <w:bCs/>
          <w:color w:val="FFFFFF"/>
          <w:sz w:val="18"/>
          <w:szCs w:val="18"/>
        </w:rPr>
        <w:t xml:space="preserve">06</w:t>
      </w:r>
    </w:p>
    <w:p>
      <w:pPr>
        <w:spacing w:after="200" w:before="400"/>
      </w:pPr>
      <w:r>
        <w:rPr>
          <w:b/>
          <w:bCs/>
          <w:color w:val="1B4F8A"/>
          <w:sz w:val="36"/>
          <w:szCs w:val="36"/>
        </w:rPr>
        <w:t xml:space="preserve">Recommendations</w:t>
      </w:r>
    </w:p>
    <w:p>
      <w:pPr>
        <w:spacing w:after="80" w:before="80"/>
        <w:jc w:val="both"/>
      </w:pPr>
      <w:r>
        <w:rPr>
          <w:color w:val="1A1A1A"/>
          <w:sz w:val="20"/>
          <w:szCs w:val="20"/>
        </w:rPr>
        <w:t xml:space="preserve">The following recommendations are derived directly from the analytical findings and are designed to be actionable by LAPD operational and strategic leadership.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1</w:t>
            </w:r>
          </w:p>
        </w:tc>
        <w:tc>
          <w:tcPr>
            <w:tcW w:type="dxa" w:w="7960"/>
            <w:tcMar>
              <w:top w:type="dxa" w:w="100"/>
              <w:left w:type="dxa" w:w="200"/>
              <w:bottom w:type="dxa" w:w="100"/>
              <w:right w:type="dxa" w:w="200"/>
            </w:tcMar>
          </w:tcPr>
          <w:p>
            <w:pPr>
              <w:spacing w:after="60" w:before="60"/>
            </w:pPr>
            <w:r>
              <w:rPr>
                <w:b/>
                <w:bCs/>
                <w:sz w:val="20"/>
                <w:szCs w:val="20"/>
              </w:rPr>
              <w:t xml:space="preserve">Concentrate patrol resources in statistically validated hotspots</w:t>
            </w:r>
          </w:p>
          <w:p>
            <w:pPr>
              <w:spacing w:after="60" w:before="0"/>
            </w:pPr>
            <w:r>
              <w:rPr>
                <w:color w:val="666666"/>
                <w:sz w:val="18"/>
                <w:szCs w:val="18"/>
              </w:rPr>
              <w:t xml:space="preserve">The Getis-Ord Gi* analysis identified 908 grid cells (500m × 500m) as hotspots at 99% statistical confidence. Pre-positioning patrol units in these specific cells — particularly during Friday afternoons and Saturday/Sunday nights — would address the highest-density areas during peak crime hours. Chronic hotspots warrant permanent structural interventions; emerging hotspots require reactive tactical response.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2</w:t>
            </w:r>
          </w:p>
        </w:tc>
        <w:tc>
          <w:tcPr>
            <w:tcW w:type="dxa" w:w="7960"/>
            <w:tcMar>
              <w:top w:type="dxa" w:w="100"/>
              <w:left w:type="dxa" w:w="200"/>
              <w:bottom w:type="dxa" w:w="100"/>
              <w:right w:type="dxa" w:w="200"/>
            </w:tcMar>
          </w:tcPr>
          <w:p>
            <w:pPr>
              <w:spacing w:after="60" w:before="60"/>
            </w:pPr>
            <w:r>
              <w:rPr>
                <w:b/>
                <w:bCs/>
                <w:sz w:val="20"/>
                <w:szCs w:val="20"/>
              </w:rPr>
              <w:t xml:space="preserve">Use the Prophet forecast model for weekly shift planning</w:t>
            </w:r>
          </w:p>
          <w:p>
            <w:pPr>
              <w:spacing w:after="60" w:before="0"/>
            </w:pPr>
            <w:r>
              <w:rPr>
                <w:color w:val="666666"/>
                <w:sz w:val="18"/>
                <w:szCs w:val="18"/>
              </w:rPr>
              <w:t xml:space="preserve">The daily crime forecast model (MAPE: 10.74%) provides reliable 7-day volume predictions. For operational resource allocation, the upper confidence interval bound should be used as the planning baseline to account for the asymmetric cost of under-staffing. The model should be retrained annually as new data becomes available.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3</w:t>
            </w:r>
          </w:p>
        </w:tc>
        <w:tc>
          <w:tcPr>
            <w:tcW w:type="dxa" w:w="7960"/>
            <w:tcMar>
              <w:top w:type="dxa" w:w="100"/>
              <w:left w:type="dxa" w:w="200"/>
              <w:bottom w:type="dxa" w:w="100"/>
              <w:right w:type="dxa" w:w="200"/>
            </w:tcMar>
          </w:tcPr>
          <w:p>
            <w:pPr>
              <w:spacing w:after="60" w:before="60"/>
            </w:pPr>
            <w:r>
              <w:rPr>
                <w:b/>
                <w:bCs/>
                <w:sz w:val="20"/>
                <w:szCs w:val="20"/>
              </w:rPr>
              <w:t xml:space="preserve">Prioritise investigations using the clearance classifier</w:t>
            </w:r>
          </w:p>
          <w:p>
            <w:pPr>
              <w:spacing w:after="60" w:before="0"/>
            </w:pPr>
            <w:r>
              <w:rPr>
                <w:color w:val="666666"/>
                <w:sz w:val="18"/>
                <w:szCs w:val="18"/>
              </w:rPr>
              <w:t xml:space="preserve">The Random Forest model identifies cases with high clearance probability based on features available at report time. Directing additional investigative resources to high-probability cases — particularly person crimes with low report delay — can maximise the overall department clearance rate without increasing total resource expenditure.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4</w:t>
            </w:r>
          </w:p>
        </w:tc>
        <w:tc>
          <w:tcPr>
            <w:tcW w:type="dxa" w:w="7960"/>
            <w:tcMar>
              <w:top w:type="dxa" w:w="100"/>
              <w:left w:type="dxa" w:w="200"/>
              <w:bottom w:type="dxa" w:w="100"/>
              <w:right w:type="dxa" w:w="200"/>
            </w:tcMar>
          </w:tcPr>
          <w:p>
            <w:pPr>
              <w:spacing w:after="60" w:before="60"/>
            </w:pPr>
            <w:r>
              <w:rPr>
                <w:b/>
                <w:bCs/>
                <w:sz w:val="20"/>
                <w:szCs w:val="20"/>
              </w:rPr>
              <w:t xml:space="preserve">Launch targeted digital literacy programmes for Senior residents</w:t>
            </w:r>
          </w:p>
          <w:p>
            <w:pPr>
              <w:spacing w:after="60" w:before="0"/>
            </w:pPr>
            <w:r>
              <w:rPr>
                <w:color w:val="666666"/>
                <w:sz w:val="18"/>
                <w:szCs w:val="18"/>
              </w:rPr>
              <w:t xml:space="preserve">Identity Theft is the second most frequent crime against victims aged 65+ (20,851 cases) and showed a significant spike in the 2020–2023 period before declining. Community-based digital literacy programmes in the highest-concentration areas can reduce Senior vulnerability to online fraud and help prevent recurrence.</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5</w:t>
            </w:r>
          </w:p>
        </w:tc>
        <w:tc>
          <w:tcPr>
            <w:tcW w:type="dxa" w:w="7960"/>
            <w:tcMar>
              <w:top w:type="dxa" w:w="100"/>
              <w:left w:type="dxa" w:w="200"/>
              <w:bottom w:type="dxa" w:w="100"/>
              <w:right w:type="dxa" w:w="200"/>
            </w:tcMar>
          </w:tcPr>
          <w:p>
            <w:pPr>
              <w:spacing w:after="60" w:before="60"/>
            </w:pPr>
            <w:r>
              <w:rPr>
                <w:b/>
                <w:bCs/>
                <w:sz w:val="20"/>
                <w:szCs w:val="20"/>
              </w:rPr>
              <w:t xml:space="preserve">Establish domestic violence early intervention protocols in high-concentration areas</w:t>
            </w:r>
          </w:p>
          <w:p>
            <w:pPr>
              <w:spacing w:after="60" w:before="0"/>
            </w:pPr>
            <w:r>
              <w:rPr>
                <w:color w:val="666666"/>
                <w:sz w:val="18"/>
                <w:szCs w:val="18"/>
              </w:rPr>
              <w:t xml:space="preserve">The three highest-volume domestic crime areas (77th Street, Southeast, Southwest) warrant dedicated domestic violence intervention units. Strangulation incidents (22,738 cases, Mocode 0408) should trigger mandatory escalation protocols. Note: strangulation as a high-risk escalation indicator is documented in criminological literature (source: to be verified and cited in final version).</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6</w:t>
            </w:r>
          </w:p>
        </w:tc>
        <w:tc>
          <w:tcPr>
            <w:tcW w:type="dxa" w:w="7960"/>
            <w:tcMar>
              <w:top w:type="dxa" w:w="100"/>
              <w:left w:type="dxa" w:w="200"/>
              <w:bottom w:type="dxa" w:w="100"/>
              <w:right w:type="dxa" w:w="200"/>
            </w:tcMar>
          </w:tcPr>
          <w:p>
            <w:pPr>
              <w:spacing w:after="60" w:before="60"/>
            </w:pPr>
            <w:r>
              <w:rPr>
                <w:b/>
                <w:bCs/>
                <w:sz w:val="20"/>
                <w:szCs w:val="20"/>
              </w:rPr>
              <w:t xml:space="preserve">Investigate the 2016–2018 domestic crime spike with external data</w:t>
            </w:r>
          </w:p>
          <w:p>
            <w:pPr>
              <w:spacing w:after="60" w:before="0"/>
            </w:pPr>
            <w:r>
              <w:rPr>
                <w:color w:val="666666"/>
                <w:sz w:val="18"/>
                <w:szCs w:val="18"/>
              </w:rPr>
              <w:t xml:space="preserve">A +38% increase in domestic crime reports between 2016 and 2018 has no clear explanation within the dataset. Cross-referencing with LAPD policy changes, court data, or social services records from that period could identify whether this reflects a real increase, a classification change, or an improved reporting environment.</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r>
        <w:br w:type="page"/>
      </w:r>
    </w:p>
    <w:p>
      <w:pPr>
        <w:shd w:fill="1B4F8A" w:val="clear"/>
        <w:spacing w:after="200" w:before="300"/>
        <w:ind w:left="200" w:right="200"/>
      </w:pPr>
      <w:r>
        <w:rPr>
          <w:b/>
          <w:bCs/>
          <w:color w:val="FFFFFF"/>
          <w:sz w:val="18"/>
          <w:szCs w:val="18"/>
        </w:rPr>
        <w:t xml:space="preserve">07</w:t>
      </w:r>
    </w:p>
    <w:p>
      <w:pPr>
        <w:spacing w:after="200" w:before="400"/>
      </w:pPr>
      <w:r>
        <w:rPr>
          <w:b/>
          <w:bCs/>
          <w:color w:val="1B4F8A"/>
          <w:sz w:val="36"/>
          <w:szCs w:val="36"/>
        </w:rPr>
        <w:t xml:space="preserve">Limitations &amp; Next Steps</w:t>
      </w:r>
    </w:p>
    <w:p>
      <w:pPr>
        <w:spacing w:after="150" w:before="300"/>
      </w:pPr>
      <w:r>
        <w:rPr>
          <w:b/>
          <w:bCs/>
          <w:color w:val="1B4F8A"/>
          <w:sz w:val="26"/>
          <w:szCs w:val="26"/>
        </w:rPr>
        <w:t xml:space="preserve">Key Limitations</w:t>
      </w:r>
    </w:p>
    <w:p>
      <w:pPr>
        <w:spacing w:after="60" w:before="60"/>
        <w:ind w:left="360"/>
      </w:pPr>
      <w:r>
        <w:rPr>
          <w:color w:val="1A1A1A"/>
          <w:sz w:val="20"/>
          <w:szCs w:val="20"/>
        </w:rPr>
        <w:t xml:space="preserve">• No population denominator: per-capita crime rates cannot be calculated without Census or ACS population data by LAPD area and demographic group. All figures are absolute counts.</w:t>
      </w:r>
    </w:p>
    <w:p>
      <w:pPr>
        <w:spacing w:after="60" w:before="60"/>
        <w:ind w:left="360"/>
      </w:pPr>
      <w:r>
        <w:rPr>
          <w:color w:val="1A1A1A"/>
          <w:sz w:val="20"/>
          <w:szCs w:val="20"/>
        </w:rPr>
        <w:t xml:space="preserve">• 2024 data incompleteness: crimes reported after June 2025 (dataset freeze date) are absent, causing artificial declines in 2024 figures across all analyses.</w:t>
      </w:r>
    </w:p>
    <w:p>
      <w:pPr>
        <w:spacing w:after="60" w:before="60"/>
        <w:ind w:left="360"/>
      </w:pPr>
      <w:r>
        <w:rPr>
          <w:color w:val="1A1A1A"/>
          <w:sz w:val="20"/>
          <w:szCs w:val="20"/>
        </w:rPr>
        <w:t xml:space="preserve">• Domestic violence under-reporting: the 7.3% domestic crime rate is a structural lower bound. The true prevalence is unknown.</w:t>
      </w:r>
    </w:p>
    <w:p>
      <w:pPr>
        <w:spacing w:after="60" w:before="60"/>
        <w:ind w:left="360"/>
      </w:pPr>
      <w:r>
        <w:rPr>
          <w:color w:val="1A1A1A"/>
          <w:sz w:val="20"/>
          <w:szCs w:val="20"/>
        </w:rPr>
        <w:t xml:space="preserve">• Coordinate obfuscation: LAT/LON values are rounded to block centroids (~100m), limiting sub-block geospatial precision.</w:t>
      </w:r>
    </w:p>
    <w:p>
      <w:pPr>
        <w:spacing w:after="60" w:before="60"/>
        <w:ind w:left="360"/>
      </w:pPr>
      <w:r>
        <w:rPr>
          <w:color w:val="1A1A1A"/>
          <w:sz w:val="20"/>
          <w:szCs w:val="20"/>
        </w:rPr>
        <w:t xml:space="preserve">• Crime category classification: the Person/Property/Other taxonomy was manually assigned to 143 crime types. Edge cases required judgment calls that should be validated by a domain expert in an operational context.</w:t>
      </w:r>
    </w:p>
    <w:p>
      <w:pPr>
        <w:spacing w:after="60" w:before="60"/>
        <w:ind w:left="360"/>
      </w:pPr>
      <w:r>
        <w:rPr>
          <w:color w:val="1A1A1A"/>
          <w:sz w:val="20"/>
          <w:szCs w:val="20"/>
        </w:rPr>
        <w:t xml:space="preserve">• GridSearchCV infeasibility: full hyperparameter grid search was not completed due to computational constraints on personal hardware. Results from RandomizedSearchCV on a 20% subsample were adopted as the final model configuration.</w:t>
      </w:r>
    </w:p>
    <w:p>
      <w:pPr>
        <w:spacing w:after="60" w:before="60"/>
        <w:ind w:left="360"/>
      </w:pPr>
      <w:r>
        <w:rPr>
          <w:color w:val="1A1A1A"/>
          <w:sz w:val="20"/>
          <w:szCs w:val="20"/>
        </w:rPr>
        <w:t xml:space="preserve">• Weapon null assumption: null values in the Weapon Desc field were coded as "No Weapon". This assumption may introduce bias if some nulls represent unidentified weapons rather than their absence.</w:t>
      </w:r>
    </w:p>
    <w:p>
      <w:pPr>
        <w:spacing w:after="60" w:before="60"/>
        <w:ind w:left="360"/>
      </w:pPr>
      <w:r>
        <w:rPr>
          <w:color w:val="1A1A1A"/>
          <w:sz w:val="20"/>
          <w:szCs w:val="20"/>
        </w:rPr>
        <w:t xml:space="preserve">• 2015–2016 anomaly: an unexplained drop in all crime categories in 2015 followed by a sharp rebound in 2016 was observed. The cause has not been verified and the period is treated as an outlier.</w:t>
      </w:r>
    </w:p>
    <w:p>
      <w:pPr>
        <w:spacing w:after="0" w:before="100"/>
      </w:pPr>
      <w:r>
        <w:t xml:space="preserve"/>
      </w:r>
    </w:p>
    <w:p>
      <w:pPr>
        <w:spacing w:after="150" w:before="300"/>
      </w:pPr>
      <w:r>
        <w:rPr>
          <w:b/>
          <w:bCs/>
          <w:color w:val="1B4F8A"/>
          <w:sz w:val="26"/>
          <w:szCs w:val="26"/>
        </w:rPr>
        <w:t xml:space="preserve">Recommended Next Steps</w:t>
      </w:r>
    </w:p>
    <w:p>
      <w:pPr>
        <w:spacing w:after="60" w:before="60"/>
        <w:ind w:left="360"/>
      </w:pPr>
      <w:r>
        <w:rPr>
          <w:color w:val="1A1A1A"/>
          <w:sz w:val="20"/>
          <w:szCs w:val="20"/>
        </w:rPr>
        <w:t xml:space="preserve">• Integrate Census/ACS population data to compute per-capita rates and enable demographic comparison.</w:t>
      </w:r>
    </w:p>
    <w:p>
      <w:pPr>
        <w:spacing w:after="60" w:before="60"/>
        <w:ind w:left="360"/>
      </w:pPr>
      <w:r>
        <w:rPr>
          <w:color w:val="1A1A1A"/>
          <w:sz w:val="20"/>
          <w:szCs w:val="20"/>
        </w:rPr>
        <w:t xml:space="preserve">• Extend geospatial analysis to include property crimes using the same grid framework.</w:t>
      </w:r>
    </w:p>
    <w:p>
      <w:pPr>
        <w:spacing w:after="60" w:before="60"/>
        <w:ind w:left="360"/>
      </w:pPr>
      <w:r>
        <w:rPr>
          <w:color w:val="1A1A1A"/>
          <w:sz w:val="20"/>
          <w:szCs w:val="20"/>
        </w:rPr>
        <w:t xml:space="preserve">• Retrain Prophet and Random Forest models on an annual basis as new LAPD data is released.</w:t>
      </w:r>
    </w:p>
    <w:p>
      <w:pPr>
        <w:spacing w:after="60" w:before="60"/>
        <w:ind w:left="360"/>
      </w:pPr>
      <w:r>
        <w:rPr>
          <w:color w:val="1A1A1A"/>
          <w:sz w:val="20"/>
          <w:szCs w:val="20"/>
        </w:rPr>
        <w:t xml:space="preserve">• Investigate the 2016–2018 domestic crime anomaly with external administrative data.</w:t>
      </w:r>
    </w:p>
    <w:p>
      <w:pPr>
        <w:spacing w:after="60" w:before="60"/>
        <w:ind w:left="360"/>
      </w:pPr>
      <w:r>
        <w:rPr>
          <w:color w:val="1A1A1A"/>
          <w:sz w:val="20"/>
          <w:szCs w:val="20"/>
        </w:rPr>
        <w:t xml:space="preserve">• Verify and cite the criminological source for strangulation as a high-risk escalation indicator (Recommendation 5).</w:t>
      </w:r>
    </w:p>
    <w:p>
      <w:pPr>
        <w:spacing w:after="60" w:before="60"/>
        <w:ind w:left="360"/>
      </w:pPr>
      <w:r>
        <w:rPr>
          <w:color w:val="1A1A1A"/>
          <w:sz w:val="20"/>
          <w:szCs w:val="20"/>
        </w:rPr>
        <w:t xml:space="preserve">• Find and cite the source documenting domestic violence increases during the 2020–2023 period (Findings 5.3).</w:t>
      </w:r>
    </w:p>
    <w:p>
      <w:pPr>
        <w:spacing w:after="60" w:before="60"/>
        <w:ind w:left="360"/>
      </w:pPr>
      <w:r>
        <w:rPr>
          <w:color w:val="1A1A1A"/>
          <w:sz w:val="20"/>
          <w:szCs w:val="20"/>
        </w:rPr>
        <w:t xml:space="preserve">• Explore cloud-based hyperparameter optimisation (AWS SageMaker, Google Vertex AI) to enable full GridSearchCV.</w:t>
      </w:r>
    </w:p>
    <w:p>
      <w:r>
        <w:br w:type="page"/>
      </w:r>
    </w:p>
    <w:p>
      <w:pPr>
        <w:shd w:fill="1B4F8A" w:val="clear"/>
        <w:spacing w:after="200" w:before="300"/>
        <w:ind w:left="200" w:right="200"/>
      </w:pPr>
      <w:r>
        <w:rPr>
          <w:b/>
          <w:bCs/>
          <w:color w:val="FFFFFF"/>
          <w:sz w:val="18"/>
          <w:szCs w:val="18"/>
        </w:rPr>
        <w:t xml:space="preserve">08</w:t>
      </w:r>
    </w:p>
    <w:p>
      <w:pPr>
        <w:spacing w:after="200" w:before="400"/>
      </w:pPr>
      <w:r>
        <w:rPr>
          <w:b/>
          <w:bCs/>
          <w:color w:val="1B4F8A"/>
          <w:sz w:val="36"/>
          <w:szCs w:val="36"/>
        </w:rPr>
        <w:t xml:space="preserve">Appendix</w:t>
      </w:r>
    </w:p>
    <w:p>
      <w:pPr>
        <w:spacing w:after="150" w:before="300"/>
      </w:pPr>
      <w:r>
        <w:rPr>
          <w:b/>
          <w:bCs/>
          <w:color w:val="1B4F8A"/>
          <w:sz w:val="26"/>
          <w:szCs w:val="26"/>
        </w:rPr>
        <w:t xml:space="preserve">A. Data Sources</w:t>
      </w:r>
    </w:p>
    <w:p>
      <w:pPr>
        <w:spacing w:after="60" w:before="60"/>
        <w:ind w:left="360"/>
      </w:pPr>
      <w:r>
        <w:rPr>
          <w:color w:val="1A1A1A"/>
          <w:sz w:val="20"/>
          <w:szCs w:val="20"/>
        </w:rPr>
        <w:t xml:space="preserve">• LAPD Crime Data 2010–2019: https://data.lacity.org/Public-Safety/Crime-Data-from-2010-to-2019/63jg-8b9z</w:t>
      </w:r>
    </w:p>
    <w:p>
      <w:pPr>
        <w:spacing w:after="60" w:before="60"/>
        <w:ind w:left="360"/>
      </w:pPr>
      <w:r>
        <w:rPr>
          <w:color w:val="1A1A1A"/>
          <w:sz w:val="20"/>
          <w:szCs w:val="20"/>
        </w:rPr>
        <w:t xml:space="preserve">• LAPD Crime Data 2020–Present: https://data.lacity.org/Public-Safety/Crime-Data-from-2020-to-Present/2nrs-mtv8</w:t>
      </w:r>
    </w:p>
    <w:p>
      <w:pPr>
        <w:spacing w:after="60" w:before="60"/>
        <w:ind w:left="360"/>
      </w:pPr>
      <w:r>
        <w:rPr>
          <w:color w:val="1A1A1A"/>
          <w:sz w:val="20"/>
          <w:szCs w:val="20"/>
        </w:rPr>
        <w:t xml:space="preserve">• LAPD MO Codes: LAPD MO Codes Numerical List, rev. 05/18</w:t>
      </w:r>
    </w:p>
    <w:p>
      <w:pPr>
        <w:spacing w:after="60" w:before="60"/>
        <w:ind w:left="360"/>
      </w:pPr>
      <w:r>
        <w:rPr>
          <w:color w:val="1A1A1A"/>
          <w:sz w:val="20"/>
          <w:szCs w:val="20"/>
        </w:rPr>
        <w:t xml:space="preserve">• LAPD Data Dictionary (coordinates and descent codes): data.lacity.org</w:t>
      </w:r>
    </w:p>
    <w:p>
      <w:pPr>
        <w:spacing w:after="0" w:before="100"/>
      </w:pPr>
      <w:r>
        <w:t xml:space="preserve"/>
      </w:r>
    </w:p>
    <w:p>
      <w:pPr>
        <w:spacing w:after="150" w:before="300"/>
      </w:pPr>
      <w:r>
        <w:rPr>
          <w:b/>
          <w:bCs/>
          <w:color w:val="1B4F8A"/>
          <w:sz w:val="26"/>
          <w:szCs w:val="26"/>
        </w:rPr>
        <w:t xml:space="preserve">B. References</w:t>
      </w:r>
    </w:p>
    <w:p>
      <w:pPr>
        <w:spacing w:after="60" w:before="60"/>
        <w:ind w:left="360"/>
      </w:pPr>
      <w:r>
        <w:rPr>
          <w:color w:val="1A1A1A"/>
          <w:sz w:val="20"/>
          <w:szCs w:val="20"/>
        </w:rPr>
        <w:t xml:space="preserve">• Bergstra, J., &amp; Bengio, Y. (2012). Random Search for Hyper-Parameter Optimization. Journal of Machine Learning Research, 13, 281–305. http://www.jmlr.org/papers/v13/bergstra12a.html</w:t>
      </w:r>
    </w:p>
    <w:p>
      <w:pPr>
        <w:spacing w:after="60" w:before="60"/>
        <w:ind w:left="360"/>
      </w:pPr>
      <w:r>
        <w:rPr>
          <w:color w:val="1A1A1A"/>
          <w:sz w:val="20"/>
          <w:szCs w:val="20"/>
        </w:rPr>
        <w:t xml:space="preserve">• Bureau of Justice Statistics, National Crime Victimization Survey (NCVS) 2019. https://bjs.ojp.gov/data-collection/ncvs</w:t>
      </w:r>
    </w:p>
    <w:p>
      <w:pPr>
        <w:spacing w:after="60" w:before="60"/>
        <w:ind w:left="360"/>
      </w:pPr>
      <w:r>
        <w:rPr>
          <w:color w:val="1A1A1A"/>
          <w:sz w:val="20"/>
          <w:szCs w:val="20"/>
        </w:rPr>
        <w:t xml:space="preserve">• FBI Uniform Crime Reporting (UCR) Program — for national vehicle theft trend context.</w:t>
      </w:r>
    </w:p>
    <w:p>
      <w:pPr>
        <w:spacing w:after="60" w:before="60"/>
        <w:ind w:left="360"/>
      </w:pPr>
      <w:r>
        <w:rPr>
          <w:color w:val="1A1A1A"/>
          <w:sz w:val="20"/>
          <w:szCs w:val="20"/>
        </w:rPr>
        <w:t xml:space="preserve">• National Insurance Crime Bureau (NICB) — for post-COVID vehicle theft documentation.</w:t>
      </w:r>
    </w:p>
    <w:p>
      <w:pPr>
        <w:spacing w:after="60" w:before="60"/>
        <w:ind w:left="360"/>
      </w:pPr>
      <w:r>
        <w:rPr>
          <w:color w:val="1A1A1A"/>
          <w:sz w:val="20"/>
          <w:szCs w:val="20"/>
        </w:rPr>
        <w:t xml:space="preserve">• [TBD] Source for strangulation as domestic violence escalation indicator (Recommendation 5).</w:t>
      </w:r>
    </w:p>
    <w:p>
      <w:pPr>
        <w:spacing w:after="60" w:before="60"/>
        <w:ind w:left="360"/>
      </w:pPr>
      <w:r>
        <w:rPr>
          <w:color w:val="1A1A1A"/>
          <w:sz w:val="20"/>
          <w:szCs w:val="20"/>
        </w:rPr>
        <w:t xml:space="preserve">• [TBD] Source for domestic violence increase during 2020–2023 period (Findings 5.3).</w:t>
      </w:r>
    </w:p>
    <w:p>
      <w:pPr>
        <w:spacing w:after="0" w:before="100"/>
      </w:pPr>
      <w:r>
        <w:t xml:space="preserve"/>
      </w:r>
    </w:p>
    <w:p>
      <w:pPr>
        <w:spacing w:after="150" w:before="300"/>
      </w:pPr>
      <w:r>
        <w:rPr>
          <w:b/>
          <w:bCs/>
          <w:color w:val="1B4F8A"/>
          <w:sz w:val="26"/>
          <w:szCs w:val="26"/>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Clearance Rate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Percentage of crimes resulting in arrest or other exceptional clearance, per FBI UCR definition.</w:t>
            </w:r>
          </w:p>
        </w:tc>
      </w:tr>
      <w:tr>
        <w:tc>
          <w:tcPr>
            <w:tcW w:type="dxa" w:w="2000"/>
            <w:shd w:fill="FFFFFF" w:val="clear"/>
            <w:tcMar>
              <w:top w:type="dxa" w:w="60"/>
              <w:left w:type="dxa" w:w="150"/>
              <w:bottom w:type="dxa" w:w="60"/>
              <w:right w:type="dxa" w:w="150"/>
            </w:tcMar>
          </w:tcPr>
          <w:p>
            <w:r>
              <w:rPr>
                <w:sz w:val="18"/>
                <w:szCs w:val="18"/>
              </w:rPr>
              <w:t xml:space="preserve">Moran's I</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Global index of spatial autocorrelation. Range −1 to +1; values near +1 indicate clustering.</w:t>
            </w:r>
          </w:p>
        </w:tc>
      </w:tr>
      <w:tr>
        <w:tc>
          <w:tcPr>
            <w:tcW w:type="dxa" w:w="2000"/>
            <w:shd w:fill="F5F5F5" w:val="clear"/>
            <w:tcMar>
              <w:top w:type="dxa" w:w="60"/>
              <w:left w:type="dxa" w:w="150"/>
              <w:bottom w:type="dxa" w:w="60"/>
              <w:right w:type="dxa" w:w="150"/>
            </w:tcMar>
          </w:tcPr>
          <w:p>
            <w:r>
              <w:rPr>
                <w:sz w:val="18"/>
                <w:szCs w:val="18"/>
              </w:rPr>
              <w:t xml:space="preserve">Getis-Ord Gi*</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Local spatial statistic identifying statistically significant hotspots and coldspots.</w:t>
            </w:r>
          </w:p>
        </w:tc>
      </w:tr>
      <w:tr>
        <w:tc>
          <w:tcPr>
            <w:tcW w:type="dxa" w:w="2000"/>
            <w:shd w:fill="FFFFFF" w:val="clear"/>
            <w:tcMar>
              <w:top w:type="dxa" w:w="60"/>
              <w:left w:type="dxa" w:w="150"/>
              <w:bottom w:type="dxa" w:w="60"/>
              <w:right w:type="dxa" w:w="150"/>
            </w:tcMar>
          </w:tcPr>
          <w:p>
            <w:r>
              <w:rPr>
                <w:sz w:val="18"/>
                <w:szCs w:val="18"/>
              </w:rPr>
              <w:t xml:space="preserve">MAPE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Mean Absolute Percentage Error — average forecast error as a percentage of actual values.</w:t>
            </w:r>
          </w:p>
        </w:tc>
      </w:tr>
      <w:tr>
        <w:tc>
          <w:tcPr>
            <w:tcW w:type="dxa" w:w="2000"/>
            <w:shd w:fill="F5F5F5" w:val="clear"/>
            <w:tcMar>
              <w:top w:type="dxa" w:w="60"/>
              <w:left w:type="dxa" w:w="150"/>
              <w:bottom w:type="dxa" w:w="60"/>
              <w:right w:type="dxa" w:w="150"/>
            </w:tcMar>
          </w:tcPr>
          <w:p>
            <w:r>
              <w:rPr>
                <w:sz w:val="18"/>
                <w:szCs w:val="18"/>
              </w:rPr>
              <w:t xml:space="preserve">PACE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Plan, Analyze, Construct, Execute — structured data analytics project framework.</w:t>
            </w:r>
          </w:p>
        </w:tc>
      </w:tr>
      <w:tr>
        <w:tc>
          <w:tcPr>
            <w:tcW w:type="dxa" w:w="2000"/>
            <w:shd w:fill="FFFFFF" w:val="clear"/>
            <w:tcMar>
              <w:top w:type="dxa" w:w="60"/>
              <w:left w:type="dxa" w:w="150"/>
              <w:bottom w:type="dxa" w:w="60"/>
              <w:right w:type="dxa" w:w="150"/>
            </w:tcMar>
          </w:tcPr>
          <w:p>
            <w:r>
              <w:rPr>
                <w:sz w:val="18"/>
                <w:szCs w:val="18"/>
              </w:rPr>
              <w:t xml:space="preserve">Mocode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LAPD Modus Operandi code — numeric descriptor of crime method or circumstance.</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Meta's open-source time series forecasting library.</w:t>
            </w:r>
          </w:p>
        </w:tc>
      </w:tr>
      <w:tr>
        <w:tc>
          <w:tcPr>
            <w:tcW w:type="dxa" w:w="2000"/>
            <w:shd w:fill="FFFFFF" w:val="clear"/>
            <w:tcMar>
              <w:top w:type="dxa" w:w="60"/>
              <w:left w:type="dxa" w:w="150"/>
              <w:bottom w:type="dxa" w:w="60"/>
              <w:right w:type="dxa" w:w="150"/>
            </w:tcMar>
          </w:tcPr>
          <w:p>
            <w:r>
              <w:rPr>
                <w:sz w:val="18"/>
                <w:szCs w:val="18"/>
              </w:rPr>
              <w:t xml:space="preserve">Random Forest</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Ensemble machine learning model composed of multiple decision trees.</w:t>
            </w:r>
          </w:p>
        </w:tc>
      </w:tr>
      <w:tr>
        <w:tc>
          <w:tcPr>
            <w:tcW w:type="dxa" w:w="2000"/>
            <w:shd w:fill="F5F5F5" w:val="clear"/>
            <w:tcMar>
              <w:top w:type="dxa" w:w="60"/>
              <w:left w:type="dxa" w:w="150"/>
              <w:bottom w:type="dxa" w:w="60"/>
              <w:right w:type="dxa" w:w="150"/>
            </w:tcMar>
          </w:tcPr>
          <w:p>
            <w:r>
              <w:rPr>
                <w:sz w:val="18"/>
                <w:szCs w:val="18"/>
              </w:rPr>
              <w:t xml:space="preserve">Recall</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Proportion of true positives correctly identified by a classifier.</w:t>
            </w:r>
          </w:p>
        </w:tc>
      </w:tr>
      <w:tr>
        <w:tc>
          <w:tcPr>
            <w:tcW w:type="dxa" w:w="2000"/>
            <w:shd w:fill="FFFFFF" w:val="clear"/>
            <w:tcMar>
              <w:top w:type="dxa" w:w="60"/>
              <w:left w:type="dxa" w:w="150"/>
              <w:bottom w:type="dxa" w:w="60"/>
              <w:right w:type="dxa" w:w="150"/>
            </w:tcMar>
          </w:tcPr>
          <w:p>
            <w:r>
              <w:rPr>
                <w:sz w:val="18"/>
                <w:szCs w:val="18"/>
              </w:rPr>
              <w:t xml:space="preserve">Other (crime category)</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Residual crime category (~1.5% of dataset) including violations of restraining orders, public disturbances, false reports, and similar offenses not classifiable as Person or Property crimes.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pBdr>
      <w:jc w:val="center"/>
    </w:pPr>
    <w:r>
      <w:rPr>
        <w:color w:val="666666"/>
        <w:sz w:val="16"/>
        <w:szCs w:val="16"/>
      </w:rPr>
      <w:t xml:space="preserve">Prepared by Eca — Freelance Data Analyst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left w:val="none"/>
            <w:bottom w:val="single" w:color="1B4F8A" w:sz="4"/>
            <w:right w:val="none"/>
          </w:tcBorders>
          <w:tcMar>
            <w:bottom w:type="dxa" w:w="60"/>
          </w:tcMar>
        </w:tcPr>
        <w:p>
          <w:r>
            <w:rPr>
              <w:color w:val="666666"/>
              <w:sz w:val="16"/>
              <w:szCs w:val="16"/>
            </w:rPr>
            <w:t xml:space="preserve">ECA — PORTFOLIO PROJECT</w:t>
          </w:r>
        </w:p>
      </w:tc>
      <w:tc>
        <w:tcPr>
          <w:tcW w:type="dxa" w:w="4360"/>
          <w:tcBorders>
            <w:top w:val="none"/>
            <w:left w:val="none"/>
            <w:bottom w:val="single" w:color="1B4F8A" w:sz="4"/>
            <w:right w:val="none"/>
          </w:tcBorders>
          <w:tcMar>
            <w:bottom w:type="dxa" w:w="60"/>
          </w:tcMar>
        </w:tcPr>
        <w:p>
          <w:pPr>
            <w:jc w:val="right"/>
          </w:pPr>
          <w:r>
            <w:rPr>
              <w:color w:val="666666"/>
              <w:sz w:val="16"/>
              <w:szCs w:val="16"/>
            </w:rPr>
            <w:t xml:space="preserve">LAPD CRIME DATA ANALYSIS (2010–2024)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2026-07-30T07:14:42.928Z</dcterms:created>
  <dcterms:modified xsi:type="dcterms:W3CDTF">2026-07-30T07:14:42.940Z</dcterms:modified>
</cp:coreProperties>
</file>

<file path=docProps/custom.xml><?xml version="1.0" encoding="utf-8"?>
<Properties xmlns="http://schemas.openxmlformats.org/officeDocument/2006/custom-properties" xmlns:vt="http://schemas.openxmlformats.org/officeDocument/2006/docPropsVTypes"/>
</file>