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3la976w5g7fu" w:id="0"/>
      <w:bookmarkEnd w:id="0"/>
      <w:r w:rsidDel="00000000" w:rsidR="00000000" w:rsidRPr="00000000">
        <w:rPr>
          <w:color w:val="1f1f1f"/>
          <w:sz w:val="46"/>
          <w:szCs w:val="46"/>
          <w:rtl w:val="0"/>
        </w:rPr>
        <w:t xml:space="preserve">Step-by-step instructions for accessing Qwiklabs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Qwiklabs is Google Cloud’s solution for self-paced, hands-on labs. As part of the Google Data Analytics Certificate program, you will complete multiple labs hosted in the Qwiklabs environment.</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Important note: Qwiklabs are designed to be completed using a laptop or desktop computer with a reliable Internet connection, not a mobile device. Complete these lab activities when you are able to log in to Coursera from a computer.</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This reading provides important details you need to know about using Qwiklabs. In your first Qwiklabs activity after this reading, you don't need to complete a specific data analysis task in the BigQuery console. Just confirm that you made it to the console after you start the lab and sign in with the credentials provided. After you view the console, you may end the lab. Qwiklabs with assigned tasks begin in Course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