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spreadsheet function that calculates the number of days, months, or years between two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9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B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lue that can’t have a duplicate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D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