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h3m2pflgxm9e" w:id="0"/>
      <w:bookmarkEnd w:id="0"/>
      <w:r w:rsidDel="00000000" w:rsidR="00000000" w:rsidRPr="00000000">
        <w:rPr>
          <w:sz w:val="46"/>
          <w:szCs w:val="46"/>
          <w:rtl w:val="0"/>
        </w:rPr>
        <w:t xml:space="preserve">Learning Log: Tell a story with data</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6858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eixhsvbbzy" w:id="1"/>
      <w:bookmarkEnd w:id="1"/>
      <w:r w:rsidDel="00000000" w:rsidR="00000000" w:rsidRPr="00000000">
        <w:rPr>
          <w:color w:val="bfbfbf"/>
          <w:sz w:val="33"/>
          <w:szCs w:val="33"/>
          <w:rtl w:val="0"/>
        </w:rPr>
        <w:t xml:space="preserve">Overview</w:t>
      </w:r>
    </w:p>
    <w:p w:rsidR="00000000" w:rsidDel="00000000" w:rsidP="00000000" w:rsidRDefault="00000000" w:rsidRPr="00000000" w14:paraId="00000005">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You have learned about how data storytelling and visualizations can be powerful tools for communicating your data findings with your audience. Now, you’ll complete an entry in your learning log to reflect on both data storytelling and visualization. By the time you complete this entry, you will have a stronger understanding of how you can combine these concepts to communicate more effectively. This will help you as you start sharing your own visualizations and presentations as a data analyst.</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e8flyaex78c" w:id="2"/>
      <w:bookmarkEnd w:id="2"/>
      <w:r w:rsidDel="00000000" w:rsidR="00000000" w:rsidRPr="00000000">
        <w:rPr>
          <w:color w:val="bfbfbf"/>
          <w:sz w:val="33"/>
          <w:szCs w:val="33"/>
          <w:rtl w:val="0"/>
        </w:rPr>
        <w:t xml:space="preserve">Data storytelling and visualization</w:t>
      </w:r>
    </w:p>
    <w:p w:rsidR="00000000" w:rsidDel="00000000" w:rsidP="00000000" w:rsidRDefault="00000000" w:rsidRPr="00000000" w14:paraId="00000008">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Before you write your response in the learning log template linked below, take a moment to consider how data storytelling and visualization are used to communicate about data. </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Data storytelling means communicating the meaning of a dataset with visuals and a narrative that are customized for a particular audience.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For example, some music-streaming companies send their customers a “year in review” email. In these emails, they tell their customers which artists and songs they were a top fan of. This way, the companies use their customers’ data to tell a story.</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Data visualization is the representation and presentation of data to help with understanding. You can use graphs, charts, word clouds, and other visual depictions to help your audience see and clearly understand your data. </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The effects of data storytelling and data visualization can be powerful. Data storytelling and data visualization can captivate your audience, make stories memorable, touch people’s hearts, and inspire people to take action. </w:t>
      </w:r>
    </w:p>
    <w:p w:rsidR="00000000" w:rsidDel="00000000" w:rsidP="00000000" w:rsidRDefault="00000000" w:rsidRPr="00000000" w14:paraId="0000000E">
      <w:pPr>
        <w:rPr>
          <w:color w:val="bfbfbf"/>
          <w:sz w:val="21"/>
          <w:szCs w:val="21"/>
        </w:rPr>
      </w:pPr>
      <w:r w:rsidDel="00000000" w:rsidR="00000000" w:rsidRPr="00000000">
        <w:rPr>
          <w:color w:val="bfbfbf"/>
          <w:sz w:val="21"/>
          <w:szCs w:val="21"/>
        </w:rPr>
        <w:drawing>
          <wp:inline distB="114300" distT="114300" distL="114300" distR="114300">
            <wp:extent cx="5731200" cy="50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fz78q6bu2e5e" w:id="3"/>
      <w:bookmarkEnd w:id="3"/>
      <w:r w:rsidDel="00000000" w:rsidR="00000000" w:rsidRPr="00000000">
        <w:rPr>
          <w:color w:val="bfbfbf"/>
          <w:sz w:val="24"/>
          <w:szCs w:val="24"/>
          <w:rtl w:val="0"/>
        </w:rPr>
        <w:t xml:space="preserve">Access your learning log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11">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learning log template: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Tell a story with data</w:t>
        </w:r>
      </w:hyperlink>
      <w:r w:rsidDel="00000000" w:rsidR="00000000" w:rsidRPr="00000000">
        <w:rPr>
          <w:rtl w:val="0"/>
        </w:rPr>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14">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yEMewOdVTJeDHsDnVeyXOQ_5f6c59217d8e46f299544b9edfb631f1_Learning-Log-Template_-Tell-a-story-with-data.docx?Expires=1623628800&amp;Signature=PmvQzz0W0EQyA~8HEXiS-5mUO28b3eNzb2RJkWirTQFs5r9BYCNIE8q8fUeA2NpLmj3KjvOsoI2764UILJYs066xU9Zp5BacP4hbZyfYw8QuJ5rymbCLFNuf~vTfHa28VnBFR5Ls~qckjzOpb3~87Xhc-Ymx9g5txviuoDlYocY_&amp;Key-Pair-Id=APKAJLTNE6QMUY6HBC5A" </w:instrText>
        <w:fldChar w:fldCharType="separate"/>
      </w:r>
      <w:r w:rsidDel="00000000" w:rsidR="00000000" w:rsidRPr="00000000">
        <w:rPr>
          <w:rFonts w:ascii="Roboto" w:cs="Roboto" w:eastAsia="Roboto" w:hAnsi="Roboto"/>
          <w:color w:val="bfbfbf"/>
          <w:sz w:val="24"/>
          <w:szCs w:val="24"/>
          <w:rtl w:val="0"/>
        </w:rPr>
        <w:t xml:space="preserve">Learning Log Template_ Tell a story with data.docx</w:t>
      </w:r>
    </w:p>
    <w:p w:rsidR="00000000" w:rsidDel="00000000" w:rsidP="00000000" w:rsidRDefault="00000000" w:rsidRPr="00000000" w14:paraId="00000015">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50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nu8xq6spjos"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17">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Now that you’ve thought more about data storytelling and visualization, take a moment to reflect on these concepts. In your learning log template, write 2-3 sentences (40-60 words) in response to each question below:</w:t>
      </w:r>
    </w:p>
    <w:p w:rsidR="00000000" w:rsidDel="00000000" w:rsidP="00000000" w:rsidRDefault="00000000" w:rsidRPr="00000000" w14:paraId="00000019">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is the most interesting thing that you have learned in Week 3 so far? </w:t>
      </w:r>
    </w:p>
    <w:p w:rsidR="00000000" w:rsidDel="00000000" w:rsidP="00000000" w:rsidRDefault="00000000" w:rsidRPr="00000000" w14:paraId="0000001A">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aspects of data storytelling and visualization do you want to explore in more detail? Why are those aspects important or interesting to you?</w:t>
      </w:r>
    </w:p>
    <w:p w:rsidR="00000000" w:rsidDel="00000000" w:rsidP="00000000" w:rsidRDefault="00000000" w:rsidRPr="00000000" w14:paraId="0000001B">
      <w:pPr>
        <w:numPr>
          <w:ilvl w:val="0"/>
          <w:numId w:val="2"/>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stories related to your own life or society are you curious about telling by using data? </w:t>
      </w:r>
    </w:p>
    <w:p w:rsidR="00000000" w:rsidDel="00000000" w:rsidP="00000000" w:rsidRDefault="00000000" w:rsidRPr="00000000" w14:paraId="0000001C">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If you could tell any story by using data, what would it be, and why?</w:t>
      </w:r>
    </w:p>
    <w:p w:rsidR="00000000" w:rsidDel="00000000" w:rsidP="00000000" w:rsidRDefault="00000000" w:rsidRPr="00000000" w14:paraId="0000001D">
      <w:pPr>
        <w:shd w:fill="1c1c21" w:val="clear"/>
        <w:spacing w:after="300" w:line="360" w:lineRule="auto"/>
        <w:rPr>
          <w:color w:val="bfbfbf"/>
          <w:sz w:val="21"/>
          <w:szCs w:val="21"/>
        </w:rPr>
      </w:pPr>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8supoxx2UXq0cyaxraOgNN-9wGmpHsvzsbZNrKnzMYw/template/preview?resourcekey=0-cpUrzO49CLgKtGJDGP2TJg" TargetMode="External"/><Relationship Id="rId10" Type="http://schemas.openxmlformats.org/officeDocument/2006/relationships/hyperlink" Target="https://docs.google.com/document/d/18supoxx2UXq0cyaxraOgNN-9wGmpHsvzsbZNrKnzMYw/template/preview?resourcekey=0-cpUrzO49CLgKtGJDGP2TJg"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