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F4C40"/>
          <w:sz w:val="56"/>
          <w:szCs w:val="56"/>
        </w:rPr>
        <w:t xml:space="preserve">TOYS BUSINESS ANALYTICS</w:t>
      </w:r>
    </w:p>
    <w:p>
      <w:pPr>
        <w:spacing w:after="100" w:before="200"/>
        <w:jc w:val="center"/>
      </w:pPr>
      <w:r>
        <w:rPr>
          <w:b/>
          <w:bCs/>
          <w:color w:val="1F7A6C"/>
          <w:sz w:val="32"/>
          <w:szCs w:val="32"/>
        </w:rPr>
        <w:t xml:space="preserve">Power BI Project Documentation</w:t>
      </w:r>
    </w:p>
    <w:p>
      <w:pPr>
        <w:spacing w:after="800" w:before="300"/>
        <w:jc w:val="center"/>
      </w:pPr>
      <w:r>
        <w:rPr>
          <w:i/>
          <w:iCs/>
          <w:color w:val="666666"/>
          <w:sz w:val="20"/>
          <w:szCs w:val="20"/>
        </w:rPr>
        <w:t xml:space="preserve">Business Intelligence  •  DAX  •  Data Modeling  •  Time Intelligence  •  Website Analytics</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20"/>
          <w:szCs w:val="20"/>
        </w:rPr>
        <w:t xml:space="preserve">Figure 1 — Power BI Dashboard: Home / Overview Page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7A6C" w:sz="8"/>
        </w:pBdr>
        <w:spacing w:after="200" w:before="400"/>
      </w:pPr>
      <w:r>
        <w:rPr>
          <w:b/>
          <w:bCs/>
          <w:color w:val="0F4C40"/>
        </w:rPr>
        <w:t xml:space="preserve">1. Project Overview</w:t>
      </w:r>
    </w:p>
    <w:p>
      <w:pPr>
        <w:pStyle w:val="Heading2"/>
        <w:spacing w:after="160" w:before="320"/>
      </w:pPr>
      <w:r>
        <w:rPr>
          <w:b/>
          <w:bCs/>
          <w:color w:val="1F7A6C"/>
        </w:rPr>
        <w:t xml:space="preserve">1.1 Introduction</w:t>
      </w:r>
    </w:p>
    <w:p>
      <w:pPr>
        <w:spacing w:after="160" w:line="300"/>
      </w:pPr>
      <w:r>
        <w:rPr>
          <w:color w:val="444444"/>
          <w:sz w:val="22"/>
          <w:szCs w:val="22"/>
        </w:rPr>
        <w:t xml:space="preserve">This project is a Power BI-based business analytics solution developed for a toy business. The report brings together order, order-item, refund, product, website-session, and website-pageview data to provide a consolidated view of business performance.</w:t>
      </w:r>
    </w:p>
    <w:p>
      <w:pPr>
        <w:spacing w:after="160" w:line="300"/>
      </w:pPr>
      <w:r>
        <w:rPr>
          <w:color w:val="444444"/>
          <w:sz w:val="22"/>
          <w:szCs w:val="22"/>
        </w:rPr>
        <w:t xml:space="preserve">The project focuses on transforming raw business data into useful analytical information through data preparation, calculated columns, DAX measures, time-intelligence calculations, and interactive dashboard reporting. The analysis covers sales, orders, products, profitability, refunds, website traffic, sessions, and marketing-source information.</w:t>
      </w:r>
    </w:p>
    <w:p>
      <w:pPr>
        <w:pStyle w:val="Heading2"/>
        <w:spacing w:after="160" w:before="320"/>
      </w:pPr>
      <w:r>
        <w:rPr>
          <w:b/>
          <w:bCs/>
          <w:color w:val="1F7A6C"/>
        </w:rPr>
        <w:t xml:space="preserve">1.2 Project Objectives</w:t>
      </w:r>
    </w:p>
    <w:p>
      <w:pPr>
        <w:pStyle w:val="ListParagraph"/>
        <w:numPr>
          <w:ilvl w:val="0"/>
          <w:numId w:val="1"/>
        </w:numPr>
        <w:spacing w:after="80" w:line="280"/>
      </w:pPr>
      <w:r>
        <w:rPr>
          <w:color w:val="444444"/>
          <w:sz w:val="22"/>
          <w:szCs w:val="22"/>
        </w:rPr>
        <w:t xml:space="preserve">Analyze overall toy business performance using Power BI.</w:t>
      </w:r>
    </w:p>
    <w:p>
      <w:pPr>
        <w:pStyle w:val="ListParagraph"/>
        <w:numPr>
          <w:ilvl w:val="0"/>
          <w:numId w:val="1"/>
        </w:numPr>
        <w:spacing w:after="80" w:line="280"/>
      </w:pPr>
      <w:r>
        <w:rPr>
          <w:color w:val="444444"/>
          <w:sz w:val="22"/>
          <w:szCs w:val="22"/>
        </w:rPr>
        <w:t xml:space="preserve">Measure total sales, orders, items purchased, and toys sold.</w:t>
      </w:r>
    </w:p>
    <w:p>
      <w:pPr>
        <w:pStyle w:val="ListParagraph"/>
        <w:numPr>
          <w:ilvl w:val="0"/>
          <w:numId w:val="1"/>
        </w:numPr>
        <w:spacing w:after="80" w:line="280"/>
      </w:pPr>
      <w:r>
        <w:rPr>
          <w:color w:val="444444"/>
          <w:sz w:val="22"/>
          <w:szCs w:val="22"/>
        </w:rPr>
        <w:t xml:space="preserve">Analyze profitability using COGS, profit, and profit margin calculations.</w:t>
      </w:r>
    </w:p>
    <w:p>
      <w:pPr>
        <w:pStyle w:val="ListParagraph"/>
        <w:numPr>
          <w:ilvl w:val="0"/>
          <w:numId w:val="1"/>
        </w:numPr>
        <w:spacing w:after="80" w:line="280"/>
      </w:pPr>
      <w:r>
        <w:rPr>
          <w:color w:val="444444"/>
          <w:sz w:val="22"/>
          <w:szCs w:val="22"/>
        </w:rPr>
        <w:t xml:space="preserve">Analyze refund amount and average refund performance.</w:t>
      </w:r>
    </w:p>
    <w:p>
      <w:pPr>
        <w:pStyle w:val="ListParagraph"/>
        <w:numPr>
          <w:ilvl w:val="0"/>
          <w:numId w:val="1"/>
        </w:numPr>
        <w:spacing w:after="80" w:line="280"/>
      </w:pPr>
      <w:r>
        <w:rPr>
          <w:color w:val="444444"/>
          <w:sz w:val="22"/>
          <w:szCs w:val="22"/>
        </w:rPr>
        <w:t xml:space="preserve">Understand website sessions and pageview activity.</w:t>
      </w:r>
    </w:p>
    <w:p>
      <w:pPr>
        <w:pStyle w:val="ListParagraph"/>
        <w:numPr>
          <w:ilvl w:val="0"/>
          <w:numId w:val="1"/>
        </w:numPr>
        <w:spacing w:after="80" w:line="280"/>
      </w:pPr>
      <w:r>
        <w:rPr>
          <w:color w:val="444444"/>
          <w:sz w:val="22"/>
          <w:szCs w:val="22"/>
        </w:rPr>
        <w:t xml:space="preserve">Analyze traffic sources, UTM information, device type, and referral sources.</w:t>
      </w:r>
    </w:p>
    <w:p>
      <w:pPr>
        <w:pStyle w:val="ListParagraph"/>
        <w:numPr>
          <w:ilvl w:val="0"/>
          <w:numId w:val="1"/>
        </w:numPr>
        <w:spacing w:after="80" w:line="280"/>
      </w:pPr>
      <w:r>
        <w:rPr>
          <w:color w:val="444444"/>
          <w:sz w:val="22"/>
          <w:szCs w:val="22"/>
        </w:rPr>
        <w:t xml:space="preserve">Create a dedicated custom Date table for time-based analysis.</w:t>
      </w:r>
    </w:p>
    <w:p>
      <w:pPr>
        <w:pStyle w:val="ListParagraph"/>
        <w:numPr>
          <w:ilvl w:val="0"/>
          <w:numId w:val="1"/>
        </w:numPr>
        <w:spacing w:after="80" w:line="280"/>
      </w:pPr>
      <w:r>
        <w:rPr>
          <w:color w:val="444444"/>
          <w:sz w:val="22"/>
          <w:szCs w:val="22"/>
        </w:rPr>
        <w:t xml:space="preserve">Use MTD and YTD calculations for time-intelligence reporting.</w:t>
      </w:r>
    </w:p>
    <w:p>
      <w:pPr>
        <w:pStyle w:val="ListParagraph"/>
        <w:numPr>
          <w:ilvl w:val="0"/>
          <w:numId w:val="1"/>
        </w:numPr>
        <w:spacing w:after="80" w:line="280"/>
      </w:pPr>
      <w:r>
        <w:rPr>
          <w:color w:val="444444"/>
          <w:sz w:val="22"/>
          <w:szCs w:val="22"/>
        </w:rPr>
        <w:t xml:space="preserve">Identify distinct/different values in important categorical fields before analysis.</w:t>
      </w:r>
    </w:p>
    <w:p>
      <w:pPr>
        <w:pStyle w:val="ListParagraph"/>
        <w:numPr>
          <w:ilvl w:val="0"/>
          <w:numId w:val="1"/>
        </w:numPr>
        <w:spacing w:after="80" w:line="280"/>
      </w:pPr>
      <w:r>
        <w:rPr>
          <w:color w:val="444444"/>
          <w:sz w:val="22"/>
          <w:szCs w:val="22"/>
        </w:rPr>
        <w:t xml:space="preserve">Check and understand NULL/blank values as part of data-quality analysis.</w:t>
      </w:r>
    </w:p>
    <w:p>
      <w:pPr>
        <w:pStyle w:val="ListParagraph"/>
        <w:numPr>
          <w:ilvl w:val="0"/>
          <w:numId w:val="1"/>
        </w:numPr>
        <w:spacing w:after="80" w:line="280"/>
      </w:pPr>
      <w:r>
        <w:rPr>
          <w:color w:val="444444"/>
          <w:sz w:val="22"/>
          <w:szCs w:val="22"/>
        </w:rPr>
        <w:t xml:space="preserve">Build an interactive Power BI report with navigation between report sections.</w:t>
      </w:r>
    </w:p>
    <w:p>
      <w:pPr>
        <w:pStyle w:val="ListParagraph"/>
        <w:numPr>
          <w:ilvl w:val="0"/>
          <w:numId w:val="1"/>
        </w:numPr>
        <w:spacing w:after="80" w:line="280"/>
      </w:pPr>
      <w:r>
        <w:rPr>
          <w:color w:val="444444"/>
          <w:sz w:val="22"/>
          <w:szCs w:val="22"/>
        </w:rPr>
        <w:t xml:space="preserve">Convert raw data into business-focused KPIs and insights.</w:t>
      </w:r>
    </w:p>
    <w:p>
      <w:pPr>
        <w:pStyle w:val="Heading2"/>
        <w:spacing w:after="160" w:before="320"/>
      </w:pPr>
      <w:r>
        <w:rPr>
          <w:b/>
          <w:bCs/>
          <w:color w:val="1F7A6C"/>
        </w:rPr>
        <w:t xml:space="preserve">1.3 Scope of the Project</w:t>
      </w:r>
    </w:p>
    <w:p>
      <w:pPr>
        <w:spacing w:after="160" w:line="300"/>
      </w:pPr>
      <w:r>
        <w:rPr>
          <w:color w:val="444444"/>
          <w:sz w:val="22"/>
          <w:szCs w:val="22"/>
        </w:rPr>
        <w:t xml:space="preserve">The scope of this project covers descriptive and diagnostic business analytics. It focuses on understanding what happened in the business and identifying patterns across sales, products, profitability, refunds, and website activity. The project is not presented as a predictive machine-learning system.</w:t>
      </w:r>
    </w:p>
    <w:p>
      <w:pPr>
        <w:pStyle w:val="Heading1"/>
        <w:pBdr>
          <w:bottom w:val="single" w:color="1F7A6C" w:sz="8"/>
        </w:pBdr>
        <w:spacing w:after="200" w:before="400"/>
      </w:pPr>
      <w:r>
        <w:rPr>
          <w:b/>
          <w:bCs/>
          <w:color w:val="0F4C40"/>
        </w:rPr>
        <w:t xml:space="preserve">2. Dataset Information</w:t>
      </w:r>
    </w:p>
    <w:p>
      <w:pPr>
        <w:pStyle w:val="Heading2"/>
        <w:spacing w:after="160" w:before="320"/>
      </w:pPr>
      <w:r>
        <w:rPr>
          <w:b/>
          <w:bCs/>
          <w:color w:val="1F7A6C"/>
        </w:rPr>
        <w:t xml:space="preserve">2.1 Dataset / Table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auto" w:w="0"/>
            <w:shd w:fill="1F7A6C" w:val="clear"/>
            <w:tcMar>
              <w:top w:type="dxa" w:w="100"/>
              <w:left w:type="dxa" w:w="120"/>
              <w:bottom w:type="dxa" w:w="100"/>
              <w:right w:type="dxa" w:w="120"/>
            </w:tcMar>
            <w:vAlign w:val="center"/>
          </w:tcPr>
          <w:p>
            <w:r>
              <w:rPr>
                <w:b/>
                <w:bCs/>
                <w:color w:val="FFFFFF"/>
                <w:sz w:val="20"/>
                <w:szCs w:val="20"/>
              </w:rPr>
              <w:t xml:space="preserve">Table</w:t>
            </w:r>
          </w:p>
        </w:tc>
        <w:tc>
          <w:tcPr>
            <w:tcW w:type="auto" w:w="0"/>
            <w:shd w:fill="1F7A6C" w:val="clear"/>
            <w:tcMar>
              <w:top w:type="dxa" w:w="100"/>
              <w:left w:type="dxa" w:w="120"/>
              <w:bottom w:type="dxa" w:w="100"/>
              <w:right w:type="dxa" w:w="120"/>
            </w:tcMar>
            <w:vAlign w:val="center"/>
          </w:tcPr>
          <w:p>
            <w:r>
              <w:rPr>
                <w:b/>
                <w:bCs/>
                <w:color w:val="FFFFFF"/>
                <w:sz w:val="20"/>
                <w:szCs w:val="20"/>
              </w:rPr>
              <w:t xml:space="preserve">Purpose in Analysis</w:t>
            </w:r>
          </w:p>
        </w:tc>
      </w:tr>
      <w:tr>
        <w:tc>
          <w:tcPr>
            <w:tcW w:type="auto" w:w="0"/>
            <w:shd w:fill="FFFFFF" w:val="clear"/>
            <w:tcMar>
              <w:top w:type="dxa" w:w="100"/>
              <w:left w:type="dxa" w:w="120"/>
              <w:bottom w:type="dxa" w:w="100"/>
              <w:right w:type="dxa" w:w="120"/>
            </w:tcMar>
            <w:vAlign w:val="center"/>
          </w:tcPr>
          <w:p>
            <w:r>
              <w:rPr>
                <w:color w:val="444444"/>
                <w:sz w:val="20"/>
                <w:szCs w:val="20"/>
              </w:rPr>
              <w:t xml:space="preserve">orders</w:t>
            </w:r>
          </w:p>
        </w:tc>
        <w:tc>
          <w:tcPr>
            <w:tcW w:type="auto" w:w="0"/>
            <w:shd w:fill="FFFFFF" w:val="clear"/>
            <w:tcMar>
              <w:top w:type="dxa" w:w="100"/>
              <w:left w:type="dxa" w:w="120"/>
              <w:bottom w:type="dxa" w:w="100"/>
              <w:right w:type="dxa" w:w="120"/>
            </w:tcMar>
            <w:vAlign w:val="center"/>
          </w:tcPr>
          <w:p>
            <w:r>
              <w:rPr>
                <w:color w:val="444444"/>
                <w:sz w:val="20"/>
                <w:szCs w:val="20"/>
              </w:rPr>
              <w:t xml:space="preserve">Order-level sales, cost, profit, customer/user and website-session information.</w:t>
            </w:r>
          </w:p>
        </w:tc>
      </w:tr>
      <w:tr>
        <w:tc>
          <w:tcPr>
            <w:tcW w:type="auto" w:w="0"/>
            <w:shd w:fill="F2F2F2" w:val="clear"/>
            <w:tcMar>
              <w:top w:type="dxa" w:w="100"/>
              <w:left w:type="dxa" w:w="120"/>
              <w:bottom w:type="dxa" w:w="100"/>
              <w:right w:type="dxa" w:w="120"/>
            </w:tcMar>
            <w:vAlign w:val="center"/>
          </w:tcPr>
          <w:p>
            <w:r>
              <w:rPr>
                <w:color w:val="444444"/>
                <w:sz w:val="20"/>
                <w:szCs w:val="20"/>
              </w:rPr>
              <w:t xml:space="preserve">order_items</w:t>
            </w:r>
          </w:p>
        </w:tc>
        <w:tc>
          <w:tcPr>
            <w:tcW w:type="auto" w:w="0"/>
            <w:shd w:fill="F2F2F2" w:val="clear"/>
            <w:tcMar>
              <w:top w:type="dxa" w:w="100"/>
              <w:left w:type="dxa" w:w="120"/>
              <w:bottom w:type="dxa" w:w="100"/>
              <w:right w:type="dxa" w:w="120"/>
            </w:tcMar>
            <w:vAlign w:val="center"/>
          </w:tcPr>
          <w:p>
            <w:r>
              <w:rPr>
                <w:color w:val="444444"/>
                <w:sz w:val="20"/>
                <w:szCs w:val="20"/>
              </w:rPr>
              <w:t xml:space="preserve">Item-level product/order information and COGS-related data.</w:t>
            </w:r>
          </w:p>
        </w:tc>
      </w:tr>
      <w:tr>
        <w:tc>
          <w:tcPr>
            <w:tcW w:type="auto" w:w="0"/>
            <w:shd w:fill="FFFFFF" w:val="clear"/>
            <w:tcMar>
              <w:top w:type="dxa" w:w="100"/>
              <w:left w:type="dxa" w:w="120"/>
              <w:bottom w:type="dxa" w:w="100"/>
              <w:right w:type="dxa" w:w="120"/>
            </w:tcMar>
            <w:vAlign w:val="center"/>
          </w:tcPr>
          <w:p>
            <w:r>
              <w:rPr>
                <w:color w:val="444444"/>
                <w:sz w:val="20"/>
                <w:szCs w:val="20"/>
              </w:rPr>
              <w:t xml:space="preserve">order_item_refunds</w:t>
            </w:r>
          </w:p>
        </w:tc>
        <w:tc>
          <w:tcPr>
            <w:tcW w:type="auto" w:w="0"/>
            <w:shd w:fill="FFFFFF" w:val="clear"/>
            <w:tcMar>
              <w:top w:type="dxa" w:w="100"/>
              <w:left w:type="dxa" w:w="120"/>
              <w:bottom w:type="dxa" w:w="100"/>
              <w:right w:type="dxa" w:w="120"/>
            </w:tcMar>
            <w:vAlign w:val="center"/>
          </w:tcPr>
          <w:p>
            <w:r>
              <w:rPr>
                <w:color w:val="444444"/>
                <w:sz w:val="20"/>
                <w:szCs w:val="20"/>
              </w:rPr>
              <w:t xml:space="preserve">Refund transactions and refund amount analysis.</w:t>
            </w:r>
          </w:p>
        </w:tc>
      </w:tr>
      <w:tr>
        <w:tc>
          <w:tcPr>
            <w:tcW w:type="auto" w:w="0"/>
            <w:shd w:fill="F2F2F2" w:val="clear"/>
            <w:tcMar>
              <w:top w:type="dxa" w:w="100"/>
              <w:left w:type="dxa" w:w="120"/>
              <w:bottom w:type="dxa" w:w="100"/>
              <w:right w:type="dxa" w:w="120"/>
            </w:tcMar>
            <w:vAlign w:val="center"/>
          </w:tcPr>
          <w:p>
            <w:r>
              <w:rPr>
                <w:color w:val="444444"/>
                <w:sz w:val="20"/>
                <w:szCs w:val="20"/>
              </w:rPr>
              <w:t xml:space="preserve">products</w:t>
            </w:r>
          </w:p>
        </w:tc>
        <w:tc>
          <w:tcPr>
            <w:tcW w:type="auto" w:w="0"/>
            <w:shd w:fill="F2F2F2" w:val="clear"/>
            <w:tcMar>
              <w:top w:type="dxa" w:w="100"/>
              <w:left w:type="dxa" w:w="120"/>
              <w:bottom w:type="dxa" w:w="100"/>
              <w:right w:type="dxa" w:w="120"/>
            </w:tcMar>
            <w:vAlign w:val="center"/>
          </w:tcPr>
          <w:p>
            <w:r>
              <w:rPr>
                <w:color w:val="444444"/>
                <w:sz w:val="20"/>
                <w:szCs w:val="20"/>
              </w:rPr>
              <w:t xml:space="preserve">Product master information such as product ID and product name.</w:t>
            </w:r>
          </w:p>
        </w:tc>
      </w:tr>
      <w:tr>
        <w:tc>
          <w:tcPr>
            <w:tcW w:type="auto" w:w="0"/>
            <w:shd w:fill="FFFFFF" w:val="clear"/>
            <w:tcMar>
              <w:top w:type="dxa" w:w="100"/>
              <w:left w:type="dxa" w:w="120"/>
              <w:bottom w:type="dxa" w:w="100"/>
              <w:right w:type="dxa" w:w="120"/>
            </w:tcMar>
            <w:vAlign w:val="center"/>
          </w:tcPr>
          <w:p>
            <w:r>
              <w:rPr>
                <w:color w:val="444444"/>
                <w:sz w:val="20"/>
                <w:szCs w:val="20"/>
              </w:rPr>
              <w:t xml:space="preserve">website_sessions</w:t>
            </w:r>
          </w:p>
        </w:tc>
        <w:tc>
          <w:tcPr>
            <w:tcW w:type="auto" w:w="0"/>
            <w:shd w:fill="FFFFFF" w:val="clear"/>
            <w:tcMar>
              <w:top w:type="dxa" w:w="100"/>
              <w:left w:type="dxa" w:w="120"/>
              <w:bottom w:type="dxa" w:w="100"/>
              <w:right w:type="dxa" w:w="120"/>
            </w:tcMar>
            <w:vAlign w:val="center"/>
          </w:tcPr>
          <w:p>
            <w:r>
              <w:rPr>
                <w:color w:val="444444"/>
                <w:sz w:val="20"/>
                <w:szCs w:val="20"/>
              </w:rPr>
              <w:t xml:space="preserve">Website session, device, referral, UTM and user/session information.</w:t>
            </w:r>
          </w:p>
        </w:tc>
      </w:tr>
      <w:tr>
        <w:tc>
          <w:tcPr>
            <w:tcW w:type="auto" w:w="0"/>
            <w:shd w:fill="F2F2F2" w:val="clear"/>
            <w:tcMar>
              <w:top w:type="dxa" w:w="100"/>
              <w:left w:type="dxa" w:w="120"/>
              <w:bottom w:type="dxa" w:w="100"/>
              <w:right w:type="dxa" w:w="120"/>
            </w:tcMar>
            <w:vAlign w:val="center"/>
          </w:tcPr>
          <w:p>
            <w:r>
              <w:rPr>
                <w:color w:val="444444"/>
                <w:sz w:val="20"/>
                <w:szCs w:val="20"/>
              </w:rPr>
              <w:t xml:space="preserve">website_pageviews</w:t>
            </w:r>
          </w:p>
        </w:tc>
        <w:tc>
          <w:tcPr>
            <w:tcW w:type="auto" w:w="0"/>
            <w:shd w:fill="F2F2F2" w:val="clear"/>
            <w:tcMar>
              <w:top w:type="dxa" w:w="100"/>
              <w:left w:type="dxa" w:w="120"/>
              <w:bottom w:type="dxa" w:w="100"/>
              <w:right w:type="dxa" w:w="120"/>
            </w:tcMar>
            <w:vAlign w:val="center"/>
          </w:tcPr>
          <w:p>
            <w:r>
              <w:rPr>
                <w:color w:val="444444"/>
                <w:sz w:val="20"/>
                <w:szCs w:val="20"/>
              </w:rPr>
              <w:t xml:space="preserve">Website pageview activity and session/pageview metrics.</w:t>
            </w:r>
          </w:p>
        </w:tc>
      </w:tr>
      <w:tr>
        <w:tc>
          <w:tcPr>
            <w:tcW w:type="auto" w:w="0"/>
            <w:shd w:fill="FFFFFF" w:val="clear"/>
            <w:tcMar>
              <w:top w:type="dxa" w:w="100"/>
              <w:left w:type="dxa" w:w="120"/>
              <w:bottom w:type="dxa" w:w="100"/>
              <w:right w:type="dxa" w:w="120"/>
            </w:tcMar>
            <w:vAlign w:val="center"/>
          </w:tcPr>
          <w:p>
            <w:r>
              <w:rPr>
                <w:color w:val="444444"/>
                <w:sz w:val="20"/>
                <w:szCs w:val="20"/>
              </w:rPr>
              <w:t xml:space="preserve">custom_date</w:t>
            </w:r>
          </w:p>
        </w:tc>
        <w:tc>
          <w:tcPr>
            <w:tcW w:type="auto" w:w="0"/>
            <w:shd w:fill="FFFFFF" w:val="clear"/>
            <w:tcMar>
              <w:top w:type="dxa" w:w="100"/>
              <w:left w:type="dxa" w:w="120"/>
              <w:bottom w:type="dxa" w:w="100"/>
              <w:right w:type="dxa" w:w="120"/>
            </w:tcMar>
            <w:vAlign w:val="center"/>
          </w:tcPr>
          <w:p>
            <w:r>
              <w:rPr>
                <w:color w:val="444444"/>
                <w:sz w:val="20"/>
                <w:szCs w:val="20"/>
              </w:rPr>
              <w:t xml:space="preserve">Dedicated date dimension for month, quarter, week, year, MTD and YTD analysis.</w:t>
            </w:r>
          </w:p>
        </w:tc>
      </w:tr>
    </w:tbl>
    <w:p>
      <w:pPr>
        <w:pStyle w:val="Heading2"/>
        <w:spacing w:after="160" w:before="320"/>
      </w:pPr>
      <w:r>
        <w:rPr>
          <w:b/>
          <w:bCs/>
          <w:color w:val="1F7A6C"/>
        </w:rPr>
        <w:t xml:space="preserve">2.2 Main Fields Visible in the Power BI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auto" w:w="0"/>
            <w:shd w:fill="1F7A6C" w:val="clear"/>
            <w:tcMar>
              <w:top w:type="dxa" w:w="100"/>
              <w:left w:type="dxa" w:w="120"/>
              <w:bottom w:type="dxa" w:w="100"/>
              <w:right w:type="dxa" w:w="120"/>
            </w:tcMar>
            <w:vAlign w:val="center"/>
          </w:tcPr>
          <w:p>
            <w:r>
              <w:rPr>
                <w:b/>
                <w:bCs/>
                <w:color w:val="FFFFFF"/>
                <w:sz w:val="20"/>
                <w:szCs w:val="20"/>
              </w:rPr>
              <w:t xml:space="preserve">Table</w:t>
            </w:r>
          </w:p>
        </w:tc>
        <w:tc>
          <w:tcPr>
            <w:tcW w:type="auto" w:w="0"/>
            <w:shd w:fill="1F7A6C" w:val="clear"/>
            <w:tcMar>
              <w:top w:type="dxa" w:w="100"/>
              <w:left w:type="dxa" w:w="120"/>
              <w:bottom w:type="dxa" w:w="100"/>
              <w:right w:type="dxa" w:w="120"/>
            </w:tcMar>
            <w:vAlign w:val="center"/>
          </w:tcPr>
          <w:p>
            <w:r>
              <w:rPr>
                <w:b/>
                <w:bCs/>
                <w:color w:val="FFFFFF"/>
                <w:sz w:val="20"/>
                <w:szCs w:val="20"/>
              </w:rPr>
              <w:t xml:space="preserve">Fields / Measures Visible in Report</w:t>
            </w:r>
          </w:p>
        </w:tc>
      </w:tr>
      <w:tr>
        <w:tc>
          <w:tcPr>
            <w:tcW w:type="auto" w:w="0"/>
            <w:shd w:fill="FFFFFF" w:val="clear"/>
            <w:tcMar>
              <w:top w:type="dxa" w:w="100"/>
              <w:left w:type="dxa" w:w="120"/>
              <w:bottom w:type="dxa" w:w="100"/>
              <w:right w:type="dxa" w:w="120"/>
            </w:tcMar>
            <w:vAlign w:val="center"/>
          </w:tcPr>
          <w:p>
            <w:r>
              <w:rPr>
                <w:color w:val="444444"/>
                <w:sz w:val="20"/>
                <w:szCs w:val="20"/>
              </w:rPr>
              <w:t xml:space="preserve">custom_date</w:t>
            </w:r>
          </w:p>
        </w:tc>
        <w:tc>
          <w:tcPr>
            <w:tcW w:type="auto" w:w="0"/>
            <w:shd w:fill="FFFFFF" w:val="clear"/>
            <w:tcMar>
              <w:top w:type="dxa" w:w="100"/>
              <w:left w:type="dxa" w:w="120"/>
              <w:bottom w:type="dxa" w:w="100"/>
              <w:right w:type="dxa" w:w="120"/>
            </w:tcMar>
            <w:vAlign w:val="center"/>
          </w:tcPr>
          <w:p>
            <w:r>
              <w:rPr>
                <w:color w:val="444444"/>
                <w:sz w:val="20"/>
                <w:szCs w:val="20"/>
              </w:rPr>
              <w:t xml:space="preserve">Date; month; month_num; MTD; quarter; week of year; years; YTD</w:t>
            </w:r>
          </w:p>
        </w:tc>
      </w:tr>
      <w:tr>
        <w:tc>
          <w:tcPr>
            <w:tcW w:type="auto" w:w="0"/>
            <w:shd w:fill="F2F2F2" w:val="clear"/>
            <w:tcMar>
              <w:top w:type="dxa" w:w="100"/>
              <w:left w:type="dxa" w:w="120"/>
              <w:bottom w:type="dxa" w:w="100"/>
              <w:right w:type="dxa" w:w="120"/>
            </w:tcMar>
            <w:vAlign w:val="center"/>
          </w:tcPr>
          <w:p>
            <w:r>
              <w:rPr>
                <w:color w:val="444444"/>
                <w:sz w:val="20"/>
                <w:szCs w:val="20"/>
              </w:rPr>
              <w:t xml:space="preserve">order_item_refunds</w:t>
            </w:r>
          </w:p>
        </w:tc>
        <w:tc>
          <w:tcPr>
            <w:tcW w:type="auto" w:w="0"/>
            <w:shd w:fill="F2F2F2" w:val="clear"/>
            <w:tcMar>
              <w:top w:type="dxa" w:w="100"/>
              <w:left w:type="dxa" w:w="120"/>
              <w:bottom w:type="dxa" w:w="100"/>
              <w:right w:type="dxa" w:w="120"/>
            </w:tcMar>
            <w:vAlign w:val="center"/>
          </w:tcPr>
          <w:p>
            <w:r>
              <w:rPr>
                <w:color w:val="444444"/>
                <w:sz w:val="20"/>
                <w:szCs w:val="20"/>
              </w:rPr>
              <w:t xml:space="preserve">average refund; created_at; order_id; order_item_id; order_item_ref...; refund_am...; Time; total refund; total refund a...</w:t>
            </w:r>
          </w:p>
        </w:tc>
      </w:tr>
      <w:tr>
        <w:tc>
          <w:tcPr>
            <w:tcW w:type="auto" w:w="0"/>
            <w:shd w:fill="FFFFFF" w:val="clear"/>
            <w:tcMar>
              <w:top w:type="dxa" w:w="100"/>
              <w:left w:type="dxa" w:w="120"/>
              <w:bottom w:type="dxa" w:w="100"/>
              <w:right w:type="dxa" w:w="120"/>
            </w:tcMar>
            <w:vAlign w:val="center"/>
          </w:tcPr>
          <w:p>
            <w:r>
              <w:rPr>
                <w:color w:val="444444"/>
                <w:sz w:val="20"/>
                <w:szCs w:val="20"/>
              </w:rPr>
              <w:t xml:space="preserve">order_items</w:t>
            </w:r>
          </w:p>
        </w:tc>
        <w:tc>
          <w:tcPr>
            <w:tcW w:type="auto" w:w="0"/>
            <w:shd w:fill="FFFFFF" w:val="clear"/>
            <w:tcMar>
              <w:top w:type="dxa" w:w="100"/>
              <w:left w:type="dxa" w:w="120"/>
              <w:bottom w:type="dxa" w:w="100"/>
              <w:right w:type="dxa" w:w="120"/>
            </w:tcMar>
            <w:vAlign w:val="center"/>
          </w:tcPr>
          <w:p>
            <w:r>
              <w:rPr>
                <w:color w:val="444444"/>
                <w:sz w:val="20"/>
                <w:szCs w:val="20"/>
              </w:rPr>
              <w:t xml:space="preserve">cogs_usd; created_at; is_primary_item; order_id; order_item_id</w:t>
            </w:r>
          </w:p>
        </w:tc>
      </w:tr>
      <w:tr>
        <w:tc>
          <w:tcPr>
            <w:tcW w:type="auto" w:w="0"/>
            <w:shd w:fill="F2F2F2" w:val="clear"/>
            <w:tcMar>
              <w:top w:type="dxa" w:w="100"/>
              <w:left w:type="dxa" w:w="120"/>
              <w:bottom w:type="dxa" w:w="100"/>
              <w:right w:type="dxa" w:w="120"/>
            </w:tcMar>
            <w:vAlign w:val="center"/>
          </w:tcPr>
          <w:p>
            <w:r>
              <w:rPr>
                <w:color w:val="444444"/>
                <w:sz w:val="20"/>
                <w:szCs w:val="20"/>
              </w:rPr>
              <w:t xml:space="preserve">orders</w:t>
            </w:r>
          </w:p>
        </w:tc>
        <w:tc>
          <w:tcPr>
            <w:tcW w:type="auto" w:w="0"/>
            <w:shd w:fill="F2F2F2" w:val="clear"/>
            <w:tcMar>
              <w:top w:type="dxa" w:w="100"/>
              <w:left w:type="dxa" w:w="120"/>
              <w:bottom w:type="dxa" w:w="100"/>
              <w:right w:type="dxa" w:w="120"/>
            </w:tcMar>
            <w:vAlign w:val="center"/>
          </w:tcPr>
          <w:p>
            <w:r>
              <w:rPr>
                <w:color w:val="444444"/>
                <w:sz w:val="20"/>
                <w:szCs w:val="20"/>
              </w:rPr>
              <w:t xml:space="preserve">average order...; cogs_usd; created_at; items_purchas...; new_product...; order_id; price_usd; primary_prod...; profit margin; profits; Time; tota item puc...; total orders; total sales; total toys sold...; user_id; website_sessi...; year</w:t>
            </w:r>
          </w:p>
        </w:tc>
      </w:tr>
      <w:tr>
        <w:tc>
          <w:tcPr>
            <w:tcW w:type="auto" w:w="0"/>
            <w:shd w:fill="FFFFFF" w:val="clear"/>
            <w:tcMar>
              <w:top w:type="dxa" w:w="100"/>
              <w:left w:type="dxa" w:w="120"/>
              <w:bottom w:type="dxa" w:w="100"/>
              <w:right w:type="dxa" w:w="120"/>
            </w:tcMar>
            <w:vAlign w:val="center"/>
          </w:tcPr>
          <w:p>
            <w:r>
              <w:rPr>
                <w:color w:val="444444"/>
                <w:sz w:val="20"/>
                <w:szCs w:val="20"/>
              </w:rPr>
              <w:t xml:space="preserve">products</w:t>
            </w:r>
          </w:p>
        </w:tc>
        <w:tc>
          <w:tcPr>
            <w:tcW w:type="auto" w:w="0"/>
            <w:shd w:fill="FFFFFF" w:val="clear"/>
            <w:tcMar>
              <w:top w:type="dxa" w:w="100"/>
              <w:left w:type="dxa" w:w="120"/>
              <w:bottom w:type="dxa" w:w="100"/>
              <w:right w:type="dxa" w:w="120"/>
            </w:tcMar>
            <w:vAlign w:val="center"/>
          </w:tcPr>
          <w:p>
            <w:r>
              <w:rPr>
                <w:color w:val="444444"/>
                <w:sz w:val="20"/>
                <w:szCs w:val="20"/>
              </w:rPr>
              <w:t xml:space="preserve">created_at; product_id; product_name; Time</w:t>
            </w:r>
          </w:p>
        </w:tc>
      </w:tr>
      <w:tr>
        <w:tc>
          <w:tcPr>
            <w:tcW w:type="auto" w:w="0"/>
            <w:shd w:fill="F2F2F2" w:val="clear"/>
            <w:tcMar>
              <w:top w:type="dxa" w:w="100"/>
              <w:left w:type="dxa" w:w="120"/>
              <w:bottom w:type="dxa" w:w="100"/>
              <w:right w:type="dxa" w:w="120"/>
            </w:tcMar>
            <w:vAlign w:val="center"/>
          </w:tcPr>
          <w:p>
            <w:r>
              <w:rPr>
                <w:color w:val="444444"/>
                <w:sz w:val="20"/>
                <w:szCs w:val="20"/>
              </w:rPr>
              <w:t xml:space="preserve">website_pageviews</w:t>
            </w:r>
          </w:p>
        </w:tc>
        <w:tc>
          <w:tcPr>
            <w:tcW w:type="auto" w:w="0"/>
            <w:shd w:fill="F2F2F2" w:val="clear"/>
            <w:tcMar>
              <w:top w:type="dxa" w:w="100"/>
              <w:left w:type="dxa" w:w="120"/>
              <w:bottom w:type="dxa" w:w="100"/>
              <w:right w:type="dxa" w:w="120"/>
            </w:tcMar>
            <w:vAlign w:val="center"/>
          </w:tcPr>
          <w:p>
            <w:r>
              <w:rPr>
                <w:color w:val="444444"/>
                <w:sz w:val="20"/>
                <w:szCs w:val="20"/>
              </w:rPr>
              <w:t xml:space="preserve">created_at; pageview_url; Pageviews per...; Total Pageviews; Unique Sessio...; website_page...; website_sessi...</w:t>
            </w:r>
          </w:p>
        </w:tc>
      </w:tr>
      <w:tr>
        <w:tc>
          <w:tcPr>
            <w:tcW w:type="auto" w:w="0"/>
            <w:shd w:fill="FFFFFF" w:val="clear"/>
            <w:tcMar>
              <w:top w:type="dxa" w:w="100"/>
              <w:left w:type="dxa" w:w="120"/>
              <w:bottom w:type="dxa" w:w="100"/>
              <w:right w:type="dxa" w:w="120"/>
            </w:tcMar>
            <w:vAlign w:val="center"/>
          </w:tcPr>
          <w:p>
            <w:r>
              <w:rPr>
                <w:color w:val="444444"/>
                <w:sz w:val="20"/>
                <w:szCs w:val="20"/>
              </w:rPr>
              <w:t xml:space="preserve">website_sessions</w:t>
            </w:r>
          </w:p>
        </w:tc>
        <w:tc>
          <w:tcPr>
            <w:tcW w:type="auto" w:w="0"/>
            <w:shd w:fill="FFFFFF" w:val="clear"/>
            <w:tcMar>
              <w:top w:type="dxa" w:w="100"/>
              <w:left w:type="dxa" w:w="120"/>
              <w:bottom w:type="dxa" w:w="100"/>
              <w:right w:type="dxa" w:w="120"/>
            </w:tcMar>
            <w:vAlign w:val="center"/>
          </w:tcPr>
          <w:p>
            <w:r>
              <w:rPr>
                <w:color w:val="444444"/>
                <w:sz w:val="20"/>
                <w:szCs w:val="20"/>
              </w:rPr>
              <w:t xml:space="preserve">created_at; device_type; http_referer; is_repeat_sessi...; new_utm_cont...; new_utm_sour...; Time; total session; Total Sessions; user_id; utm_campaign; website_sessi...</w:t>
            </w:r>
          </w:p>
        </w:tc>
      </w:tr>
    </w:tbl>
    <w:p>
      <w:pPr>
        <w:spacing w:after="160" w:line="300"/>
      </w:pPr>
      <w:r>
        <w:rPr>
          <w:i/>
          <w:iCs/>
          <w:color w:val="444444"/>
          <w:sz w:val="20"/>
          <w:szCs w:val="20"/>
        </w:rPr>
        <w:t xml:space="preserve">Note: Some field names are truncated in the Power BI Fields pane screenshots. The documentation above keeps the visible naming where the full name cannot be confirmed from the screenshot.</w:t>
      </w:r>
    </w:p>
    <w:p>
      <w:pPr>
        <w:pStyle w:val="Heading2"/>
        <w:spacing w:after="160" w:before="320"/>
      </w:pPr>
      <w:r>
        <w:rPr>
          <w:b/>
          <w:bCs/>
          <w:color w:val="1F7A6C"/>
        </w:rPr>
        <w:t xml:space="preserve">2.3 Data Model / Schema</w:t>
      </w:r>
    </w:p>
    <w:p>
      <w:pPr>
        <w:spacing w:after="160" w:line="300"/>
      </w:pPr>
      <w:r>
        <w:rPr>
          <w:color w:val="444444"/>
          <w:sz w:val="22"/>
          <w:szCs w:val="22"/>
        </w:rPr>
        <w:t xml:space="preserve">The report uses multiple related business tables. The model connects order transactions with order items, products, refunds, and website activity, while the custom Date table supports time-based reporting.</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24250"/>
                    </a:xfrm>
                    <a:prstGeom prst="rect">
                      <a:avLst/>
                    </a:prstGeom>
                  </pic:spPr>
                </pic:pic>
              </a:graphicData>
            </a:graphic>
          </wp:inline>
        </w:drawing>
      </w:r>
    </w:p>
    <w:p>
      <w:pPr>
        <w:spacing w:after="240"/>
        <w:jc w:val="center"/>
      </w:pPr>
      <w:r>
        <w:rPr>
          <w:i/>
          <w:iCs/>
          <w:color w:val="666666"/>
          <w:sz w:val="20"/>
          <w:szCs w:val="20"/>
        </w:rPr>
        <w:t xml:space="preserve">Figure 2 — Power BI Model View: Table Relationships and Schema</w:t>
      </w:r>
    </w:p>
    <w:p>
      <w:pPr>
        <w:pStyle w:val="Heading2"/>
        <w:spacing w:after="160" w:before="320"/>
      </w:pPr>
      <w:r>
        <w:rPr>
          <w:b/>
          <w:bCs/>
          <w:color w:val="1F7A6C"/>
        </w:rPr>
        <w:t xml:space="preserve">2.4 Initial Data Assessment</w:t>
      </w:r>
    </w:p>
    <w:p>
      <w:pPr>
        <w:pStyle w:val="ListParagraph"/>
        <w:numPr>
          <w:ilvl w:val="0"/>
          <w:numId w:val="1"/>
        </w:numPr>
        <w:spacing w:after="80" w:line="280"/>
      </w:pPr>
      <w:r>
        <w:rPr>
          <w:color w:val="444444"/>
          <w:sz w:val="22"/>
          <w:szCs w:val="22"/>
        </w:rPr>
        <w:t xml:space="preserve">The Power BI model was reviewed at table and field level before dashboard development.</w:t>
      </w:r>
    </w:p>
    <w:p>
      <w:pPr>
        <w:pStyle w:val="ListParagraph"/>
        <w:numPr>
          <w:ilvl w:val="0"/>
          <w:numId w:val="1"/>
        </w:numPr>
        <w:spacing w:after="80" w:line="280"/>
      </w:pPr>
      <w:r>
        <w:rPr>
          <w:color w:val="444444"/>
          <w:sz w:val="22"/>
          <w:szCs w:val="22"/>
        </w:rPr>
        <w:t xml:space="preserve">Important fields were reviewed for their data type and analytical role.</w:t>
      </w:r>
    </w:p>
    <w:p>
      <w:pPr>
        <w:pStyle w:val="ListParagraph"/>
        <w:numPr>
          <w:ilvl w:val="0"/>
          <w:numId w:val="1"/>
        </w:numPr>
        <w:spacing w:after="80" w:line="280"/>
      </w:pPr>
      <w:r>
        <w:rPr>
          <w:color w:val="444444"/>
          <w:sz w:val="22"/>
          <w:szCs w:val="22"/>
        </w:rPr>
        <w:t xml:space="preserve">NULL/blank values were considered during data-quality checking.</w:t>
      </w:r>
    </w:p>
    <w:p>
      <w:pPr>
        <w:pStyle w:val="ListParagraph"/>
        <w:numPr>
          <w:ilvl w:val="0"/>
          <w:numId w:val="1"/>
        </w:numPr>
        <w:spacing w:after="80" w:line="280"/>
      </w:pPr>
      <w:r>
        <w:rPr>
          <w:color w:val="444444"/>
          <w:sz w:val="22"/>
          <w:szCs w:val="22"/>
        </w:rPr>
        <w:t xml:space="preserve">Different/distinct values were reviewed in categorical fields to understand the available categories.</w:t>
      </w:r>
    </w:p>
    <w:p>
      <w:pPr>
        <w:pStyle w:val="ListParagraph"/>
        <w:numPr>
          <w:ilvl w:val="0"/>
          <w:numId w:val="1"/>
        </w:numPr>
        <w:spacing w:after="80" w:line="280"/>
      </w:pPr>
      <w:r>
        <w:rPr>
          <w:color w:val="444444"/>
          <w:sz w:val="22"/>
          <w:szCs w:val="22"/>
        </w:rPr>
        <w:t xml:space="preserve">Calculated columns and measures were separated conceptually so that row-level transformations and aggregated KPIs could be used appropriately.</w:t>
      </w:r>
    </w:p>
    <w:p>
      <w:pPr>
        <w:pStyle w:val="Heading2"/>
        <w:spacing w:after="160" w:before="320"/>
      </w:pPr>
      <w:r>
        <w:rPr>
          <w:b/>
          <w:bCs/>
          <w:color w:val="1F7A6C"/>
        </w:rPr>
        <w:t xml:space="preserve">2.5 Data Quality Analysis</w:t>
      </w:r>
    </w:p>
    <w:p>
      <w:pPr>
        <w:pStyle w:val="Heading3"/>
        <w:spacing w:after="120" w:before="240"/>
      </w:pPr>
      <w:r>
        <w:rPr>
          <w:b/>
          <w:bCs/>
          <w:color w:val="0F4C40"/>
        </w:rPr>
        <w:t xml:space="preserve">NULL / Blank Value Analysis</w:t>
      </w:r>
    </w:p>
    <w:p>
      <w:pPr>
        <w:spacing w:after="160" w:line="300"/>
      </w:pPr>
      <w:r>
        <w:rPr>
          <w:color w:val="444444"/>
          <w:sz w:val="22"/>
          <w:szCs w:val="22"/>
        </w:rPr>
        <w:t xml:space="preserve">NULL and blank values were checked as part of the data-quality process. The purpose was to identify missing information that could affect grouping, filtering, calculations, or business interpretation.</w:t>
      </w:r>
    </w:p>
    <w:p>
      <w:pPr>
        <w:pStyle w:val="ListParagraph"/>
        <w:numPr>
          <w:ilvl w:val="0"/>
          <w:numId w:val="1"/>
        </w:numPr>
        <w:spacing w:after="80" w:line="280"/>
      </w:pPr>
      <w:r>
        <w:rPr>
          <w:color w:val="444444"/>
          <w:sz w:val="22"/>
          <w:szCs w:val="22"/>
        </w:rPr>
        <w:t xml:space="preserve">Identify columns containing blank or NULL values.</w:t>
      </w:r>
    </w:p>
    <w:p>
      <w:pPr>
        <w:pStyle w:val="ListParagraph"/>
        <w:numPr>
          <w:ilvl w:val="0"/>
          <w:numId w:val="1"/>
        </w:numPr>
        <w:spacing w:after="80" w:line="280"/>
      </w:pPr>
      <w:r>
        <w:rPr>
          <w:color w:val="444444"/>
          <w:sz w:val="22"/>
          <w:szCs w:val="22"/>
        </w:rPr>
        <w:t xml:space="preserve">Review whether missing values are expected or problematic.</w:t>
      </w:r>
    </w:p>
    <w:p>
      <w:pPr>
        <w:pStyle w:val="ListParagraph"/>
        <w:numPr>
          <w:ilvl w:val="0"/>
          <w:numId w:val="1"/>
        </w:numPr>
        <w:spacing w:after="80" w:line="280"/>
      </w:pPr>
      <w:r>
        <w:rPr>
          <w:color w:val="444444"/>
          <w:sz w:val="22"/>
          <w:szCs w:val="22"/>
        </w:rPr>
        <w:t xml:space="preserve">Avoid incorrect conclusions caused by incomplete fields.</w:t>
      </w:r>
    </w:p>
    <w:p>
      <w:pPr>
        <w:pStyle w:val="ListParagraph"/>
        <w:numPr>
          <w:ilvl w:val="0"/>
          <w:numId w:val="1"/>
        </w:numPr>
        <w:spacing w:after="80" w:line="280"/>
      </w:pPr>
      <w:r>
        <w:rPr>
          <w:color w:val="444444"/>
          <w:sz w:val="22"/>
          <w:szCs w:val="22"/>
        </w:rPr>
        <w:t xml:space="preserve">Validate important KPI fields before using them in the dashboard.</w:t>
      </w:r>
    </w:p>
    <w:p>
      <w:pPr>
        <w:pStyle w:val="Heading3"/>
        <w:spacing w:after="120" w:before="240"/>
      </w:pPr>
      <w:r>
        <w:rPr>
          <w:b/>
          <w:bCs/>
          <w:color w:val="0F4C40"/>
        </w:rPr>
        <w:t xml:space="preserve">Distinct / Different Value Analysis</w:t>
      </w:r>
    </w:p>
    <w:p>
      <w:pPr>
        <w:spacing w:after="160" w:line="300"/>
      </w:pPr>
      <w:r>
        <w:rPr>
          <w:color w:val="444444"/>
          <w:sz w:val="22"/>
          <w:szCs w:val="22"/>
        </w:rPr>
        <w:t xml:space="preserve">Distinct values were reviewed to understand the categories present in the dataset before building business analysis. This is particularly useful for fields such as device type, referral source, UTM source, UTM campaign, pageview URL, and other categorical fields.</w:t>
      </w:r>
    </w:p>
    <w:p>
      <w:pPr>
        <w:pStyle w:val="ListParagraph"/>
        <w:numPr>
          <w:ilvl w:val="0"/>
          <w:numId w:val="1"/>
        </w:numPr>
        <w:spacing w:after="80" w:line="280"/>
      </w:pPr>
      <w:r>
        <w:rPr>
          <w:color w:val="444444"/>
          <w:sz w:val="22"/>
          <w:szCs w:val="22"/>
        </w:rPr>
        <w:t xml:space="preserve">Understand the actual categories available in the data.</w:t>
      </w:r>
    </w:p>
    <w:p>
      <w:pPr>
        <w:pStyle w:val="ListParagraph"/>
        <w:numPr>
          <w:ilvl w:val="0"/>
          <w:numId w:val="1"/>
        </w:numPr>
        <w:spacing w:after="80" w:line="280"/>
      </w:pPr>
      <w:r>
        <w:rPr>
          <w:color w:val="444444"/>
          <w:sz w:val="22"/>
          <w:szCs w:val="22"/>
        </w:rPr>
        <w:t xml:space="preserve">Detect inconsistent labels or unexpected categories.</w:t>
      </w:r>
    </w:p>
    <w:p>
      <w:pPr>
        <w:pStyle w:val="ListParagraph"/>
        <w:numPr>
          <w:ilvl w:val="0"/>
          <w:numId w:val="1"/>
        </w:numPr>
        <w:spacing w:after="80" w:line="280"/>
      </w:pPr>
      <w:r>
        <w:rPr>
          <w:color w:val="444444"/>
          <w:sz w:val="22"/>
          <w:szCs w:val="22"/>
        </w:rPr>
        <w:t xml:space="preserve">Prepare reliable grouping and filtering logic.</w:t>
      </w:r>
    </w:p>
    <w:p>
      <w:pPr>
        <w:pStyle w:val="ListParagraph"/>
        <w:numPr>
          <w:ilvl w:val="0"/>
          <w:numId w:val="1"/>
        </w:numPr>
        <w:spacing w:after="80" w:line="280"/>
      </w:pPr>
      <w:r>
        <w:rPr>
          <w:color w:val="444444"/>
          <w:sz w:val="22"/>
          <w:szCs w:val="22"/>
        </w:rPr>
        <w:t xml:space="preserve">Support marketing, website, and behavioral analysis.</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14700"/>
                    </a:xfrm>
                    <a:prstGeom prst="rect">
                      <a:avLst/>
                    </a:prstGeom>
                  </pic:spPr>
                </pic:pic>
              </a:graphicData>
            </a:graphic>
          </wp:inline>
        </w:drawing>
      </w:r>
    </w:p>
    <w:p>
      <w:pPr>
        <w:spacing w:after="240"/>
        <w:jc w:val="center"/>
      </w:pPr>
      <w:r>
        <w:rPr>
          <w:i/>
          <w:iCs/>
          <w:color w:val="666666"/>
          <w:sz w:val="20"/>
          <w:szCs w:val="20"/>
        </w:rPr>
        <w:t xml:space="preserve">Figure 3 — Column Tools View: Checking Distinct / Different Values in new_utm_content (also used to validate the field for blank/NULL entries)</w:t>
      </w:r>
    </w:p>
    <w:p>
      <w:pPr>
        <w:pStyle w:val="Heading1"/>
        <w:pBdr>
          <w:bottom w:val="single" w:color="1F7A6C" w:sz="8"/>
        </w:pBdr>
        <w:spacing w:after="200" w:before="400"/>
      </w:pPr>
      <w:r>
        <w:rPr>
          <w:b/>
          <w:bCs/>
          <w:color w:val="0F4C40"/>
        </w:rPr>
        <w:t xml:space="preserve">3. Data Preparation &amp; Analytical Calculations</w:t>
      </w:r>
    </w:p>
    <w:p>
      <w:pPr>
        <w:pStyle w:val="Heading2"/>
        <w:spacing w:after="160" w:before="320"/>
      </w:pPr>
      <w:r>
        <w:rPr>
          <w:b/>
          <w:bCs/>
          <w:color w:val="1F7A6C"/>
        </w:rPr>
        <w:t xml:space="preserve">3.1 Custom Date Table</w:t>
      </w:r>
    </w:p>
    <w:p>
      <w:pPr>
        <w:spacing w:after="160" w:line="300"/>
      </w:pPr>
      <w:r>
        <w:rPr>
          <w:color w:val="444444"/>
          <w:sz w:val="22"/>
          <w:szCs w:val="22"/>
        </w:rPr>
        <w:t xml:space="preserve">A dedicated custom Date table was created to support consistent time-based analysis across the report. The Date table contains calendar attributes and time-intelligence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auto" w:w="0"/>
            <w:shd w:fill="1F7A6C" w:val="clear"/>
            <w:tcMar>
              <w:top w:type="dxa" w:w="100"/>
              <w:left w:type="dxa" w:w="120"/>
              <w:bottom w:type="dxa" w:w="100"/>
              <w:right w:type="dxa" w:w="120"/>
            </w:tcMar>
            <w:vAlign w:val="center"/>
          </w:tcPr>
          <w:p>
            <w:r>
              <w:rPr>
                <w:b/>
                <w:bCs/>
                <w:color w:val="FFFFFF"/>
                <w:sz w:val="20"/>
                <w:szCs w:val="20"/>
              </w:rPr>
              <w:t xml:space="preserve">Field</w:t>
            </w:r>
          </w:p>
        </w:tc>
        <w:tc>
          <w:tcPr>
            <w:tcW w:type="auto" w:w="0"/>
            <w:shd w:fill="1F7A6C" w:val="clear"/>
            <w:tcMar>
              <w:top w:type="dxa" w:w="100"/>
              <w:left w:type="dxa" w:w="120"/>
              <w:bottom w:type="dxa" w:w="100"/>
              <w:right w:type="dxa" w:w="120"/>
            </w:tcMar>
            <w:vAlign w:val="center"/>
          </w:tcPr>
          <w:p>
            <w:r>
              <w:rPr>
                <w:b/>
                <w:bCs/>
                <w:color w:val="FFFFFF"/>
                <w:sz w:val="20"/>
                <w:szCs w:val="20"/>
              </w:rPr>
              <w:t xml:space="preserve">Analytical Purpose</w:t>
            </w:r>
          </w:p>
        </w:tc>
      </w:tr>
      <w:tr>
        <w:tc>
          <w:tcPr>
            <w:tcW w:type="auto" w:w="0"/>
            <w:shd w:fill="FFFFFF" w:val="clear"/>
            <w:tcMar>
              <w:top w:type="dxa" w:w="100"/>
              <w:left w:type="dxa" w:w="120"/>
              <w:bottom w:type="dxa" w:w="100"/>
              <w:right w:type="dxa" w:w="120"/>
            </w:tcMar>
            <w:vAlign w:val="center"/>
          </w:tcPr>
          <w:p>
            <w:r>
              <w:rPr>
                <w:color w:val="444444"/>
                <w:sz w:val="20"/>
                <w:szCs w:val="20"/>
              </w:rPr>
              <w:t xml:space="preserve">Date</w:t>
            </w:r>
          </w:p>
        </w:tc>
        <w:tc>
          <w:tcPr>
            <w:tcW w:type="auto" w:w="0"/>
            <w:shd w:fill="FFFFFF" w:val="clear"/>
            <w:tcMar>
              <w:top w:type="dxa" w:w="100"/>
              <w:left w:type="dxa" w:w="120"/>
              <w:bottom w:type="dxa" w:w="100"/>
              <w:right w:type="dxa" w:w="120"/>
            </w:tcMar>
            <w:vAlign w:val="center"/>
          </w:tcPr>
          <w:p>
            <w:r>
              <w:rPr>
                <w:color w:val="444444"/>
                <w:sz w:val="20"/>
                <w:szCs w:val="20"/>
              </w:rPr>
              <w:t xml:space="preserve">Base date field used for time-based filtering and relationships.</w:t>
            </w:r>
          </w:p>
        </w:tc>
      </w:tr>
      <w:tr>
        <w:tc>
          <w:tcPr>
            <w:tcW w:type="auto" w:w="0"/>
            <w:shd w:fill="F2F2F2" w:val="clear"/>
            <w:tcMar>
              <w:top w:type="dxa" w:w="100"/>
              <w:left w:type="dxa" w:w="120"/>
              <w:bottom w:type="dxa" w:w="100"/>
              <w:right w:type="dxa" w:w="120"/>
            </w:tcMar>
            <w:vAlign w:val="center"/>
          </w:tcPr>
          <w:p>
            <w:r>
              <w:rPr>
                <w:color w:val="444444"/>
                <w:sz w:val="20"/>
                <w:szCs w:val="20"/>
              </w:rPr>
              <w:t xml:space="preserve">month</w:t>
            </w:r>
          </w:p>
        </w:tc>
        <w:tc>
          <w:tcPr>
            <w:tcW w:type="auto" w:w="0"/>
            <w:shd w:fill="F2F2F2" w:val="clear"/>
            <w:tcMar>
              <w:top w:type="dxa" w:w="100"/>
              <w:left w:type="dxa" w:w="120"/>
              <w:bottom w:type="dxa" w:w="100"/>
              <w:right w:type="dxa" w:w="120"/>
            </w:tcMar>
            <w:vAlign w:val="center"/>
          </w:tcPr>
          <w:p>
            <w:r>
              <w:rPr>
                <w:color w:val="444444"/>
                <w:sz w:val="20"/>
                <w:szCs w:val="20"/>
              </w:rPr>
              <w:t xml:space="preserve">Month-level reporting and trend analysis.</w:t>
            </w:r>
          </w:p>
        </w:tc>
      </w:tr>
      <w:tr>
        <w:tc>
          <w:tcPr>
            <w:tcW w:type="auto" w:w="0"/>
            <w:shd w:fill="FFFFFF" w:val="clear"/>
            <w:tcMar>
              <w:top w:type="dxa" w:w="100"/>
              <w:left w:type="dxa" w:w="120"/>
              <w:bottom w:type="dxa" w:w="100"/>
              <w:right w:type="dxa" w:w="120"/>
            </w:tcMar>
            <w:vAlign w:val="center"/>
          </w:tcPr>
          <w:p>
            <w:r>
              <w:rPr>
                <w:color w:val="444444"/>
                <w:sz w:val="20"/>
                <w:szCs w:val="20"/>
              </w:rPr>
              <w:t xml:space="preserve">month_num</w:t>
            </w:r>
          </w:p>
        </w:tc>
        <w:tc>
          <w:tcPr>
            <w:tcW w:type="auto" w:w="0"/>
            <w:shd w:fill="FFFFFF" w:val="clear"/>
            <w:tcMar>
              <w:top w:type="dxa" w:w="100"/>
              <w:left w:type="dxa" w:w="120"/>
              <w:bottom w:type="dxa" w:w="100"/>
              <w:right w:type="dxa" w:w="120"/>
            </w:tcMar>
            <w:vAlign w:val="center"/>
          </w:tcPr>
          <w:p>
            <w:r>
              <w:rPr>
                <w:color w:val="444444"/>
                <w:sz w:val="20"/>
                <w:szCs w:val="20"/>
              </w:rPr>
              <w:t xml:space="preserve">Numeric month ordering for correct chronological sorting.</w:t>
            </w:r>
          </w:p>
        </w:tc>
      </w:tr>
      <w:tr>
        <w:tc>
          <w:tcPr>
            <w:tcW w:type="auto" w:w="0"/>
            <w:shd w:fill="F2F2F2" w:val="clear"/>
            <w:tcMar>
              <w:top w:type="dxa" w:w="100"/>
              <w:left w:type="dxa" w:w="120"/>
              <w:bottom w:type="dxa" w:w="100"/>
              <w:right w:type="dxa" w:w="120"/>
            </w:tcMar>
            <w:vAlign w:val="center"/>
          </w:tcPr>
          <w:p>
            <w:r>
              <w:rPr>
                <w:color w:val="444444"/>
                <w:sz w:val="20"/>
                <w:szCs w:val="20"/>
              </w:rPr>
              <w:t xml:space="preserve">quarter</w:t>
            </w:r>
          </w:p>
        </w:tc>
        <w:tc>
          <w:tcPr>
            <w:tcW w:type="auto" w:w="0"/>
            <w:shd w:fill="F2F2F2" w:val="clear"/>
            <w:tcMar>
              <w:top w:type="dxa" w:w="100"/>
              <w:left w:type="dxa" w:w="120"/>
              <w:bottom w:type="dxa" w:w="100"/>
              <w:right w:type="dxa" w:w="120"/>
            </w:tcMar>
            <w:vAlign w:val="center"/>
          </w:tcPr>
          <w:p>
            <w:r>
              <w:rPr>
                <w:color w:val="444444"/>
                <w:sz w:val="20"/>
                <w:szCs w:val="20"/>
              </w:rPr>
              <w:t xml:space="preserve">Quarterly business analysis.</w:t>
            </w:r>
          </w:p>
        </w:tc>
      </w:tr>
      <w:tr>
        <w:tc>
          <w:tcPr>
            <w:tcW w:type="auto" w:w="0"/>
            <w:shd w:fill="FFFFFF" w:val="clear"/>
            <w:tcMar>
              <w:top w:type="dxa" w:w="100"/>
              <w:left w:type="dxa" w:w="120"/>
              <w:bottom w:type="dxa" w:w="100"/>
              <w:right w:type="dxa" w:w="120"/>
            </w:tcMar>
            <w:vAlign w:val="center"/>
          </w:tcPr>
          <w:p>
            <w:r>
              <w:rPr>
                <w:color w:val="444444"/>
                <w:sz w:val="20"/>
                <w:szCs w:val="20"/>
              </w:rPr>
              <w:t xml:space="preserve">week of year</w:t>
            </w:r>
          </w:p>
        </w:tc>
        <w:tc>
          <w:tcPr>
            <w:tcW w:type="auto" w:w="0"/>
            <w:shd w:fill="FFFFFF" w:val="clear"/>
            <w:tcMar>
              <w:top w:type="dxa" w:w="100"/>
              <w:left w:type="dxa" w:w="120"/>
              <w:bottom w:type="dxa" w:w="100"/>
              <w:right w:type="dxa" w:w="120"/>
            </w:tcMar>
            <w:vAlign w:val="center"/>
          </w:tcPr>
          <w:p>
            <w:r>
              <w:rPr>
                <w:color w:val="444444"/>
                <w:sz w:val="20"/>
                <w:szCs w:val="20"/>
              </w:rPr>
              <w:t xml:space="preserve">Weekly trend analysis.</w:t>
            </w:r>
          </w:p>
        </w:tc>
      </w:tr>
      <w:tr>
        <w:tc>
          <w:tcPr>
            <w:tcW w:type="auto" w:w="0"/>
            <w:shd w:fill="F2F2F2" w:val="clear"/>
            <w:tcMar>
              <w:top w:type="dxa" w:w="100"/>
              <w:left w:type="dxa" w:w="120"/>
              <w:bottom w:type="dxa" w:w="100"/>
              <w:right w:type="dxa" w:w="120"/>
            </w:tcMar>
            <w:vAlign w:val="center"/>
          </w:tcPr>
          <w:p>
            <w:r>
              <w:rPr>
                <w:color w:val="444444"/>
                <w:sz w:val="20"/>
                <w:szCs w:val="20"/>
              </w:rPr>
              <w:t xml:space="preserve">years</w:t>
            </w:r>
          </w:p>
        </w:tc>
        <w:tc>
          <w:tcPr>
            <w:tcW w:type="auto" w:w="0"/>
            <w:shd w:fill="F2F2F2" w:val="clear"/>
            <w:tcMar>
              <w:top w:type="dxa" w:w="100"/>
              <w:left w:type="dxa" w:w="120"/>
              <w:bottom w:type="dxa" w:w="100"/>
              <w:right w:type="dxa" w:w="120"/>
            </w:tcMar>
            <w:vAlign w:val="center"/>
          </w:tcPr>
          <w:p>
            <w:r>
              <w:rPr>
                <w:color w:val="444444"/>
                <w:sz w:val="20"/>
                <w:szCs w:val="20"/>
              </w:rPr>
              <w:t xml:space="preserve">Year-level analysis.</w:t>
            </w:r>
          </w:p>
        </w:tc>
      </w:tr>
      <w:tr>
        <w:tc>
          <w:tcPr>
            <w:tcW w:type="auto" w:w="0"/>
            <w:shd w:fill="FFFFFF" w:val="clear"/>
            <w:tcMar>
              <w:top w:type="dxa" w:w="100"/>
              <w:left w:type="dxa" w:w="120"/>
              <w:bottom w:type="dxa" w:w="100"/>
              <w:right w:type="dxa" w:w="120"/>
            </w:tcMar>
            <w:vAlign w:val="center"/>
          </w:tcPr>
          <w:p>
            <w:r>
              <w:rPr>
                <w:color w:val="444444"/>
                <w:sz w:val="20"/>
                <w:szCs w:val="20"/>
              </w:rPr>
              <w:t xml:space="preserve">MTD</w:t>
            </w:r>
          </w:p>
        </w:tc>
        <w:tc>
          <w:tcPr>
            <w:tcW w:type="auto" w:w="0"/>
            <w:shd w:fill="FFFFFF" w:val="clear"/>
            <w:tcMar>
              <w:top w:type="dxa" w:w="100"/>
              <w:left w:type="dxa" w:w="120"/>
              <w:bottom w:type="dxa" w:w="100"/>
              <w:right w:type="dxa" w:w="120"/>
            </w:tcMar>
            <w:vAlign w:val="center"/>
          </w:tcPr>
          <w:p>
            <w:r>
              <w:rPr>
                <w:color w:val="444444"/>
                <w:sz w:val="20"/>
                <w:szCs w:val="20"/>
              </w:rPr>
              <w:t xml:space="preserve">Month-to-Date performance.</w:t>
            </w:r>
          </w:p>
        </w:tc>
      </w:tr>
      <w:tr>
        <w:tc>
          <w:tcPr>
            <w:tcW w:type="auto" w:w="0"/>
            <w:shd w:fill="F2F2F2" w:val="clear"/>
            <w:tcMar>
              <w:top w:type="dxa" w:w="100"/>
              <w:left w:type="dxa" w:w="120"/>
              <w:bottom w:type="dxa" w:w="100"/>
              <w:right w:type="dxa" w:w="120"/>
            </w:tcMar>
            <w:vAlign w:val="center"/>
          </w:tcPr>
          <w:p>
            <w:r>
              <w:rPr>
                <w:color w:val="444444"/>
                <w:sz w:val="20"/>
                <w:szCs w:val="20"/>
              </w:rPr>
              <w:t xml:space="preserve">YTD</w:t>
            </w:r>
          </w:p>
        </w:tc>
        <w:tc>
          <w:tcPr>
            <w:tcW w:type="auto" w:w="0"/>
            <w:shd w:fill="F2F2F2" w:val="clear"/>
            <w:tcMar>
              <w:top w:type="dxa" w:w="100"/>
              <w:left w:type="dxa" w:w="120"/>
              <w:bottom w:type="dxa" w:w="100"/>
              <w:right w:type="dxa" w:w="120"/>
            </w:tcMar>
            <w:vAlign w:val="center"/>
          </w:tcPr>
          <w:p>
            <w:r>
              <w:rPr>
                <w:color w:val="444444"/>
                <w:sz w:val="20"/>
                <w:szCs w:val="20"/>
              </w:rPr>
              <w:t xml:space="preserve">Year-to-Date performance.</w:t>
            </w:r>
          </w:p>
        </w:tc>
      </w:tr>
    </w:tbl>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14725"/>
                    </a:xfrm>
                    <a:prstGeom prst="rect">
                      <a:avLst/>
                    </a:prstGeom>
                  </pic:spPr>
                </pic:pic>
              </a:graphicData>
            </a:graphic>
          </wp:inline>
        </w:drawing>
      </w:r>
    </w:p>
    <w:p>
      <w:pPr>
        <w:spacing w:after="240"/>
        <w:jc w:val="center"/>
      </w:pPr>
      <w:r>
        <w:rPr>
          <w:i/>
          <w:iCs/>
          <w:color w:val="666666"/>
          <w:sz w:val="20"/>
          <w:szCs w:val="20"/>
        </w:rPr>
        <w:t xml:space="preserve">Figure 4 — Custom Date Table: Date, Years, Month, Month_num, Week of Year, Quarter, YTD and MTD Fields</w:t>
      </w:r>
    </w:p>
    <w:p>
      <w:pPr>
        <w:pStyle w:val="Heading2"/>
        <w:spacing w:after="160" w:before="320"/>
      </w:pPr>
      <w:r>
        <w:rPr>
          <w:b/>
          <w:bCs/>
          <w:color w:val="1F7A6C"/>
        </w:rPr>
        <w:t xml:space="preserve">3.2 DAX Measures &amp; Calculated Fields</w:t>
      </w:r>
    </w:p>
    <w:p>
      <w:pPr>
        <w:spacing w:after="160" w:line="300"/>
      </w:pPr>
      <w:r>
        <w:rPr>
          <w:color w:val="444444"/>
          <w:sz w:val="22"/>
          <w:szCs w:val="22"/>
        </w:rPr>
        <w:t xml:space="preserve">DAX measures and calculated fields were created to convert transactional data into reusable business KPIs. These calculations support aggregation, profitability analysis, website analytics, refunds, and time-based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auto" w:w="0"/>
            <w:shd w:fill="1F7A6C" w:val="clear"/>
            <w:tcMar>
              <w:top w:type="dxa" w:w="100"/>
              <w:left w:type="dxa" w:w="120"/>
              <w:bottom w:type="dxa" w:w="100"/>
              <w:right w:type="dxa" w:w="120"/>
            </w:tcMar>
            <w:vAlign w:val="center"/>
          </w:tcPr>
          <w:p>
            <w:r>
              <w:rPr>
                <w:b/>
                <w:bCs/>
                <w:color w:val="FFFFFF"/>
                <w:sz w:val="20"/>
                <w:szCs w:val="20"/>
              </w:rPr>
              <w:t xml:space="preserve">Area</w:t>
            </w:r>
          </w:p>
        </w:tc>
        <w:tc>
          <w:tcPr>
            <w:tcW w:type="auto" w:w="0"/>
            <w:shd w:fill="1F7A6C" w:val="clear"/>
            <w:tcMar>
              <w:top w:type="dxa" w:w="100"/>
              <w:left w:type="dxa" w:w="120"/>
              <w:bottom w:type="dxa" w:w="100"/>
              <w:right w:type="dxa" w:w="120"/>
            </w:tcMar>
            <w:vAlign w:val="center"/>
          </w:tcPr>
          <w:p>
            <w:r>
              <w:rPr>
                <w:b/>
                <w:bCs/>
                <w:color w:val="FFFFFF"/>
                <w:sz w:val="20"/>
                <w:szCs w:val="20"/>
              </w:rPr>
              <w:t xml:space="preserve">Measures / Fields Identified</w:t>
            </w:r>
          </w:p>
        </w:tc>
      </w:tr>
      <w:tr>
        <w:tc>
          <w:tcPr>
            <w:tcW w:type="auto" w:w="0"/>
            <w:shd w:fill="FFFFFF" w:val="clear"/>
            <w:tcMar>
              <w:top w:type="dxa" w:w="100"/>
              <w:left w:type="dxa" w:w="120"/>
              <w:bottom w:type="dxa" w:w="100"/>
              <w:right w:type="dxa" w:w="120"/>
            </w:tcMar>
            <w:vAlign w:val="center"/>
          </w:tcPr>
          <w:p>
            <w:r>
              <w:rPr>
                <w:color w:val="444444"/>
                <w:sz w:val="20"/>
                <w:szCs w:val="20"/>
              </w:rPr>
              <w:t xml:space="preserve">Sales &amp; Orders</w:t>
            </w:r>
          </w:p>
        </w:tc>
        <w:tc>
          <w:tcPr>
            <w:tcW w:type="auto" w:w="0"/>
            <w:shd w:fill="FFFFFF" w:val="clear"/>
            <w:tcMar>
              <w:top w:type="dxa" w:w="100"/>
              <w:left w:type="dxa" w:w="120"/>
              <w:bottom w:type="dxa" w:w="100"/>
              <w:right w:type="dxa" w:w="120"/>
            </w:tcMar>
            <w:vAlign w:val="center"/>
          </w:tcPr>
          <w:p>
            <w:r>
              <w:rPr>
                <w:color w:val="444444"/>
                <w:sz w:val="20"/>
                <w:szCs w:val="20"/>
              </w:rPr>
              <w:t xml:space="preserve">total sales; total orders; average order...; items purchas...; tota item puc...; total toys sold...</w:t>
            </w:r>
          </w:p>
        </w:tc>
      </w:tr>
      <w:tr>
        <w:tc>
          <w:tcPr>
            <w:tcW w:type="auto" w:w="0"/>
            <w:shd w:fill="F2F2F2" w:val="clear"/>
            <w:tcMar>
              <w:top w:type="dxa" w:w="100"/>
              <w:left w:type="dxa" w:w="120"/>
              <w:bottom w:type="dxa" w:w="100"/>
              <w:right w:type="dxa" w:w="120"/>
            </w:tcMar>
            <w:vAlign w:val="center"/>
          </w:tcPr>
          <w:p>
            <w:r>
              <w:rPr>
                <w:color w:val="444444"/>
                <w:sz w:val="20"/>
                <w:szCs w:val="20"/>
              </w:rPr>
              <w:t xml:space="preserve">Profitability</w:t>
            </w:r>
          </w:p>
        </w:tc>
        <w:tc>
          <w:tcPr>
            <w:tcW w:type="auto" w:w="0"/>
            <w:shd w:fill="F2F2F2" w:val="clear"/>
            <w:tcMar>
              <w:top w:type="dxa" w:w="100"/>
              <w:left w:type="dxa" w:w="120"/>
              <w:bottom w:type="dxa" w:w="100"/>
              <w:right w:type="dxa" w:w="120"/>
            </w:tcMar>
            <w:vAlign w:val="center"/>
          </w:tcPr>
          <w:p>
            <w:r>
              <w:rPr>
                <w:color w:val="444444"/>
                <w:sz w:val="20"/>
                <w:szCs w:val="20"/>
              </w:rPr>
              <w:t xml:space="preserve">cogs_usd; profits; profit margin</w:t>
            </w:r>
          </w:p>
        </w:tc>
      </w:tr>
      <w:tr>
        <w:tc>
          <w:tcPr>
            <w:tcW w:type="auto" w:w="0"/>
            <w:shd w:fill="FFFFFF" w:val="clear"/>
            <w:tcMar>
              <w:top w:type="dxa" w:w="100"/>
              <w:left w:type="dxa" w:w="120"/>
              <w:bottom w:type="dxa" w:w="100"/>
              <w:right w:type="dxa" w:w="120"/>
            </w:tcMar>
            <w:vAlign w:val="center"/>
          </w:tcPr>
          <w:p>
            <w:r>
              <w:rPr>
                <w:color w:val="444444"/>
                <w:sz w:val="20"/>
                <w:szCs w:val="20"/>
              </w:rPr>
              <w:t xml:space="preserve">Refunds</w:t>
            </w:r>
          </w:p>
        </w:tc>
        <w:tc>
          <w:tcPr>
            <w:tcW w:type="auto" w:w="0"/>
            <w:shd w:fill="FFFFFF" w:val="clear"/>
            <w:tcMar>
              <w:top w:type="dxa" w:w="100"/>
              <w:left w:type="dxa" w:w="120"/>
              <w:bottom w:type="dxa" w:w="100"/>
              <w:right w:type="dxa" w:w="120"/>
            </w:tcMar>
            <w:vAlign w:val="center"/>
          </w:tcPr>
          <w:p>
            <w:r>
              <w:rPr>
                <w:color w:val="444444"/>
                <w:sz w:val="20"/>
                <w:szCs w:val="20"/>
              </w:rPr>
              <w:t xml:space="preserve">total refund; average refund; total refund a...</w:t>
            </w:r>
          </w:p>
        </w:tc>
      </w:tr>
      <w:tr>
        <w:tc>
          <w:tcPr>
            <w:tcW w:type="auto" w:w="0"/>
            <w:shd w:fill="F2F2F2" w:val="clear"/>
            <w:tcMar>
              <w:top w:type="dxa" w:w="100"/>
              <w:left w:type="dxa" w:w="120"/>
              <w:bottom w:type="dxa" w:w="100"/>
              <w:right w:type="dxa" w:w="120"/>
            </w:tcMar>
            <w:vAlign w:val="center"/>
          </w:tcPr>
          <w:p>
            <w:r>
              <w:rPr>
                <w:color w:val="444444"/>
                <w:sz w:val="20"/>
                <w:szCs w:val="20"/>
              </w:rPr>
              <w:t xml:space="preserve">Website Sessions</w:t>
            </w:r>
          </w:p>
        </w:tc>
        <w:tc>
          <w:tcPr>
            <w:tcW w:type="auto" w:w="0"/>
            <w:shd w:fill="F2F2F2" w:val="clear"/>
            <w:tcMar>
              <w:top w:type="dxa" w:w="100"/>
              <w:left w:type="dxa" w:w="120"/>
              <w:bottom w:type="dxa" w:w="100"/>
              <w:right w:type="dxa" w:w="120"/>
            </w:tcMar>
            <w:vAlign w:val="center"/>
          </w:tcPr>
          <w:p>
            <w:r>
              <w:rPr>
                <w:color w:val="444444"/>
                <w:sz w:val="20"/>
                <w:szCs w:val="20"/>
              </w:rPr>
              <w:t xml:space="preserve">total session; Total Sessions; Unique/Session-related fields</w:t>
            </w:r>
          </w:p>
        </w:tc>
      </w:tr>
      <w:tr>
        <w:tc>
          <w:tcPr>
            <w:tcW w:type="auto" w:w="0"/>
            <w:shd w:fill="FFFFFF" w:val="clear"/>
            <w:tcMar>
              <w:top w:type="dxa" w:w="100"/>
              <w:left w:type="dxa" w:w="120"/>
              <w:bottom w:type="dxa" w:w="100"/>
              <w:right w:type="dxa" w:w="120"/>
            </w:tcMar>
            <w:vAlign w:val="center"/>
          </w:tcPr>
          <w:p>
            <w:r>
              <w:rPr>
                <w:color w:val="444444"/>
                <w:sz w:val="20"/>
                <w:szCs w:val="20"/>
              </w:rPr>
              <w:t xml:space="preserve">Website Pageviews</w:t>
            </w:r>
          </w:p>
        </w:tc>
        <w:tc>
          <w:tcPr>
            <w:tcW w:type="auto" w:w="0"/>
            <w:shd w:fill="FFFFFF" w:val="clear"/>
            <w:tcMar>
              <w:top w:type="dxa" w:w="100"/>
              <w:left w:type="dxa" w:w="120"/>
              <w:bottom w:type="dxa" w:w="100"/>
              <w:right w:type="dxa" w:w="120"/>
            </w:tcMar>
            <w:vAlign w:val="center"/>
          </w:tcPr>
          <w:p>
            <w:r>
              <w:rPr>
                <w:color w:val="444444"/>
                <w:sz w:val="20"/>
                <w:szCs w:val="20"/>
              </w:rPr>
              <w:t xml:space="preserve">Total Pageviews; Pageviews per...; Unique Sessio...</w:t>
            </w:r>
          </w:p>
        </w:tc>
      </w:tr>
      <w:tr>
        <w:tc>
          <w:tcPr>
            <w:tcW w:type="auto" w:w="0"/>
            <w:shd w:fill="F2F2F2" w:val="clear"/>
            <w:tcMar>
              <w:top w:type="dxa" w:w="100"/>
              <w:left w:type="dxa" w:w="120"/>
              <w:bottom w:type="dxa" w:w="100"/>
              <w:right w:type="dxa" w:w="120"/>
            </w:tcMar>
            <w:vAlign w:val="center"/>
          </w:tcPr>
          <w:p>
            <w:r>
              <w:rPr>
                <w:color w:val="444444"/>
                <w:sz w:val="20"/>
                <w:szCs w:val="20"/>
              </w:rPr>
              <w:t xml:space="preserve">Marketing</w:t>
            </w:r>
          </w:p>
        </w:tc>
        <w:tc>
          <w:tcPr>
            <w:tcW w:type="auto" w:w="0"/>
            <w:shd w:fill="F2F2F2" w:val="clear"/>
            <w:tcMar>
              <w:top w:type="dxa" w:w="100"/>
              <w:left w:type="dxa" w:w="120"/>
              <w:bottom w:type="dxa" w:w="100"/>
              <w:right w:type="dxa" w:w="120"/>
            </w:tcMar>
            <w:vAlign w:val="center"/>
          </w:tcPr>
          <w:p>
            <w:r>
              <w:rPr>
                <w:color w:val="444444"/>
                <w:sz w:val="20"/>
                <w:szCs w:val="20"/>
              </w:rPr>
              <w:t xml:space="preserve">new_utm_source; new_utm_content; utm_campaign; http_referer</w:t>
            </w:r>
          </w:p>
        </w:tc>
      </w:tr>
      <w:tr>
        <w:tc>
          <w:tcPr>
            <w:tcW w:type="auto" w:w="0"/>
            <w:shd w:fill="FFFFFF" w:val="clear"/>
            <w:tcMar>
              <w:top w:type="dxa" w:w="100"/>
              <w:left w:type="dxa" w:w="120"/>
              <w:bottom w:type="dxa" w:w="100"/>
              <w:right w:type="dxa" w:w="120"/>
            </w:tcMar>
            <w:vAlign w:val="center"/>
          </w:tcPr>
          <w:p>
            <w:r>
              <w:rPr>
                <w:color w:val="444444"/>
                <w:sz w:val="20"/>
                <w:szCs w:val="20"/>
              </w:rPr>
              <w:t xml:space="preserve">Product / Order Logic</w:t>
            </w:r>
          </w:p>
        </w:tc>
        <w:tc>
          <w:tcPr>
            <w:tcW w:type="auto" w:w="0"/>
            <w:shd w:fill="FFFFFF" w:val="clear"/>
            <w:tcMar>
              <w:top w:type="dxa" w:w="100"/>
              <w:left w:type="dxa" w:w="120"/>
              <w:bottom w:type="dxa" w:w="100"/>
              <w:right w:type="dxa" w:w="120"/>
            </w:tcMar>
            <w:vAlign w:val="center"/>
          </w:tcPr>
          <w:p>
            <w:r>
              <w:rPr>
                <w:color w:val="444444"/>
                <w:sz w:val="20"/>
                <w:szCs w:val="20"/>
              </w:rPr>
              <w:t xml:space="preserve">new_product...; primary_prod...; is_primary_item</w:t>
            </w:r>
          </w:p>
        </w:tc>
      </w:tr>
      <w:tr>
        <w:tc>
          <w:tcPr>
            <w:tcW w:type="auto" w:w="0"/>
            <w:shd w:fill="F2F2F2" w:val="clear"/>
            <w:tcMar>
              <w:top w:type="dxa" w:w="100"/>
              <w:left w:type="dxa" w:w="120"/>
              <w:bottom w:type="dxa" w:w="100"/>
              <w:right w:type="dxa" w:w="120"/>
            </w:tcMar>
            <w:vAlign w:val="center"/>
          </w:tcPr>
          <w:p>
            <w:r>
              <w:rPr>
                <w:color w:val="444444"/>
                <w:sz w:val="20"/>
                <w:szCs w:val="20"/>
              </w:rPr>
              <w:t xml:space="preserve">Time</w:t>
            </w:r>
          </w:p>
        </w:tc>
        <w:tc>
          <w:tcPr>
            <w:tcW w:type="auto" w:w="0"/>
            <w:shd w:fill="F2F2F2" w:val="clear"/>
            <w:tcMar>
              <w:top w:type="dxa" w:w="100"/>
              <w:left w:type="dxa" w:w="120"/>
              <w:bottom w:type="dxa" w:w="100"/>
              <w:right w:type="dxa" w:w="120"/>
            </w:tcMar>
            <w:vAlign w:val="center"/>
          </w:tcPr>
          <w:p>
            <w:r>
              <w:rPr>
                <w:color w:val="444444"/>
                <w:sz w:val="20"/>
                <w:szCs w:val="20"/>
              </w:rPr>
              <w:t xml:space="preserve">year; Time; MTD; YTD; month; quarter; week of year</w:t>
            </w:r>
          </w:p>
        </w:tc>
      </w:tr>
    </w:tbl>
    <w:p>
      <w:pPr>
        <w:pStyle w:val="Heading2"/>
        <w:spacing w:after="160" w:before="320"/>
      </w:pPr>
      <w:r>
        <w:rPr>
          <w:b/>
          <w:bCs/>
          <w:color w:val="1F7A6C"/>
        </w:rPr>
        <w:t xml:space="preserve">3.3 Sales &amp; Order Metrics</w:t>
      </w:r>
    </w:p>
    <w:p>
      <w:pPr>
        <w:pStyle w:val="ListParagraph"/>
        <w:numPr>
          <w:ilvl w:val="0"/>
          <w:numId w:val="1"/>
        </w:numPr>
        <w:spacing w:after="80" w:line="280"/>
      </w:pPr>
      <w:r>
        <w:rPr>
          <w:color w:val="444444"/>
          <w:sz w:val="22"/>
          <w:szCs w:val="22"/>
        </w:rPr>
        <w:t xml:space="preserve">Total Sales — measures the overall sales value represented in the order data.</w:t>
      </w:r>
    </w:p>
    <w:p>
      <w:pPr>
        <w:pStyle w:val="ListParagraph"/>
        <w:numPr>
          <w:ilvl w:val="0"/>
          <w:numId w:val="1"/>
        </w:numPr>
        <w:spacing w:after="80" w:line="280"/>
      </w:pPr>
      <w:r>
        <w:rPr>
          <w:color w:val="444444"/>
          <w:sz w:val="22"/>
          <w:szCs w:val="22"/>
        </w:rPr>
        <w:t xml:space="preserve">Total Orders — counts the order-level business volume.</w:t>
      </w:r>
    </w:p>
    <w:p>
      <w:pPr>
        <w:pStyle w:val="ListParagraph"/>
        <w:numPr>
          <w:ilvl w:val="0"/>
          <w:numId w:val="1"/>
        </w:numPr>
        <w:spacing w:after="80" w:line="280"/>
      </w:pPr>
      <w:r>
        <w:rPr>
          <w:color w:val="444444"/>
          <w:sz w:val="22"/>
          <w:szCs w:val="22"/>
        </w:rPr>
        <w:t xml:space="preserve">Average Order — provides an order-value KPI for evaluating average transaction size.</w:t>
      </w:r>
    </w:p>
    <w:p>
      <w:pPr>
        <w:pStyle w:val="ListParagraph"/>
        <w:numPr>
          <w:ilvl w:val="0"/>
          <w:numId w:val="1"/>
        </w:numPr>
        <w:spacing w:after="80" w:line="280"/>
      </w:pPr>
      <w:r>
        <w:rPr>
          <w:color w:val="444444"/>
          <w:sz w:val="22"/>
          <w:szCs w:val="22"/>
        </w:rPr>
        <w:t xml:space="preserve">Items Purchased — measures the quantity of items associated with orders.</w:t>
      </w:r>
    </w:p>
    <w:p>
      <w:pPr>
        <w:pStyle w:val="ListParagraph"/>
        <w:numPr>
          <w:ilvl w:val="0"/>
          <w:numId w:val="1"/>
        </w:numPr>
        <w:spacing w:after="80" w:line="280"/>
      </w:pPr>
      <w:r>
        <w:rPr>
          <w:color w:val="444444"/>
          <w:sz w:val="22"/>
          <w:szCs w:val="22"/>
        </w:rPr>
        <w:t xml:space="preserve">Total Items Purchased — summarizes item purchasing volume.</w:t>
      </w:r>
    </w:p>
    <w:p>
      <w:pPr>
        <w:pStyle w:val="ListParagraph"/>
        <w:numPr>
          <w:ilvl w:val="0"/>
          <w:numId w:val="1"/>
        </w:numPr>
        <w:spacing w:after="80" w:line="280"/>
      </w:pPr>
      <w:r>
        <w:rPr>
          <w:color w:val="444444"/>
          <w:sz w:val="22"/>
          <w:szCs w:val="22"/>
        </w:rPr>
        <w:t xml:space="preserve">Total Toys Sold — measures the overall toy units sold.</w:t>
      </w:r>
    </w:p>
    <w:p>
      <w:pPr>
        <w:pStyle w:val="Heading2"/>
        <w:spacing w:after="160" w:before="320"/>
      </w:pPr>
      <w:r>
        <w:rPr>
          <w:b/>
          <w:bCs/>
          <w:color w:val="1F7A6C"/>
        </w:rPr>
        <w:t xml:space="preserve">3.4 Profitability Metrics</w:t>
      </w:r>
    </w:p>
    <w:p>
      <w:pPr>
        <w:pStyle w:val="ListParagraph"/>
        <w:numPr>
          <w:ilvl w:val="0"/>
          <w:numId w:val="1"/>
        </w:numPr>
        <w:spacing w:after="80" w:line="280"/>
      </w:pPr>
      <w:r>
        <w:rPr>
          <w:color w:val="444444"/>
          <w:sz w:val="22"/>
          <w:szCs w:val="22"/>
        </w:rPr>
        <w:t xml:space="preserve">COGS (cogs_usd) — represents cost of goods sold used in profitability analysis.</w:t>
      </w:r>
    </w:p>
    <w:p>
      <w:pPr>
        <w:pStyle w:val="ListParagraph"/>
        <w:numPr>
          <w:ilvl w:val="0"/>
          <w:numId w:val="1"/>
        </w:numPr>
        <w:spacing w:after="80" w:line="280"/>
      </w:pPr>
      <w:r>
        <w:rPr>
          <w:color w:val="444444"/>
          <w:sz w:val="22"/>
          <w:szCs w:val="22"/>
        </w:rPr>
        <w:t xml:space="preserve">Profits — measures business profit based on the available sales and cost fields.</w:t>
      </w:r>
    </w:p>
    <w:p>
      <w:pPr>
        <w:pStyle w:val="ListParagraph"/>
        <w:numPr>
          <w:ilvl w:val="0"/>
          <w:numId w:val="1"/>
        </w:numPr>
        <w:spacing w:after="80" w:line="280"/>
      </w:pPr>
      <w:r>
        <w:rPr>
          <w:color w:val="444444"/>
          <w:sz w:val="22"/>
          <w:szCs w:val="22"/>
        </w:rPr>
        <w:t xml:space="preserve">Profit Margin — evaluates profit relative to sales and is useful for comparing profitability.</w:t>
      </w:r>
    </w:p>
    <w:p>
      <w:pPr>
        <w:pStyle w:val="Heading2"/>
        <w:spacing w:after="160" w:before="320"/>
      </w:pPr>
      <w:r>
        <w:rPr>
          <w:b/>
          <w:bCs/>
          <w:color w:val="1F7A6C"/>
        </w:rPr>
        <w:t xml:space="preserve">3.5 Refund Metrics</w:t>
      </w:r>
    </w:p>
    <w:p>
      <w:pPr>
        <w:pStyle w:val="ListParagraph"/>
        <w:numPr>
          <w:ilvl w:val="0"/>
          <w:numId w:val="1"/>
        </w:numPr>
        <w:spacing w:after="80" w:line="280"/>
      </w:pPr>
      <w:r>
        <w:rPr>
          <w:color w:val="444444"/>
          <w:sz w:val="22"/>
          <w:szCs w:val="22"/>
        </w:rPr>
        <w:t xml:space="preserve">Total Refund — measures the total refund amount.</w:t>
      </w:r>
    </w:p>
    <w:p>
      <w:pPr>
        <w:pStyle w:val="ListParagraph"/>
        <w:numPr>
          <w:ilvl w:val="0"/>
          <w:numId w:val="1"/>
        </w:numPr>
        <w:spacing w:after="80" w:line="280"/>
      </w:pPr>
      <w:r>
        <w:rPr>
          <w:color w:val="444444"/>
          <w:sz w:val="22"/>
          <w:szCs w:val="22"/>
        </w:rPr>
        <w:t xml:space="preserve">Average Refund — measures the average refund value.</w:t>
      </w:r>
    </w:p>
    <w:p>
      <w:pPr>
        <w:pStyle w:val="ListParagraph"/>
        <w:numPr>
          <w:ilvl w:val="0"/>
          <w:numId w:val="1"/>
        </w:numPr>
        <w:spacing w:after="80" w:line="280"/>
      </w:pPr>
      <w:r>
        <w:rPr>
          <w:color w:val="444444"/>
          <w:sz w:val="22"/>
          <w:szCs w:val="22"/>
        </w:rPr>
        <w:t xml:space="preserve">Refund-related amount field — retained as visible in the Power BI model where the screenshot truncates the full name.</w:t>
      </w:r>
    </w:p>
    <w:p>
      <w:pPr>
        <w:pStyle w:val="Heading2"/>
        <w:spacing w:after="160" w:before="320"/>
      </w:pPr>
      <w:r>
        <w:rPr>
          <w:b/>
          <w:bCs/>
          <w:color w:val="1F7A6C"/>
        </w:rPr>
        <w:t xml:space="preserve">3.6 Website Analytics Metrics</w:t>
      </w:r>
    </w:p>
    <w:p>
      <w:pPr>
        <w:pStyle w:val="ListParagraph"/>
        <w:numPr>
          <w:ilvl w:val="0"/>
          <w:numId w:val="1"/>
        </w:numPr>
        <w:spacing w:after="80" w:line="280"/>
      </w:pPr>
      <w:r>
        <w:rPr>
          <w:color w:val="444444"/>
          <w:sz w:val="22"/>
          <w:szCs w:val="22"/>
        </w:rPr>
        <w:t xml:space="preserve">Total Sessions — measures website session volume.</w:t>
      </w:r>
    </w:p>
    <w:p>
      <w:pPr>
        <w:pStyle w:val="ListParagraph"/>
        <w:numPr>
          <w:ilvl w:val="0"/>
          <w:numId w:val="1"/>
        </w:numPr>
        <w:spacing w:after="80" w:line="280"/>
      </w:pPr>
      <w:r>
        <w:rPr>
          <w:color w:val="444444"/>
          <w:sz w:val="22"/>
          <w:szCs w:val="22"/>
        </w:rPr>
        <w:t xml:space="preserve">Total Pageviews — measures total pageview activity.</w:t>
      </w:r>
    </w:p>
    <w:p>
      <w:pPr>
        <w:pStyle w:val="ListParagraph"/>
        <w:numPr>
          <w:ilvl w:val="0"/>
          <w:numId w:val="1"/>
        </w:numPr>
        <w:spacing w:after="80" w:line="280"/>
      </w:pPr>
      <w:r>
        <w:rPr>
          <w:color w:val="444444"/>
          <w:sz w:val="22"/>
          <w:szCs w:val="22"/>
        </w:rPr>
        <w:t xml:space="preserve">Unique Sessions — supports session-level behavioral analysis.</w:t>
      </w:r>
    </w:p>
    <w:p>
      <w:pPr>
        <w:pStyle w:val="ListParagraph"/>
        <w:numPr>
          <w:ilvl w:val="0"/>
          <w:numId w:val="1"/>
        </w:numPr>
        <w:spacing w:after="80" w:line="280"/>
      </w:pPr>
      <w:r>
        <w:rPr>
          <w:color w:val="444444"/>
          <w:sz w:val="22"/>
          <w:szCs w:val="22"/>
        </w:rPr>
        <w:t xml:space="preserve">Pageviews per Session — supports understanding of engagement depth.</w:t>
      </w:r>
    </w:p>
    <w:p>
      <w:pPr>
        <w:pStyle w:val="Heading2"/>
        <w:spacing w:after="160" w:before="320"/>
      </w:pPr>
      <w:r>
        <w:rPr>
          <w:b/>
          <w:bCs/>
          <w:color w:val="1F7A6C"/>
        </w:rPr>
        <w:t xml:space="preserve">3.7 Marketing / Traffic Source Fields</w:t>
      </w:r>
    </w:p>
    <w:p>
      <w:pPr>
        <w:pStyle w:val="ListParagraph"/>
        <w:numPr>
          <w:ilvl w:val="0"/>
          <w:numId w:val="1"/>
        </w:numPr>
        <w:spacing w:after="80" w:line="280"/>
      </w:pPr>
      <w:r>
        <w:rPr>
          <w:color w:val="444444"/>
          <w:sz w:val="22"/>
          <w:szCs w:val="22"/>
        </w:rPr>
        <w:t xml:space="preserve">http_referer — identifies the referring source available in the session data.</w:t>
      </w:r>
    </w:p>
    <w:p>
      <w:pPr>
        <w:pStyle w:val="ListParagraph"/>
        <w:numPr>
          <w:ilvl w:val="0"/>
          <w:numId w:val="1"/>
        </w:numPr>
        <w:spacing w:after="80" w:line="280"/>
      </w:pPr>
      <w:r>
        <w:rPr>
          <w:color w:val="444444"/>
          <w:sz w:val="22"/>
          <w:szCs w:val="22"/>
        </w:rPr>
        <w:t xml:space="preserve">new_utm_source — transformed UTM source classification.</w:t>
      </w:r>
    </w:p>
    <w:p>
      <w:pPr>
        <w:pStyle w:val="ListParagraph"/>
        <w:numPr>
          <w:ilvl w:val="0"/>
          <w:numId w:val="1"/>
        </w:numPr>
        <w:spacing w:after="80" w:line="280"/>
      </w:pPr>
      <w:r>
        <w:rPr>
          <w:color w:val="444444"/>
          <w:sz w:val="22"/>
          <w:szCs w:val="22"/>
        </w:rPr>
        <w:t xml:space="preserve">new_utm_content — transformed UTM content classification.</w:t>
      </w:r>
    </w:p>
    <w:p>
      <w:pPr>
        <w:pStyle w:val="ListParagraph"/>
        <w:numPr>
          <w:ilvl w:val="0"/>
          <w:numId w:val="1"/>
        </w:numPr>
        <w:spacing w:after="80" w:line="280"/>
      </w:pPr>
      <w:r>
        <w:rPr>
          <w:color w:val="444444"/>
          <w:sz w:val="22"/>
          <w:szCs w:val="22"/>
        </w:rPr>
        <w:t xml:space="preserve">utm_campaign — campaign-level marketing information.</w:t>
      </w:r>
    </w:p>
    <w:p>
      <w:pPr>
        <w:pStyle w:val="ListParagraph"/>
        <w:numPr>
          <w:ilvl w:val="0"/>
          <w:numId w:val="1"/>
        </w:numPr>
        <w:spacing w:after="80" w:line="280"/>
      </w:pPr>
      <w:r>
        <w:rPr>
          <w:color w:val="444444"/>
          <w:sz w:val="22"/>
          <w:szCs w:val="22"/>
        </w:rPr>
        <w:t xml:space="preserve">device_type — device-based session segmentation.</w:t>
      </w:r>
    </w:p>
    <w:p>
      <w:pPr>
        <w:pStyle w:val="ListParagraph"/>
        <w:numPr>
          <w:ilvl w:val="0"/>
          <w:numId w:val="1"/>
        </w:numPr>
        <w:spacing w:after="80" w:line="280"/>
      </w:pPr>
      <w:r>
        <w:rPr>
          <w:color w:val="444444"/>
          <w:sz w:val="22"/>
          <w:szCs w:val="22"/>
        </w:rPr>
        <w:t xml:space="preserve">is_repeat_session — supports repeat-session analysis.</w:t>
      </w:r>
    </w:p>
    <w:p>
      <w:pPr>
        <w:pStyle w:val="Heading1"/>
        <w:pBdr>
          <w:bottom w:val="single" w:color="1F7A6C" w:sz="8"/>
        </w:pBdr>
        <w:spacing w:after="200" w:before="400"/>
      </w:pPr>
      <w:r>
        <w:rPr>
          <w:b/>
          <w:bCs/>
          <w:color w:val="0F4C40"/>
        </w:rPr>
        <w:t xml:space="preserve">4. Business Analysis &amp; Insights</w:t>
      </w:r>
    </w:p>
    <w:p>
      <w:pPr>
        <w:spacing w:after="160" w:line="300"/>
      </w:pPr>
      <w:r>
        <w:rPr>
          <w:color w:val="444444"/>
          <w:sz w:val="22"/>
          <w:szCs w:val="22"/>
        </w:rPr>
        <w:t xml:space="preserve">The Power BI report is designed to answer practical business questions using the measures and fields created during the project. The following areas represent the main analytical themes of the Toys Business report.</w:t>
      </w:r>
    </w:p>
    <w:p>
      <w:pPr>
        <w:pStyle w:val="Heading2"/>
        <w:spacing w:after="160" w:before="320"/>
      </w:pPr>
      <w:r>
        <w:rPr>
          <w:b/>
          <w:bCs/>
          <w:color w:val="1F7A6C"/>
        </w:rPr>
        <w:t xml:space="preserve">4.1 Sales Performance</w:t>
      </w:r>
    </w:p>
    <w:p>
      <w:pPr>
        <w:pStyle w:val="ListParagraph"/>
        <w:numPr>
          <w:ilvl w:val="0"/>
          <w:numId w:val="1"/>
        </w:numPr>
        <w:spacing w:after="80" w:line="280"/>
      </w:pPr>
      <w:r>
        <w:rPr>
          <w:color w:val="444444"/>
          <w:sz w:val="22"/>
          <w:szCs w:val="22"/>
        </w:rPr>
        <w:t xml:space="preserve">Overall sales performance.</w:t>
      </w:r>
    </w:p>
    <w:p>
      <w:pPr>
        <w:pStyle w:val="ListParagraph"/>
        <w:numPr>
          <w:ilvl w:val="0"/>
          <w:numId w:val="1"/>
        </w:numPr>
        <w:spacing w:after="80" w:line="280"/>
      </w:pPr>
      <w:r>
        <w:rPr>
          <w:color w:val="444444"/>
          <w:sz w:val="22"/>
          <w:szCs w:val="22"/>
        </w:rPr>
        <w:t xml:space="preserve">Order volume and transaction activity.</w:t>
      </w:r>
    </w:p>
    <w:p>
      <w:pPr>
        <w:pStyle w:val="ListParagraph"/>
        <w:numPr>
          <w:ilvl w:val="0"/>
          <w:numId w:val="1"/>
        </w:numPr>
        <w:spacing w:after="80" w:line="280"/>
      </w:pPr>
      <w:r>
        <w:rPr>
          <w:color w:val="444444"/>
          <w:sz w:val="22"/>
          <w:szCs w:val="22"/>
        </w:rPr>
        <w:t xml:space="preserve">Average order value.</w:t>
      </w:r>
    </w:p>
    <w:p>
      <w:pPr>
        <w:pStyle w:val="ListParagraph"/>
        <w:numPr>
          <w:ilvl w:val="0"/>
          <w:numId w:val="1"/>
        </w:numPr>
        <w:spacing w:after="80" w:line="280"/>
      </w:pPr>
      <w:r>
        <w:rPr>
          <w:color w:val="444444"/>
          <w:sz w:val="22"/>
          <w:szCs w:val="22"/>
        </w:rPr>
        <w:t xml:space="preserve">Toy units sold.</w:t>
      </w:r>
    </w:p>
    <w:p>
      <w:pPr>
        <w:pStyle w:val="ListParagraph"/>
        <w:numPr>
          <w:ilvl w:val="0"/>
          <w:numId w:val="1"/>
        </w:numPr>
        <w:spacing w:after="80" w:line="280"/>
      </w:pPr>
      <w:r>
        <w:rPr>
          <w:color w:val="444444"/>
          <w:sz w:val="22"/>
          <w:szCs w:val="22"/>
        </w:rPr>
        <w:t xml:space="preserve">Sales performance over time.</w:t>
      </w:r>
    </w:p>
    <w:p>
      <w:pPr>
        <w:pStyle w:val="Heading2"/>
        <w:spacing w:after="160" w:before="320"/>
      </w:pPr>
      <w:r>
        <w:rPr>
          <w:b/>
          <w:bCs/>
          <w:color w:val="1F7A6C"/>
        </w:rPr>
        <w:t xml:space="preserve">4.2 Product Performance</w:t>
      </w:r>
    </w:p>
    <w:p>
      <w:pPr>
        <w:pStyle w:val="ListParagraph"/>
        <w:numPr>
          <w:ilvl w:val="0"/>
          <w:numId w:val="1"/>
        </w:numPr>
        <w:spacing w:after="80" w:line="280"/>
      </w:pPr>
      <w:r>
        <w:rPr>
          <w:color w:val="444444"/>
          <w:sz w:val="22"/>
          <w:szCs w:val="22"/>
        </w:rPr>
        <w:t xml:space="preserve">Product-level sales and order performance.</w:t>
      </w:r>
    </w:p>
    <w:p>
      <w:pPr>
        <w:pStyle w:val="ListParagraph"/>
        <w:numPr>
          <w:ilvl w:val="0"/>
          <w:numId w:val="1"/>
        </w:numPr>
        <w:spacing w:after="80" w:line="280"/>
      </w:pPr>
      <w:r>
        <w:rPr>
          <w:color w:val="444444"/>
          <w:sz w:val="22"/>
          <w:szCs w:val="22"/>
        </w:rPr>
        <w:t xml:space="preserve">Product contribution to business sales.</w:t>
      </w:r>
    </w:p>
    <w:p>
      <w:pPr>
        <w:pStyle w:val="ListParagraph"/>
        <w:numPr>
          <w:ilvl w:val="0"/>
          <w:numId w:val="1"/>
        </w:numPr>
        <w:spacing w:after="80" w:line="280"/>
      </w:pPr>
      <w:r>
        <w:rPr>
          <w:color w:val="444444"/>
          <w:sz w:val="22"/>
          <w:szCs w:val="22"/>
        </w:rPr>
        <w:t xml:space="preserve">Primary-product and item-level analysis.</w:t>
      </w:r>
    </w:p>
    <w:p>
      <w:pPr>
        <w:pStyle w:val="ListParagraph"/>
        <w:numPr>
          <w:ilvl w:val="0"/>
          <w:numId w:val="1"/>
        </w:numPr>
        <w:spacing w:after="80" w:line="280"/>
      </w:pPr>
      <w:r>
        <w:rPr>
          <w:color w:val="444444"/>
          <w:sz w:val="22"/>
          <w:szCs w:val="22"/>
        </w:rPr>
        <w:t xml:space="preserve">Identification of stronger and weaker product performance.</w:t>
      </w:r>
    </w:p>
    <w:p>
      <w:pPr>
        <w:pStyle w:val="Heading2"/>
        <w:spacing w:after="160" w:before="320"/>
      </w:pPr>
      <w:r>
        <w:rPr>
          <w:b/>
          <w:bCs/>
          <w:color w:val="1F7A6C"/>
        </w:rPr>
        <w:t xml:space="preserve">4.3 Profitability</w:t>
      </w:r>
    </w:p>
    <w:p>
      <w:pPr>
        <w:pStyle w:val="ListParagraph"/>
        <w:numPr>
          <w:ilvl w:val="0"/>
          <w:numId w:val="1"/>
        </w:numPr>
        <w:spacing w:after="80" w:line="280"/>
      </w:pPr>
      <w:r>
        <w:rPr>
          <w:color w:val="444444"/>
          <w:sz w:val="22"/>
          <w:szCs w:val="22"/>
        </w:rPr>
        <w:t xml:space="preserve">Profit generated from sales.</w:t>
      </w:r>
    </w:p>
    <w:p>
      <w:pPr>
        <w:pStyle w:val="ListParagraph"/>
        <w:numPr>
          <w:ilvl w:val="0"/>
          <w:numId w:val="1"/>
        </w:numPr>
        <w:spacing w:after="80" w:line="280"/>
      </w:pPr>
      <w:r>
        <w:rPr>
          <w:color w:val="444444"/>
          <w:sz w:val="22"/>
          <w:szCs w:val="22"/>
        </w:rPr>
        <w:t xml:space="preserve">COGS impact on business performance.</w:t>
      </w:r>
    </w:p>
    <w:p>
      <w:pPr>
        <w:pStyle w:val="ListParagraph"/>
        <w:numPr>
          <w:ilvl w:val="0"/>
          <w:numId w:val="1"/>
        </w:numPr>
        <w:spacing w:after="80" w:line="280"/>
      </w:pPr>
      <w:r>
        <w:rPr>
          <w:color w:val="444444"/>
          <w:sz w:val="22"/>
          <w:szCs w:val="22"/>
        </w:rPr>
        <w:t xml:space="preserve">Profit margin analysis.</w:t>
      </w:r>
    </w:p>
    <w:p>
      <w:pPr>
        <w:pStyle w:val="ListParagraph"/>
        <w:numPr>
          <w:ilvl w:val="0"/>
          <w:numId w:val="1"/>
        </w:numPr>
        <w:spacing w:after="80" w:line="280"/>
      </w:pPr>
      <w:r>
        <w:rPr>
          <w:color w:val="444444"/>
          <w:sz w:val="22"/>
          <w:szCs w:val="22"/>
        </w:rPr>
        <w:t xml:space="preserve">Comparison of revenue and profitability.</w:t>
      </w:r>
    </w:p>
    <w:p>
      <w:pPr>
        <w:pStyle w:val="Heading2"/>
        <w:spacing w:after="160" w:before="320"/>
      </w:pPr>
      <w:r>
        <w:rPr>
          <w:b/>
          <w:bCs/>
          <w:color w:val="1F7A6C"/>
        </w:rPr>
        <w:t xml:space="preserve">4.4 Refund Performance</w:t>
      </w:r>
    </w:p>
    <w:p>
      <w:pPr>
        <w:pStyle w:val="ListParagraph"/>
        <w:numPr>
          <w:ilvl w:val="0"/>
          <w:numId w:val="1"/>
        </w:numPr>
        <w:spacing w:after="80" w:line="280"/>
      </w:pPr>
      <w:r>
        <w:rPr>
          <w:color w:val="444444"/>
          <w:sz w:val="22"/>
          <w:szCs w:val="22"/>
        </w:rPr>
        <w:t xml:space="preserve">Total refund amount.</w:t>
      </w:r>
    </w:p>
    <w:p>
      <w:pPr>
        <w:pStyle w:val="ListParagraph"/>
        <w:numPr>
          <w:ilvl w:val="0"/>
          <w:numId w:val="1"/>
        </w:numPr>
        <w:spacing w:after="80" w:line="280"/>
      </w:pPr>
      <w:r>
        <w:rPr>
          <w:color w:val="444444"/>
          <w:sz w:val="22"/>
          <w:szCs w:val="22"/>
        </w:rPr>
        <w:t xml:space="preserve">Average refund value.</w:t>
      </w:r>
    </w:p>
    <w:p>
      <w:pPr>
        <w:pStyle w:val="ListParagraph"/>
        <w:numPr>
          <w:ilvl w:val="0"/>
          <w:numId w:val="1"/>
        </w:numPr>
        <w:spacing w:after="80" w:line="280"/>
      </w:pPr>
      <w:r>
        <w:rPr>
          <w:color w:val="444444"/>
          <w:sz w:val="22"/>
          <w:szCs w:val="22"/>
        </w:rPr>
        <w:t xml:space="preserve">Refund activity in relation to order performance.</w:t>
      </w:r>
    </w:p>
    <w:p>
      <w:pPr>
        <w:pStyle w:val="Heading2"/>
        <w:spacing w:after="160" w:before="320"/>
      </w:pPr>
      <w:r>
        <w:rPr>
          <w:b/>
          <w:bCs/>
          <w:color w:val="1F7A6C"/>
        </w:rPr>
        <w:t xml:space="preserve">4.5 Website Sessions &amp; Pageviews</w:t>
      </w:r>
    </w:p>
    <w:p>
      <w:pPr>
        <w:pStyle w:val="ListParagraph"/>
        <w:numPr>
          <w:ilvl w:val="0"/>
          <w:numId w:val="1"/>
        </w:numPr>
        <w:spacing w:after="80" w:line="280"/>
      </w:pPr>
      <w:r>
        <w:rPr>
          <w:color w:val="444444"/>
          <w:sz w:val="22"/>
          <w:szCs w:val="22"/>
        </w:rPr>
        <w:t xml:space="preserve">Website session volume.</w:t>
      </w:r>
    </w:p>
    <w:p>
      <w:pPr>
        <w:pStyle w:val="ListParagraph"/>
        <w:numPr>
          <w:ilvl w:val="0"/>
          <w:numId w:val="1"/>
        </w:numPr>
        <w:spacing w:after="80" w:line="280"/>
      </w:pPr>
      <w:r>
        <w:rPr>
          <w:color w:val="444444"/>
          <w:sz w:val="22"/>
          <w:szCs w:val="22"/>
        </w:rPr>
        <w:t xml:space="preserve">Total pageview activity.</w:t>
      </w:r>
    </w:p>
    <w:p>
      <w:pPr>
        <w:pStyle w:val="ListParagraph"/>
        <w:numPr>
          <w:ilvl w:val="0"/>
          <w:numId w:val="1"/>
        </w:numPr>
        <w:spacing w:after="80" w:line="280"/>
      </w:pPr>
      <w:r>
        <w:rPr>
          <w:color w:val="444444"/>
          <w:sz w:val="22"/>
          <w:szCs w:val="22"/>
        </w:rPr>
        <w:t xml:space="preserve">Unique session behavior.</w:t>
      </w:r>
    </w:p>
    <w:p>
      <w:pPr>
        <w:pStyle w:val="ListParagraph"/>
        <w:numPr>
          <w:ilvl w:val="0"/>
          <w:numId w:val="1"/>
        </w:numPr>
        <w:spacing w:after="80" w:line="280"/>
      </w:pPr>
      <w:r>
        <w:rPr>
          <w:color w:val="444444"/>
          <w:sz w:val="22"/>
          <w:szCs w:val="22"/>
        </w:rPr>
        <w:t xml:space="preserve">Pageviews per session / engagement.</w:t>
      </w:r>
    </w:p>
    <w:p>
      <w:pPr>
        <w:pStyle w:val="ListParagraph"/>
        <w:numPr>
          <w:ilvl w:val="0"/>
          <w:numId w:val="1"/>
        </w:numPr>
        <w:spacing w:after="80" w:line="280"/>
      </w:pPr>
      <w:r>
        <w:rPr>
          <w:color w:val="444444"/>
          <w:sz w:val="22"/>
          <w:szCs w:val="22"/>
        </w:rPr>
        <w:t xml:space="preserve">Relationship between website activity and orders.</w:t>
      </w:r>
    </w:p>
    <w:p>
      <w:pPr>
        <w:pStyle w:val="Heading2"/>
        <w:spacing w:after="160" w:before="320"/>
      </w:pPr>
      <w:r>
        <w:rPr>
          <w:b/>
          <w:bCs/>
          <w:color w:val="1F7A6C"/>
        </w:rPr>
        <w:t xml:space="preserve">4.6 Marketing &amp; Traffic Analysis</w:t>
      </w:r>
    </w:p>
    <w:p>
      <w:pPr>
        <w:pStyle w:val="ListParagraph"/>
        <w:numPr>
          <w:ilvl w:val="0"/>
          <w:numId w:val="1"/>
        </w:numPr>
        <w:spacing w:after="80" w:line="280"/>
      </w:pPr>
      <w:r>
        <w:rPr>
          <w:color w:val="444444"/>
          <w:sz w:val="22"/>
          <w:szCs w:val="22"/>
        </w:rPr>
        <w:t xml:space="preserve">UTM source performance.</w:t>
      </w:r>
    </w:p>
    <w:p>
      <w:pPr>
        <w:pStyle w:val="ListParagraph"/>
        <w:numPr>
          <w:ilvl w:val="0"/>
          <w:numId w:val="1"/>
        </w:numPr>
        <w:spacing w:after="80" w:line="280"/>
      </w:pPr>
      <w:r>
        <w:rPr>
          <w:color w:val="444444"/>
          <w:sz w:val="22"/>
          <w:szCs w:val="22"/>
        </w:rPr>
        <w:t xml:space="preserve">UTM campaign analysis.</w:t>
      </w:r>
    </w:p>
    <w:p>
      <w:pPr>
        <w:pStyle w:val="ListParagraph"/>
        <w:numPr>
          <w:ilvl w:val="0"/>
          <w:numId w:val="1"/>
        </w:numPr>
        <w:spacing w:after="80" w:line="280"/>
      </w:pPr>
      <w:r>
        <w:rPr>
          <w:color w:val="444444"/>
          <w:sz w:val="22"/>
          <w:szCs w:val="22"/>
        </w:rPr>
        <w:t xml:space="preserve">UTM content analysis.</w:t>
      </w:r>
    </w:p>
    <w:p>
      <w:pPr>
        <w:pStyle w:val="ListParagraph"/>
        <w:numPr>
          <w:ilvl w:val="0"/>
          <w:numId w:val="1"/>
        </w:numPr>
        <w:spacing w:after="80" w:line="280"/>
      </w:pPr>
      <w:r>
        <w:rPr>
          <w:color w:val="444444"/>
          <w:sz w:val="22"/>
          <w:szCs w:val="22"/>
        </w:rPr>
        <w:t xml:space="preserve">Referral-source analysis.</w:t>
      </w:r>
    </w:p>
    <w:p>
      <w:pPr>
        <w:pStyle w:val="ListParagraph"/>
        <w:numPr>
          <w:ilvl w:val="0"/>
          <w:numId w:val="1"/>
        </w:numPr>
        <w:spacing w:after="80" w:line="280"/>
      </w:pPr>
      <w:r>
        <w:rPr>
          <w:color w:val="444444"/>
          <w:sz w:val="22"/>
          <w:szCs w:val="22"/>
        </w:rPr>
        <w:t xml:space="preserve">Device-type segmentation.</w:t>
      </w:r>
    </w:p>
    <w:p>
      <w:pPr>
        <w:pStyle w:val="Heading2"/>
        <w:spacing w:after="160" w:before="320"/>
      </w:pPr>
      <w:r>
        <w:rPr>
          <w:b/>
          <w:bCs/>
          <w:color w:val="1F7A6C"/>
        </w:rPr>
        <w:t xml:space="preserve">4.7 Time-Based Analysis</w:t>
      </w:r>
    </w:p>
    <w:p>
      <w:pPr>
        <w:pStyle w:val="ListParagraph"/>
        <w:numPr>
          <w:ilvl w:val="0"/>
          <w:numId w:val="1"/>
        </w:numPr>
        <w:spacing w:after="80" w:line="280"/>
      </w:pPr>
      <w:r>
        <w:rPr>
          <w:color w:val="444444"/>
          <w:sz w:val="22"/>
          <w:szCs w:val="22"/>
        </w:rPr>
        <w:t xml:space="preserve">Monthly performance.</w:t>
      </w:r>
    </w:p>
    <w:p>
      <w:pPr>
        <w:pStyle w:val="ListParagraph"/>
        <w:numPr>
          <w:ilvl w:val="0"/>
          <w:numId w:val="1"/>
        </w:numPr>
        <w:spacing w:after="80" w:line="280"/>
      </w:pPr>
      <w:r>
        <w:rPr>
          <w:color w:val="444444"/>
          <w:sz w:val="22"/>
          <w:szCs w:val="22"/>
        </w:rPr>
        <w:t xml:space="preserve">Quarterly performance.</w:t>
      </w:r>
    </w:p>
    <w:p>
      <w:pPr>
        <w:pStyle w:val="ListParagraph"/>
        <w:numPr>
          <w:ilvl w:val="0"/>
          <w:numId w:val="1"/>
        </w:numPr>
        <w:spacing w:after="80" w:line="280"/>
      </w:pPr>
      <w:r>
        <w:rPr>
          <w:color w:val="444444"/>
          <w:sz w:val="22"/>
          <w:szCs w:val="22"/>
        </w:rPr>
        <w:t xml:space="preserve">Yearly performance.</w:t>
      </w:r>
    </w:p>
    <w:p>
      <w:pPr>
        <w:pStyle w:val="ListParagraph"/>
        <w:numPr>
          <w:ilvl w:val="0"/>
          <w:numId w:val="1"/>
        </w:numPr>
        <w:spacing w:after="80" w:line="280"/>
      </w:pPr>
      <w:r>
        <w:rPr>
          <w:color w:val="444444"/>
          <w:sz w:val="22"/>
          <w:szCs w:val="22"/>
        </w:rPr>
        <w:t xml:space="preserve">Weekly performance.</w:t>
      </w:r>
    </w:p>
    <w:p>
      <w:pPr>
        <w:pStyle w:val="ListParagraph"/>
        <w:numPr>
          <w:ilvl w:val="0"/>
          <w:numId w:val="1"/>
        </w:numPr>
        <w:spacing w:after="80" w:line="280"/>
      </w:pPr>
      <w:r>
        <w:rPr>
          <w:color w:val="444444"/>
          <w:sz w:val="22"/>
          <w:szCs w:val="22"/>
        </w:rPr>
        <w:t xml:space="preserve">MTD performance.</w:t>
      </w:r>
    </w:p>
    <w:p>
      <w:pPr>
        <w:pStyle w:val="ListParagraph"/>
        <w:numPr>
          <w:ilvl w:val="0"/>
          <w:numId w:val="1"/>
        </w:numPr>
        <w:spacing w:after="80" w:line="280"/>
      </w:pPr>
      <w:r>
        <w:rPr>
          <w:color w:val="444444"/>
          <w:sz w:val="22"/>
          <w:szCs w:val="22"/>
        </w:rPr>
        <w:t xml:space="preserve">YTD performance.</w:t>
      </w:r>
    </w:p>
    <w:p>
      <w:pPr>
        <w:pStyle w:val="Heading1"/>
        <w:pBdr>
          <w:bottom w:val="single" w:color="1F7A6C" w:sz="8"/>
        </w:pBdr>
        <w:spacing w:after="200" w:before="400"/>
      </w:pPr>
      <w:r>
        <w:rPr>
          <w:b/>
          <w:bCs/>
          <w:color w:val="0F4C40"/>
        </w:rPr>
        <w:t xml:space="preserve">5. Power BI Dashboard &amp; Report Structure</w:t>
      </w:r>
    </w:p>
    <w:p>
      <w:pPr>
        <w:spacing w:after="160" w:line="300"/>
      </w:pPr>
      <w:r>
        <w:rPr>
          <w:color w:val="444444"/>
          <w:sz w:val="22"/>
          <w:szCs w:val="22"/>
        </w:rPr>
        <w:t xml:space="preserve">The final Power BI report uses multiple report pages and navigation to make the analysis easier to explore. The dashboard combines KPI cards, analytical visuals, filters, and page navigation.</w:t>
      </w:r>
    </w:p>
    <w:p>
      <w:pPr>
        <w:pStyle w:val="Heading2"/>
        <w:spacing w:after="160" w:before="320"/>
      </w:pPr>
      <w:r>
        <w:rPr>
          <w:b/>
          <w:bCs/>
          <w:color w:val="1F7A6C"/>
        </w:rPr>
        <w:t xml:space="preserve">5.1 Overview / Home Page</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6096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00425"/>
                    </a:xfrm>
                    <a:prstGeom prst="rect">
                      <a:avLst/>
                    </a:prstGeom>
                  </pic:spPr>
                </pic:pic>
              </a:graphicData>
            </a:graphic>
          </wp:inline>
        </w:drawing>
      </w:r>
    </w:p>
    <w:p>
      <w:pPr>
        <w:spacing w:after="240"/>
        <w:jc w:val="center"/>
      </w:pPr>
      <w:r>
        <w:rPr>
          <w:i/>
          <w:iCs/>
          <w:color w:val="666666"/>
          <w:sz w:val="20"/>
          <w:szCs w:val="20"/>
        </w:rPr>
        <w:t xml:space="preserve">Figure 5 — Overview / Home Page: Total Revenue, Ticket Size, Total Cost, Unit Sold, Profit Rate, Total Profit by Product, Sales Trend, Sales by Product, Refund by Product and Order by UTM</w:t>
      </w:r>
    </w:p>
    <w:p>
      <w:pPr>
        <w:pStyle w:val="Heading2"/>
        <w:spacing w:after="160" w:before="320"/>
      </w:pPr>
      <w:r>
        <w:rPr>
          <w:b/>
          <w:bCs/>
          <w:color w:val="1F7A6C"/>
        </w:rPr>
        <w:t xml:space="preserve">5.2 Report Navigation</w:t>
      </w:r>
    </w:p>
    <w:p>
      <w:pPr>
        <w:spacing w:after="160" w:line="300"/>
      </w:pPr>
      <w:r>
        <w:rPr>
          <w:color w:val="444444"/>
          <w:sz w:val="22"/>
          <w:szCs w:val="22"/>
        </w:rPr>
        <w:t xml:space="preserve">Navigation is used to move between the major analytical sections of the report. The navigation panel provides quarter (Qtr 1–Qtr 4) filtering and year buttons (2012–2015) that allow users to move from the overall business view into more detailed yearly analysis.</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13430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43025" cy="5905500"/>
                    </a:xfrm>
                    <a:prstGeom prst="rect">
                      <a:avLst/>
                    </a:prstGeom>
                  </pic:spPr>
                </pic:pic>
              </a:graphicData>
            </a:graphic>
          </wp:inline>
        </w:drawing>
      </w:r>
    </w:p>
    <w:p>
      <w:pPr>
        <w:spacing w:after="240"/>
        <w:jc w:val="center"/>
      </w:pPr>
      <w:r>
        <w:rPr>
          <w:i/>
          <w:iCs/>
          <w:color w:val="666666"/>
          <w:sz w:val="20"/>
          <w:szCs w:val="20"/>
        </w:rPr>
        <w:t xml:space="preserve">Figure 6 — Navigation Panel: Quarter Filters and Year Selection Buttons</w:t>
      </w:r>
    </w:p>
    <w:p>
      <w:pPr>
        <w:pStyle w:val="Heading2"/>
        <w:spacing w:after="160" w:before="320"/>
      </w:pPr>
      <w:r>
        <w:rPr>
          <w:b/>
          <w:bCs/>
          <w:color w:val="1F7A6C"/>
        </w:rPr>
        <w:t xml:space="preserve">5.3 Dashboard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auto" w:w="0"/>
            <w:shd w:fill="1F7A6C" w:val="clear"/>
            <w:tcMar>
              <w:top w:type="dxa" w:w="100"/>
              <w:left w:type="dxa" w:w="120"/>
              <w:bottom w:type="dxa" w:w="100"/>
              <w:right w:type="dxa" w:w="120"/>
            </w:tcMar>
            <w:vAlign w:val="center"/>
          </w:tcPr>
          <w:p>
            <w:r>
              <w:rPr>
                <w:b/>
                <w:bCs/>
                <w:color w:val="FFFFFF"/>
                <w:sz w:val="20"/>
                <w:szCs w:val="20"/>
              </w:rPr>
              <w:t xml:space="preserve">Page / Section</w:t>
            </w:r>
          </w:p>
        </w:tc>
        <w:tc>
          <w:tcPr>
            <w:tcW w:type="auto" w:w="0"/>
            <w:shd w:fill="1F7A6C" w:val="clear"/>
            <w:tcMar>
              <w:top w:type="dxa" w:w="100"/>
              <w:left w:type="dxa" w:w="120"/>
              <w:bottom w:type="dxa" w:w="100"/>
              <w:right w:type="dxa" w:w="120"/>
            </w:tcMar>
            <w:vAlign w:val="center"/>
          </w:tcPr>
          <w:p>
            <w:r>
              <w:rPr>
                <w:b/>
                <w:bCs/>
                <w:color w:val="FFFFFF"/>
                <w:sz w:val="20"/>
                <w:szCs w:val="20"/>
              </w:rPr>
              <w:t xml:space="preserve">Purpose</w:t>
            </w:r>
          </w:p>
        </w:tc>
      </w:tr>
      <w:tr>
        <w:tc>
          <w:tcPr>
            <w:tcW w:type="auto" w:w="0"/>
            <w:shd w:fill="FFFFFF" w:val="clear"/>
            <w:tcMar>
              <w:top w:type="dxa" w:w="100"/>
              <w:left w:type="dxa" w:w="120"/>
              <w:bottom w:type="dxa" w:w="100"/>
              <w:right w:type="dxa" w:w="120"/>
            </w:tcMar>
            <w:vAlign w:val="center"/>
          </w:tcPr>
          <w:p>
            <w:r>
              <w:rPr>
                <w:color w:val="444444"/>
                <w:sz w:val="20"/>
                <w:szCs w:val="20"/>
              </w:rPr>
              <w:t xml:space="preserve">Overview / Home</w:t>
            </w:r>
          </w:p>
        </w:tc>
        <w:tc>
          <w:tcPr>
            <w:tcW w:type="auto" w:w="0"/>
            <w:shd w:fill="FFFFFF" w:val="clear"/>
            <w:tcMar>
              <w:top w:type="dxa" w:w="100"/>
              <w:left w:type="dxa" w:w="120"/>
              <w:bottom w:type="dxa" w:w="100"/>
              <w:right w:type="dxa" w:w="120"/>
            </w:tcMar>
            <w:vAlign w:val="center"/>
          </w:tcPr>
          <w:p>
            <w:r>
              <w:rPr>
                <w:color w:val="444444"/>
                <w:sz w:val="20"/>
                <w:szCs w:val="20"/>
              </w:rPr>
              <w:t xml:space="preserve">High-level business KPIs and overall performance.</w:t>
            </w:r>
          </w:p>
        </w:tc>
      </w:tr>
      <w:tr>
        <w:tc>
          <w:tcPr>
            <w:tcW w:type="auto" w:w="0"/>
            <w:shd w:fill="F2F2F2" w:val="clear"/>
            <w:tcMar>
              <w:top w:type="dxa" w:w="100"/>
              <w:left w:type="dxa" w:w="120"/>
              <w:bottom w:type="dxa" w:w="100"/>
              <w:right w:type="dxa" w:w="120"/>
            </w:tcMar>
            <w:vAlign w:val="center"/>
          </w:tcPr>
          <w:p>
            <w:r>
              <w:rPr>
                <w:color w:val="444444"/>
                <w:sz w:val="20"/>
                <w:szCs w:val="20"/>
              </w:rPr>
              <w:t xml:space="preserve">2012</w:t>
            </w:r>
          </w:p>
        </w:tc>
        <w:tc>
          <w:tcPr>
            <w:tcW w:type="auto" w:w="0"/>
            <w:shd w:fill="F2F2F2" w:val="clear"/>
            <w:tcMar>
              <w:top w:type="dxa" w:w="100"/>
              <w:left w:type="dxa" w:w="120"/>
              <w:bottom w:type="dxa" w:w="100"/>
              <w:right w:type="dxa" w:w="120"/>
            </w:tcMar>
            <w:vAlign w:val="center"/>
          </w:tcPr>
          <w:p>
            <w:r>
              <w:rPr>
                <w:color w:val="444444"/>
                <w:sz w:val="20"/>
                <w:szCs w:val="20"/>
              </w:rPr>
              <w:t xml:space="preserve">Yearly sales, profit, refund and UTM performance for 2012.</w:t>
            </w:r>
          </w:p>
        </w:tc>
      </w:tr>
      <w:tr>
        <w:tc>
          <w:tcPr>
            <w:tcW w:type="auto" w:w="0"/>
            <w:shd w:fill="FFFFFF" w:val="clear"/>
            <w:tcMar>
              <w:top w:type="dxa" w:w="100"/>
              <w:left w:type="dxa" w:w="120"/>
              <w:bottom w:type="dxa" w:w="100"/>
              <w:right w:type="dxa" w:w="120"/>
            </w:tcMar>
            <w:vAlign w:val="center"/>
          </w:tcPr>
          <w:p>
            <w:r>
              <w:rPr>
                <w:color w:val="444444"/>
                <w:sz w:val="20"/>
                <w:szCs w:val="20"/>
              </w:rPr>
              <w:t xml:space="preserve">2013</w:t>
            </w:r>
          </w:p>
        </w:tc>
        <w:tc>
          <w:tcPr>
            <w:tcW w:type="auto" w:w="0"/>
            <w:shd w:fill="FFFFFF" w:val="clear"/>
            <w:tcMar>
              <w:top w:type="dxa" w:w="100"/>
              <w:left w:type="dxa" w:w="120"/>
              <w:bottom w:type="dxa" w:w="100"/>
              <w:right w:type="dxa" w:w="120"/>
            </w:tcMar>
            <w:vAlign w:val="center"/>
          </w:tcPr>
          <w:p>
            <w:r>
              <w:rPr>
                <w:color w:val="444444"/>
                <w:sz w:val="20"/>
                <w:szCs w:val="20"/>
              </w:rPr>
              <w:t xml:space="preserve">Yearly sales, profit, refund and UTM performance for 2013.</w:t>
            </w:r>
          </w:p>
        </w:tc>
      </w:tr>
      <w:tr>
        <w:tc>
          <w:tcPr>
            <w:tcW w:type="auto" w:w="0"/>
            <w:shd w:fill="F2F2F2" w:val="clear"/>
            <w:tcMar>
              <w:top w:type="dxa" w:w="100"/>
              <w:left w:type="dxa" w:w="120"/>
              <w:bottom w:type="dxa" w:w="100"/>
              <w:right w:type="dxa" w:w="120"/>
            </w:tcMar>
            <w:vAlign w:val="center"/>
          </w:tcPr>
          <w:p>
            <w:r>
              <w:rPr>
                <w:color w:val="444444"/>
                <w:sz w:val="20"/>
                <w:szCs w:val="20"/>
              </w:rPr>
              <w:t xml:space="preserve">2014</w:t>
            </w:r>
          </w:p>
        </w:tc>
        <w:tc>
          <w:tcPr>
            <w:tcW w:type="auto" w:w="0"/>
            <w:shd w:fill="F2F2F2" w:val="clear"/>
            <w:tcMar>
              <w:top w:type="dxa" w:w="100"/>
              <w:left w:type="dxa" w:w="120"/>
              <w:bottom w:type="dxa" w:w="100"/>
              <w:right w:type="dxa" w:w="120"/>
            </w:tcMar>
            <w:vAlign w:val="center"/>
          </w:tcPr>
          <w:p>
            <w:r>
              <w:rPr>
                <w:color w:val="444444"/>
                <w:sz w:val="20"/>
                <w:szCs w:val="20"/>
              </w:rPr>
              <w:t xml:space="preserve">Yearly sales, profit, refund and UTM performance for 2014.</w:t>
            </w:r>
          </w:p>
        </w:tc>
      </w:tr>
      <w:tr>
        <w:tc>
          <w:tcPr>
            <w:tcW w:type="auto" w:w="0"/>
            <w:shd w:fill="FFFFFF" w:val="clear"/>
            <w:tcMar>
              <w:top w:type="dxa" w:w="100"/>
              <w:left w:type="dxa" w:w="120"/>
              <w:bottom w:type="dxa" w:w="100"/>
              <w:right w:type="dxa" w:w="120"/>
            </w:tcMar>
            <w:vAlign w:val="center"/>
          </w:tcPr>
          <w:p>
            <w:r>
              <w:rPr>
                <w:color w:val="444444"/>
                <w:sz w:val="20"/>
                <w:szCs w:val="20"/>
              </w:rPr>
              <w:t xml:space="preserve">2015</w:t>
            </w:r>
          </w:p>
        </w:tc>
        <w:tc>
          <w:tcPr>
            <w:tcW w:type="auto" w:w="0"/>
            <w:shd w:fill="FFFFFF" w:val="clear"/>
            <w:tcMar>
              <w:top w:type="dxa" w:w="100"/>
              <w:left w:type="dxa" w:w="120"/>
              <w:bottom w:type="dxa" w:w="100"/>
              <w:right w:type="dxa" w:w="120"/>
            </w:tcMar>
            <w:vAlign w:val="center"/>
          </w:tcPr>
          <w:p>
            <w:r>
              <w:rPr>
                <w:color w:val="444444"/>
                <w:sz w:val="20"/>
                <w:szCs w:val="20"/>
              </w:rPr>
              <w:t xml:space="preserve">Yearly sales, profit, refund and UTM performance for 2015.</w:t>
            </w:r>
          </w:p>
        </w:tc>
      </w:tr>
    </w:tbl>
    <w:p>
      <w:pPr>
        <w:pStyle w:val="Heading2"/>
        <w:spacing w:after="160" w:before="320"/>
      </w:pPr>
      <w:r>
        <w:rPr>
          <w:b/>
          <w:bCs/>
          <w:color w:val="1F7A6C"/>
        </w:rPr>
        <w:t xml:space="preserve">5.4 Dashboard Evidence</w:t>
      </w:r>
    </w:p>
    <w:p>
      <w:pPr>
        <w:spacing w:after="160" w:line="300"/>
      </w:pPr>
      <w:r>
        <w:rPr>
          <w:color w:val="444444"/>
          <w:sz w:val="22"/>
          <w:szCs w:val="22"/>
        </w:rPr>
        <w:t xml:space="preserve">Screenshots of each completed report page are provided below as evidence of the final Power BI implementation.</w:t>
      </w:r>
    </w:p>
    <w:p>
      <w:pPr>
        <w:pStyle w:val="Heading3"/>
        <w:spacing w:after="120" w:before="240"/>
      </w:pPr>
      <w:r>
        <w:rPr>
          <w:b/>
          <w:bCs/>
          <w:color w:val="0F4C40"/>
        </w:rPr>
        <w:t xml:space="preserve">Year 2012</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86125"/>
                    </a:xfrm>
                    <a:prstGeom prst="rect">
                      <a:avLst/>
                    </a:prstGeom>
                  </pic:spPr>
                </pic:pic>
              </a:graphicData>
            </a:graphic>
          </wp:inline>
        </w:drawing>
      </w:r>
    </w:p>
    <w:p>
      <w:pPr>
        <w:spacing w:after="240"/>
        <w:jc w:val="center"/>
      </w:pPr>
      <w:r>
        <w:rPr>
          <w:i/>
          <w:iCs/>
          <w:color w:val="666666"/>
          <w:sz w:val="20"/>
          <w:szCs w:val="20"/>
        </w:rPr>
        <w:t xml:space="preserve">Figure 7 — Dashboard Page: Year 2012</w:t>
      </w:r>
    </w:p>
    <w:p>
      <w:pPr>
        <w:pStyle w:val="Heading3"/>
        <w:spacing w:after="120" w:before="240"/>
      </w:pPr>
      <w:r>
        <w:rPr>
          <w:b/>
          <w:bCs/>
          <w:color w:val="0F4C40"/>
        </w:rPr>
        <w:t xml:space="preserve">Year 2013</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14700"/>
                    </a:xfrm>
                    <a:prstGeom prst="rect">
                      <a:avLst/>
                    </a:prstGeom>
                  </pic:spPr>
                </pic:pic>
              </a:graphicData>
            </a:graphic>
          </wp:inline>
        </w:drawing>
      </w:r>
    </w:p>
    <w:p>
      <w:pPr>
        <w:spacing w:after="240"/>
        <w:jc w:val="center"/>
      </w:pPr>
      <w:r>
        <w:rPr>
          <w:i/>
          <w:iCs/>
          <w:color w:val="666666"/>
          <w:sz w:val="20"/>
          <w:szCs w:val="20"/>
        </w:rPr>
        <w:t xml:space="preserve">Figure 8 — Dashboard Page: Year 2013</w:t>
      </w:r>
    </w:p>
    <w:p>
      <w:pPr>
        <w:pStyle w:val="Heading3"/>
        <w:spacing w:after="120" w:before="240"/>
      </w:pPr>
      <w:r>
        <w:rPr>
          <w:b/>
          <w:bCs/>
          <w:color w:val="0F4C40"/>
        </w:rPr>
        <w:t xml:space="preserve">Year 2014</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24225"/>
                    </a:xfrm>
                    <a:prstGeom prst="rect">
                      <a:avLst/>
                    </a:prstGeom>
                  </pic:spPr>
                </pic:pic>
              </a:graphicData>
            </a:graphic>
          </wp:inline>
        </w:drawing>
      </w:r>
    </w:p>
    <w:p>
      <w:pPr>
        <w:spacing w:after="240"/>
        <w:jc w:val="center"/>
      </w:pPr>
      <w:r>
        <w:rPr>
          <w:i/>
          <w:iCs/>
          <w:color w:val="666666"/>
          <w:sz w:val="20"/>
          <w:szCs w:val="20"/>
        </w:rPr>
        <w:t xml:space="preserve">Figure 9 — Dashboard Page: Year 2014</w:t>
      </w:r>
    </w:p>
    <w:p>
      <w:pPr>
        <w:pStyle w:val="Heading3"/>
        <w:spacing w:after="120" w:before="240"/>
      </w:pPr>
      <w:r>
        <w:rPr>
          <w:b/>
          <w:bCs/>
          <w:color w:val="0F4C40"/>
        </w:rPr>
        <w:t xml:space="preserve">Year 2015</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276600"/>
                    </a:xfrm>
                    <a:prstGeom prst="rect">
                      <a:avLst/>
                    </a:prstGeom>
                  </pic:spPr>
                </pic:pic>
              </a:graphicData>
            </a:graphic>
          </wp:inline>
        </w:drawing>
      </w:r>
    </w:p>
    <w:p>
      <w:pPr>
        <w:spacing w:after="240"/>
        <w:jc w:val="center"/>
      </w:pPr>
      <w:r>
        <w:rPr>
          <w:i/>
          <w:iCs/>
          <w:color w:val="666666"/>
          <w:sz w:val="20"/>
          <w:szCs w:val="20"/>
        </w:rPr>
        <w:t xml:space="preserve">Figure 10 — Dashboard Page: Year 2015</w:t>
      </w:r>
    </w:p>
    <w:p>
      <w:pPr>
        <w:pStyle w:val="Heading1"/>
        <w:pBdr>
          <w:bottom w:val="single" w:color="1F7A6C" w:sz="8"/>
        </w:pBdr>
        <w:spacing w:after="200" w:before="400"/>
      </w:pPr>
      <w:r>
        <w:rPr>
          <w:b/>
          <w:bCs/>
          <w:color w:val="0F4C40"/>
        </w:rPr>
        <w:t xml:space="preserve">6. Key Performance Indicators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auto" w:w="0"/>
            <w:shd w:fill="1F7A6C" w:val="clear"/>
            <w:tcMar>
              <w:top w:type="dxa" w:w="100"/>
              <w:left w:type="dxa" w:w="120"/>
              <w:bottom w:type="dxa" w:w="100"/>
              <w:right w:type="dxa" w:w="120"/>
            </w:tcMar>
            <w:vAlign w:val="center"/>
          </w:tcPr>
          <w:p>
            <w:r>
              <w:rPr>
                <w:b/>
                <w:bCs/>
                <w:color w:val="FFFFFF"/>
                <w:sz w:val="20"/>
                <w:szCs w:val="20"/>
              </w:rPr>
              <w:t xml:space="preserve">KPI</w:t>
            </w:r>
          </w:p>
        </w:tc>
        <w:tc>
          <w:tcPr>
            <w:tcW w:type="auto" w:w="0"/>
            <w:shd w:fill="1F7A6C" w:val="clear"/>
            <w:tcMar>
              <w:top w:type="dxa" w:w="100"/>
              <w:left w:type="dxa" w:w="120"/>
              <w:bottom w:type="dxa" w:w="100"/>
              <w:right w:type="dxa" w:w="120"/>
            </w:tcMar>
            <w:vAlign w:val="center"/>
          </w:tcPr>
          <w:p>
            <w:r>
              <w:rPr>
                <w:b/>
                <w:bCs/>
                <w:color w:val="FFFFFF"/>
                <w:sz w:val="20"/>
                <w:szCs w:val="20"/>
              </w:rPr>
              <w:t xml:space="preserve">Purpose</w:t>
            </w:r>
          </w:p>
        </w:tc>
      </w:tr>
      <w:tr>
        <w:tc>
          <w:tcPr>
            <w:tcW w:type="auto" w:w="0"/>
            <w:shd w:fill="FFFFFF" w:val="clear"/>
            <w:tcMar>
              <w:top w:type="dxa" w:w="100"/>
              <w:left w:type="dxa" w:w="120"/>
              <w:bottom w:type="dxa" w:w="100"/>
              <w:right w:type="dxa" w:w="120"/>
            </w:tcMar>
            <w:vAlign w:val="center"/>
          </w:tcPr>
          <w:p>
            <w:r>
              <w:rPr>
                <w:color w:val="444444"/>
                <w:sz w:val="20"/>
                <w:szCs w:val="20"/>
              </w:rPr>
              <w:t xml:space="preserve">Total Sales</w:t>
            </w:r>
          </w:p>
        </w:tc>
        <w:tc>
          <w:tcPr>
            <w:tcW w:type="auto" w:w="0"/>
            <w:shd w:fill="FFFFFF" w:val="clear"/>
            <w:tcMar>
              <w:top w:type="dxa" w:w="100"/>
              <w:left w:type="dxa" w:w="120"/>
              <w:bottom w:type="dxa" w:w="100"/>
              <w:right w:type="dxa" w:w="120"/>
            </w:tcMar>
            <w:vAlign w:val="center"/>
          </w:tcPr>
          <w:p>
            <w:r>
              <w:rPr>
                <w:color w:val="444444"/>
                <w:sz w:val="20"/>
                <w:szCs w:val="20"/>
              </w:rPr>
              <w:t xml:space="preserve">Measures overall sales value.</w:t>
            </w:r>
          </w:p>
        </w:tc>
      </w:tr>
      <w:tr>
        <w:tc>
          <w:tcPr>
            <w:tcW w:type="auto" w:w="0"/>
            <w:shd w:fill="F2F2F2" w:val="clear"/>
            <w:tcMar>
              <w:top w:type="dxa" w:w="100"/>
              <w:left w:type="dxa" w:w="120"/>
              <w:bottom w:type="dxa" w:w="100"/>
              <w:right w:type="dxa" w:w="120"/>
            </w:tcMar>
            <w:vAlign w:val="center"/>
          </w:tcPr>
          <w:p>
            <w:r>
              <w:rPr>
                <w:color w:val="444444"/>
                <w:sz w:val="20"/>
                <w:szCs w:val="20"/>
              </w:rPr>
              <w:t xml:space="preserve">Total Orders</w:t>
            </w:r>
          </w:p>
        </w:tc>
        <w:tc>
          <w:tcPr>
            <w:tcW w:type="auto" w:w="0"/>
            <w:shd w:fill="F2F2F2" w:val="clear"/>
            <w:tcMar>
              <w:top w:type="dxa" w:w="100"/>
              <w:left w:type="dxa" w:w="120"/>
              <w:bottom w:type="dxa" w:w="100"/>
              <w:right w:type="dxa" w:w="120"/>
            </w:tcMar>
            <w:vAlign w:val="center"/>
          </w:tcPr>
          <w:p>
            <w:r>
              <w:rPr>
                <w:color w:val="444444"/>
                <w:sz w:val="20"/>
                <w:szCs w:val="20"/>
              </w:rPr>
              <w:t xml:space="preserve">Measures total order volume.</w:t>
            </w:r>
          </w:p>
        </w:tc>
      </w:tr>
      <w:tr>
        <w:tc>
          <w:tcPr>
            <w:tcW w:type="auto" w:w="0"/>
            <w:shd w:fill="FFFFFF" w:val="clear"/>
            <w:tcMar>
              <w:top w:type="dxa" w:w="100"/>
              <w:left w:type="dxa" w:w="120"/>
              <w:bottom w:type="dxa" w:w="100"/>
              <w:right w:type="dxa" w:w="120"/>
            </w:tcMar>
            <w:vAlign w:val="center"/>
          </w:tcPr>
          <w:p>
            <w:r>
              <w:rPr>
                <w:color w:val="444444"/>
                <w:sz w:val="20"/>
                <w:szCs w:val="20"/>
              </w:rPr>
              <w:t xml:space="preserve">Average Order</w:t>
            </w:r>
          </w:p>
        </w:tc>
        <w:tc>
          <w:tcPr>
            <w:tcW w:type="auto" w:w="0"/>
            <w:shd w:fill="FFFFFF" w:val="clear"/>
            <w:tcMar>
              <w:top w:type="dxa" w:w="100"/>
              <w:left w:type="dxa" w:w="120"/>
              <w:bottom w:type="dxa" w:w="100"/>
              <w:right w:type="dxa" w:w="120"/>
            </w:tcMar>
            <w:vAlign w:val="center"/>
          </w:tcPr>
          <w:p>
            <w:r>
              <w:rPr>
                <w:color w:val="444444"/>
                <w:sz w:val="20"/>
                <w:szCs w:val="20"/>
              </w:rPr>
              <w:t xml:space="preserve">Measures average transaction/order value.</w:t>
            </w:r>
          </w:p>
        </w:tc>
      </w:tr>
      <w:tr>
        <w:tc>
          <w:tcPr>
            <w:tcW w:type="auto" w:w="0"/>
            <w:shd w:fill="F2F2F2" w:val="clear"/>
            <w:tcMar>
              <w:top w:type="dxa" w:w="100"/>
              <w:left w:type="dxa" w:w="120"/>
              <w:bottom w:type="dxa" w:w="100"/>
              <w:right w:type="dxa" w:w="120"/>
            </w:tcMar>
            <w:vAlign w:val="center"/>
          </w:tcPr>
          <w:p>
            <w:r>
              <w:rPr>
                <w:color w:val="444444"/>
                <w:sz w:val="20"/>
                <w:szCs w:val="20"/>
              </w:rPr>
              <w:t xml:space="preserve">Total Items Purchased</w:t>
            </w:r>
          </w:p>
        </w:tc>
        <w:tc>
          <w:tcPr>
            <w:tcW w:type="auto" w:w="0"/>
            <w:shd w:fill="F2F2F2" w:val="clear"/>
            <w:tcMar>
              <w:top w:type="dxa" w:w="100"/>
              <w:left w:type="dxa" w:w="120"/>
              <w:bottom w:type="dxa" w:w="100"/>
              <w:right w:type="dxa" w:w="120"/>
            </w:tcMar>
            <w:vAlign w:val="center"/>
          </w:tcPr>
          <w:p>
            <w:r>
              <w:rPr>
                <w:color w:val="444444"/>
                <w:sz w:val="20"/>
                <w:szCs w:val="20"/>
              </w:rPr>
              <w:t xml:space="preserve">Measures item purchasing volume.</w:t>
            </w:r>
          </w:p>
        </w:tc>
      </w:tr>
      <w:tr>
        <w:tc>
          <w:tcPr>
            <w:tcW w:type="auto" w:w="0"/>
            <w:shd w:fill="FFFFFF" w:val="clear"/>
            <w:tcMar>
              <w:top w:type="dxa" w:w="100"/>
              <w:left w:type="dxa" w:w="120"/>
              <w:bottom w:type="dxa" w:w="100"/>
              <w:right w:type="dxa" w:w="120"/>
            </w:tcMar>
            <w:vAlign w:val="center"/>
          </w:tcPr>
          <w:p>
            <w:r>
              <w:rPr>
                <w:color w:val="444444"/>
                <w:sz w:val="20"/>
                <w:szCs w:val="20"/>
              </w:rPr>
              <w:t xml:space="preserve">Total Toys Sold</w:t>
            </w:r>
          </w:p>
        </w:tc>
        <w:tc>
          <w:tcPr>
            <w:tcW w:type="auto" w:w="0"/>
            <w:shd w:fill="FFFFFF" w:val="clear"/>
            <w:tcMar>
              <w:top w:type="dxa" w:w="100"/>
              <w:left w:type="dxa" w:w="120"/>
              <w:bottom w:type="dxa" w:w="100"/>
              <w:right w:type="dxa" w:w="120"/>
            </w:tcMar>
            <w:vAlign w:val="center"/>
          </w:tcPr>
          <w:p>
            <w:r>
              <w:rPr>
                <w:color w:val="444444"/>
                <w:sz w:val="20"/>
                <w:szCs w:val="20"/>
              </w:rPr>
              <w:t xml:space="preserve">Measures toy unit volume.</w:t>
            </w:r>
          </w:p>
        </w:tc>
      </w:tr>
      <w:tr>
        <w:tc>
          <w:tcPr>
            <w:tcW w:type="auto" w:w="0"/>
            <w:shd w:fill="F2F2F2" w:val="clear"/>
            <w:tcMar>
              <w:top w:type="dxa" w:w="100"/>
              <w:left w:type="dxa" w:w="120"/>
              <w:bottom w:type="dxa" w:w="100"/>
              <w:right w:type="dxa" w:w="120"/>
            </w:tcMar>
            <w:vAlign w:val="center"/>
          </w:tcPr>
          <w:p>
            <w:r>
              <w:rPr>
                <w:color w:val="444444"/>
                <w:sz w:val="20"/>
                <w:szCs w:val="20"/>
              </w:rPr>
              <w:t xml:space="preserve">COGS</w:t>
            </w:r>
          </w:p>
        </w:tc>
        <w:tc>
          <w:tcPr>
            <w:tcW w:type="auto" w:w="0"/>
            <w:shd w:fill="F2F2F2" w:val="clear"/>
            <w:tcMar>
              <w:top w:type="dxa" w:w="100"/>
              <w:left w:type="dxa" w:w="120"/>
              <w:bottom w:type="dxa" w:w="100"/>
              <w:right w:type="dxa" w:w="120"/>
            </w:tcMar>
            <w:vAlign w:val="center"/>
          </w:tcPr>
          <w:p>
            <w:r>
              <w:rPr>
                <w:color w:val="444444"/>
                <w:sz w:val="20"/>
                <w:szCs w:val="20"/>
              </w:rPr>
              <w:t xml:space="preserve">Measures cost of goods sold.</w:t>
            </w:r>
          </w:p>
        </w:tc>
      </w:tr>
      <w:tr>
        <w:tc>
          <w:tcPr>
            <w:tcW w:type="auto" w:w="0"/>
            <w:shd w:fill="FFFFFF" w:val="clear"/>
            <w:tcMar>
              <w:top w:type="dxa" w:w="100"/>
              <w:left w:type="dxa" w:w="120"/>
              <w:bottom w:type="dxa" w:w="100"/>
              <w:right w:type="dxa" w:w="120"/>
            </w:tcMar>
            <w:vAlign w:val="center"/>
          </w:tcPr>
          <w:p>
            <w:r>
              <w:rPr>
                <w:color w:val="444444"/>
                <w:sz w:val="20"/>
                <w:szCs w:val="20"/>
              </w:rPr>
              <w:t xml:space="preserve">Profit</w:t>
            </w:r>
          </w:p>
        </w:tc>
        <w:tc>
          <w:tcPr>
            <w:tcW w:type="auto" w:w="0"/>
            <w:shd w:fill="FFFFFF" w:val="clear"/>
            <w:tcMar>
              <w:top w:type="dxa" w:w="100"/>
              <w:left w:type="dxa" w:w="120"/>
              <w:bottom w:type="dxa" w:w="100"/>
              <w:right w:type="dxa" w:w="120"/>
            </w:tcMar>
            <w:vAlign w:val="center"/>
          </w:tcPr>
          <w:p>
            <w:r>
              <w:rPr>
                <w:color w:val="444444"/>
                <w:sz w:val="20"/>
                <w:szCs w:val="20"/>
              </w:rPr>
              <w:t xml:space="preserve">Measures profit generated.</w:t>
            </w:r>
          </w:p>
        </w:tc>
      </w:tr>
      <w:tr>
        <w:tc>
          <w:tcPr>
            <w:tcW w:type="auto" w:w="0"/>
            <w:shd w:fill="F2F2F2" w:val="clear"/>
            <w:tcMar>
              <w:top w:type="dxa" w:w="100"/>
              <w:left w:type="dxa" w:w="120"/>
              <w:bottom w:type="dxa" w:w="100"/>
              <w:right w:type="dxa" w:w="120"/>
            </w:tcMar>
            <w:vAlign w:val="center"/>
          </w:tcPr>
          <w:p>
            <w:r>
              <w:rPr>
                <w:color w:val="444444"/>
                <w:sz w:val="20"/>
                <w:szCs w:val="20"/>
              </w:rPr>
              <w:t xml:space="preserve">Profit Margin</w:t>
            </w:r>
          </w:p>
        </w:tc>
        <w:tc>
          <w:tcPr>
            <w:tcW w:type="auto" w:w="0"/>
            <w:shd w:fill="F2F2F2" w:val="clear"/>
            <w:tcMar>
              <w:top w:type="dxa" w:w="100"/>
              <w:left w:type="dxa" w:w="120"/>
              <w:bottom w:type="dxa" w:w="100"/>
              <w:right w:type="dxa" w:w="120"/>
            </w:tcMar>
            <w:vAlign w:val="center"/>
          </w:tcPr>
          <w:p>
            <w:r>
              <w:rPr>
                <w:color w:val="444444"/>
                <w:sz w:val="20"/>
                <w:szCs w:val="20"/>
              </w:rPr>
              <w:t xml:space="preserve">Measures profitability relative to sales.</w:t>
            </w:r>
          </w:p>
        </w:tc>
      </w:tr>
      <w:tr>
        <w:tc>
          <w:tcPr>
            <w:tcW w:type="auto" w:w="0"/>
            <w:shd w:fill="FFFFFF" w:val="clear"/>
            <w:tcMar>
              <w:top w:type="dxa" w:w="100"/>
              <w:left w:type="dxa" w:w="120"/>
              <w:bottom w:type="dxa" w:w="100"/>
              <w:right w:type="dxa" w:w="120"/>
            </w:tcMar>
            <w:vAlign w:val="center"/>
          </w:tcPr>
          <w:p>
            <w:r>
              <w:rPr>
                <w:color w:val="444444"/>
                <w:sz w:val="20"/>
                <w:szCs w:val="20"/>
              </w:rPr>
              <w:t xml:space="preserve">Total Refund</w:t>
            </w:r>
          </w:p>
        </w:tc>
        <w:tc>
          <w:tcPr>
            <w:tcW w:type="auto" w:w="0"/>
            <w:shd w:fill="FFFFFF" w:val="clear"/>
            <w:tcMar>
              <w:top w:type="dxa" w:w="100"/>
              <w:left w:type="dxa" w:w="120"/>
              <w:bottom w:type="dxa" w:w="100"/>
              <w:right w:type="dxa" w:w="120"/>
            </w:tcMar>
            <w:vAlign w:val="center"/>
          </w:tcPr>
          <w:p>
            <w:r>
              <w:rPr>
                <w:color w:val="444444"/>
                <w:sz w:val="20"/>
                <w:szCs w:val="20"/>
              </w:rPr>
              <w:t xml:space="preserve">Measures total refunded amount.</w:t>
            </w:r>
          </w:p>
        </w:tc>
      </w:tr>
      <w:tr>
        <w:tc>
          <w:tcPr>
            <w:tcW w:type="auto" w:w="0"/>
            <w:shd w:fill="F2F2F2" w:val="clear"/>
            <w:tcMar>
              <w:top w:type="dxa" w:w="100"/>
              <w:left w:type="dxa" w:w="120"/>
              <w:bottom w:type="dxa" w:w="100"/>
              <w:right w:type="dxa" w:w="120"/>
            </w:tcMar>
            <w:vAlign w:val="center"/>
          </w:tcPr>
          <w:p>
            <w:r>
              <w:rPr>
                <w:color w:val="444444"/>
                <w:sz w:val="20"/>
                <w:szCs w:val="20"/>
              </w:rPr>
              <w:t xml:space="preserve">Average Refund</w:t>
            </w:r>
          </w:p>
        </w:tc>
        <w:tc>
          <w:tcPr>
            <w:tcW w:type="auto" w:w="0"/>
            <w:shd w:fill="F2F2F2" w:val="clear"/>
            <w:tcMar>
              <w:top w:type="dxa" w:w="100"/>
              <w:left w:type="dxa" w:w="120"/>
              <w:bottom w:type="dxa" w:w="100"/>
              <w:right w:type="dxa" w:w="120"/>
            </w:tcMar>
            <w:vAlign w:val="center"/>
          </w:tcPr>
          <w:p>
            <w:r>
              <w:rPr>
                <w:color w:val="444444"/>
                <w:sz w:val="20"/>
                <w:szCs w:val="20"/>
              </w:rPr>
              <w:t xml:space="preserve">Measures average refund value.</w:t>
            </w:r>
          </w:p>
        </w:tc>
      </w:tr>
      <w:tr>
        <w:tc>
          <w:tcPr>
            <w:tcW w:type="auto" w:w="0"/>
            <w:shd w:fill="FFFFFF" w:val="clear"/>
            <w:tcMar>
              <w:top w:type="dxa" w:w="100"/>
              <w:left w:type="dxa" w:w="120"/>
              <w:bottom w:type="dxa" w:w="100"/>
              <w:right w:type="dxa" w:w="120"/>
            </w:tcMar>
            <w:vAlign w:val="center"/>
          </w:tcPr>
          <w:p>
            <w:r>
              <w:rPr>
                <w:color w:val="444444"/>
                <w:sz w:val="20"/>
                <w:szCs w:val="20"/>
              </w:rPr>
              <w:t xml:space="preserve">Total Sessions</w:t>
            </w:r>
          </w:p>
        </w:tc>
        <w:tc>
          <w:tcPr>
            <w:tcW w:type="auto" w:w="0"/>
            <w:shd w:fill="FFFFFF" w:val="clear"/>
            <w:tcMar>
              <w:top w:type="dxa" w:w="100"/>
              <w:left w:type="dxa" w:w="120"/>
              <w:bottom w:type="dxa" w:w="100"/>
              <w:right w:type="dxa" w:w="120"/>
            </w:tcMar>
            <w:vAlign w:val="center"/>
          </w:tcPr>
          <w:p>
            <w:r>
              <w:rPr>
                <w:color w:val="444444"/>
                <w:sz w:val="20"/>
                <w:szCs w:val="20"/>
              </w:rPr>
              <w:t xml:space="preserve">Measures website session volume.</w:t>
            </w:r>
          </w:p>
        </w:tc>
      </w:tr>
      <w:tr>
        <w:tc>
          <w:tcPr>
            <w:tcW w:type="auto" w:w="0"/>
            <w:shd w:fill="F2F2F2" w:val="clear"/>
            <w:tcMar>
              <w:top w:type="dxa" w:w="100"/>
              <w:left w:type="dxa" w:w="120"/>
              <w:bottom w:type="dxa" w:w="100"/>
              <w:right w:type="dxa" w:w="120"/>
            </w:tcMar>
            <w:vAlign w:val="center"/>
          </w:tcPr>
          <w:p>
            <w:r>
              <w:rPr>
                <w:color w:val="444444"/>
                <w:sz w:val="20"/>
                <w:szCs w:val="20"/>
              </w:rPr>
              <w:t xml:space="preserve">Total Pageviews</w:t>
            </w:r>
          </w:p>
        </w:tc>
        <w:tc>
          <w:tcPr>
            <w:tcW w:type="auto" w:w="0"/>
            <w:shd w:fill="F2F2F2" w:val="clear"/>
            <w:tcMar>
              <w:top w:type="dxa" w:w="100"/>
              <w:left w:type="dxa" w:w="120"/>
              <w:bottom w:type="dxa" w:w="100"/>
              <w:right w:type="dxa" w:w="120"/>
            </w:tcMar>
            <w:vAlign w:val="center"/>
          </w:tcPr>
          <w:p>
            <w:r>
              <w:rPr>
                <w:color w:val="444444"/>
                <w:sz w:val="20"/>
                <w:szCs w:val="20"/>
              </w:rPr>
              <w:t xml:space="preserve">Measures website pageview volume.</w:t>
            </w:r>
          </w:p>
        </w:tc>
      </w:tr>
      <w:tr>
        <w:tc>
          <w:tcPr>
            <w:tcW w:type="auto" w:w="0"/>
            <w:shd w:fill="FFFFFF" w:val="clear"/>
            <w:tcMar>
              <w:top w:type="dxa" w:w="100"/>
              <w:left w:type="dxa" w:w="120"/>
              <w:bottom w:type="dxa" w:w="100"/>
              <w:right w:type="dxa" w:w="120"/>
            </w:tcMar>
            <w:vAlign w:val="center"/>
          </w:tcPr>
          <w:p>
            <w:r>
              <w:rPr>
                <w:color w:val="444444"/>
                <w:sz w:val="20"/>
                <w:szCs w:val="20"/>
              </w:rPr>
              <w:t xml:space="preserve">Unique Sessions</w:t>
            </w:r>
          </w:p>
        </w:tc>
        <w:tc>
          <w:tcPr>
            <w:tcW w:type="auto" w:w="0"/>
            <w:shd w:fill="FFFFFF" w:val="clear"/>
            <w:tcMar>
              <w:top w:type="dxa" w:w="100"/>
              <w:left w:type="dxa" w:w="120"/>
              <w:bottom w:type="dxa" w:w="100"/>
              <w:right w:type="dxa" w:w="120"/>
            </w:tcMar>
            <w:vAlign w:val="center"/>
          </w:tcPr>
          <w:p>
            <w:r>
              <w:rPr>
                <w:color w:val="444444"/>
                <w:sz w:val="20"/>
                <w:szCs w:val="20"/>
              </w:rPr>
              <w:t xml:space="preserve">Supports unique-session analysis.</w:t>
            </w:r>
          </w:p>
        </w:tc>
      </w:tr>
    </w:tbl>
    <w:p>
      <w:pPr>
        <w:pStyle w:val="Heading1"/>
        <w:pBdr>
          <w:bottom w:val="single" w:color="1F7A6C" w:sz="8"/>
        </w:pBdr>
        <w:spacing w:after="200" w:before="400"/>
      </w:pPr>
      <w:r>
        <w:rPr>
          <w:b/>
          <w:bCs/>
          <w:color w:val="0F4C40"/>
        </w:rPr>
        <w:t xml:space="preserve">7. Conclusion</w:t>
      </w:r>
    </w:p>
    <w:p>
      <w:pPr>
        <w:spacing w:after="160" w:line="300"/>
      </w:pPr>
      <w:r>
        <w:rPr>
          <w:color w:val="444444"/>
          <w:sz w:val="22"/>
          <w:szCs w:val="22"/>
        </w:rPr>
        <w:t xml:space="preserve">This Toys Business Analytics project demonstrates the use of Microsoft Power BI to transform business data into an interactive analytical reporting solution. The project combines order, item, product, refund, website session, and pageview information to provide a broader view of business performance.</w:t>
      </w:r>
    </w:p>
    <w:p>
      <w:pPr>
        <w:spacing w:after="160" w:line="300"/>
      </w:pPr>
      <w:r>
        <w:rPr>
          <w:color w:val="444444"/>
          <w:sz w:val="22"/>
          <w:szCs w:val="22"/>
        </w:rPr>
        <w:t xml:space="preserve">The creation of DAX measures, calculated fields, a custom Date table, MTD and YTD calculations, data-quality checks, and distinct-value analysis strengthens the analytical foundation of the report. The resulting dashboard is designed to help users understand sales, profitability, products, refunds, website activity, and marketing traffic from a single business intelligence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Toys Business Analytics — Power BI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ca3b3a34f93184a3ef71dd227d879be4cbd9da.png"/><Relationship Id="rId10" Type="http://schemas.openxmlformats.org/officeDocument/2006/relationships/image" Target="media/e6dab5bac7f73cd7ff7edef786cf08fef9a28984.png"/><Relationship Id="rId11" Type="http://schemas.openxmlformats.org/officeDocument/2006/relationships/image" Target="media/a63d7314e04feb97f605452d34665386b07161cf.png"/><Relationship Id="rId12" Type="http://schemas.openxmlformats.org/officeDocument/2006/relationships/image" Target="media/dd18149cfc0c37f65044b676ccb1c258588c1987.png"/><Relationship Id="rId13" Type="http://schemas.openxmlformats.org/officeDocument/2006/relationships/image" Target="media/be2f1af487a42c758e785dd3109e8dbc70d32ff9.png"/><Relationship Id="rId14" Type="http://schemas.openxmlformats.org/officeDocument/2006/relationships/image" Target="media/846d719ced0c4fcb73695c5f246cf37177c3ea85.png"/><Relationship Id="rId15" Type="http://schemas.openxmlformats.org/officeDocument/2006/relationships/image" Target="media/5b70fd6295bb305bc97fe9c1c71635ace58a6236.png"/><Relationship Id="rId16" Type="http://schemas.openxmlformats.org/officeDocument/2006/relationships/image" Target="media/d3b40e9d38ce1a293df33e2f3dfde77b0faf0f18.png"/><Relationship Id="rId17" Type="http://schemas.openxmlformats.org/officeDocument/2006/relationships/image" Target="media/386e82b18f592263f2b7bd0c1cc19a38f0894b49.png"/><Relationship Id="rId18" Type="http://schemas.openxmlformats.org/officeDocument/2006/relationships/image" Target="media/5ab18f35a28ae9c6703a0f5ac6d22feeea29fb0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2026-08-11T14:57:41.110Z</dcterms:created>
  <dcterms:modified xsi:type="dcterms:W3CDTF">2026-08-11T14:57:41.123Z</dcterms:modified>
</cp:coreProperties>
</file>

<file path=docProps/custom.xml><?xml version="1.0" encoding="utf-8"?>
<Properties xmlns="http://schemas.openxmlformats.org/officeDocument/2006/custom-properties" xmlns:vt="http://schemas.openxmlformats.org/officeDocument/2006/docPropsVTypes"/>
</file>