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31E" w:rsidRPr="00BD231E" w:rsidRDefault="00BD231E" w:rsidP="00BD2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231E">
        <w:rPr>
          <w:rFonts w:ascii="Times New Roman" w:eastAsia="Times New Roman" w:hAnsi="Times New Roman" w:cs="Times New Roman"/>
          <w:b/>
          <w:bCs/>
          <w:sz w:val="27"/>
          <w:szCs w:val="27"/>
        </w:rPr>
        <w:t>Power BI Dashboard: Data Professional Survey Breakdown</w:t>
      </w:r>
    </w:p>
    <w:p w:rsidR="00BD231E" w:rsidRPr="00BD231E" w:rsidRDefault="00BD231E" w:rsidP="00BD2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This Power BI dashboard provides a clear analysis of the Data Professional Survey, highlighting key metrics that inform organizational strategies regarding data professionals.</w:t>
      </w:r>
    </w:p>
    <w:p w:rsidR="00BD231E" w:rsidRPr="00BD231E" w:rsidRDefault="00BD231E" w:rsidP="00BD2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BD231E" w:rsidRPr="00BD231E" w:rsidRDefault="00BD231E" w:rsidP="00BD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 by Job Title: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Stacked 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>Bar chart showcasing average salaries for various roles, enabling compensation benchmarking.</w:t>
      </w:r>
    </w:p>
    <w:p w:rsidR="00BD231E" w:rsidRPr="00BD231E" w:rsidRDefault="00BD231E" w:rsidP="00BD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Count of Survey Takers: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gramStart"/>
      <w:r w:rsidRPr="00BD231E">
        <w:rPr>
          <w:rFonts w:ascii="Times New Roman" w:eastAsia="Times New Roman" w:hAnsi="Times New Roman" w:cs="Times New Roman"/>
          <w:sz w:val="24"/>
          <w:szCs w:val="24"/>
        </w:rPr>
        <w:t>number of respondents, reflecting the survey's reach</w:t>
      </w:r>
      <w:proofErr w:type="gramEnd"/>
      <w:r w:rsidRPr="00BD23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231E" w:rsidRPr="00BD231E" w:rsidRDefault="00BD231E" w:rsidP="00BD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Age: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Visualization of the average age of participants, illustrating demographic trends.</w:t>
      </w:r>
    </w:p>
    <w:p w:rsidR="00BD231E" w:rsidRPr="00BD231E" w:rsidRDefault="00BD231E" w:rsidP="00BD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Happiness with Salary: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Satisfaction scale indicating participants' contentment with their salaries.</w:t>
      </w:r>
    </w:p>
    <w:p w:rsidR="00BD231E" w:rsidRPr="00BD231E" w:rsidRDefault="00BD231E" w:rsidP="00BD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Happiness with Work-Life Balance: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Insights into survey takers' work-life balance satisfaction.</w:t>
      </w:r>
    </w:p>
    <w:p w:rsidR="00BD231E" w:rsidRPr="00BD231E" w:rsidRDefault="00BD231E" w:rsidP="00BD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Favorite Programming Language: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Stacked column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chart displaying the most popular programming languages among respondents.</w:t>
      </w:r>
    </w:p>
    <w:p w:rsidR="00BD231E" w:rsidRPr="00BD231E" w:rsidRDefault="00BD231E" w:rsidP="00BD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Country Distribution: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Tree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map showing the countries represented in the survey.</w:t>
      </w:r>
    </w:p>
    <w:p w:rsidR="00BD231E" w:rsidRPr="00BD231E" w:rsidRDefault="00BD231E" w:rsidP="00BD2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1E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BD231E">
        <w:rPr>
          <w:rFonts w:ascii="Times New Roman" w:eastAsia="Times New Roman" w:hAnsi="Times New Roman" w:cs="Times New Roman"/>
          <w:sz w:val="24"/>
          <w:szCs w:val="24"/>
        </w:rPr>
        <w:t xml:space="preserve"> The dashboard offers valuable insights into salary trends, job satisfaction, and demographic preferences, helping organizations enhance their talent management and workplace strategies.</w:t>
      </w:r>
    </w:p>
    <w:p w:rsidR="003F6C9B" w:rsidRDefault="003F6C9B"/>
    <w:sectPr w:rsidR="003F6C9B" w:rsidSect="003F6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702C0"/>
    <w:multiLevelType w:val="multilevel"/>
    <w:tmpl w:val="A6DE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31E"/>
    <w:rsid w:val="00077592"/>
    <w:rsid w:val="003F6C9B"/>
    <w:rsid w:val="00616AE2"/>
    <w:rsid w:val="007A3511"/>
    <w:rsid w:val="00BD2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C9B"/>
  </w:style>
  <w:style w:type="paragraph" w:styleId="Heading3">
    <w:name w:val="heading 3"/>
    <w:basedOn w:val="Normal"/>
    <w:link w:val="Heading3Char"/>
    <w:uiPriority w:val="9"/>
    <w:qFormat/>
    <w:rsid w:val="00BD2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3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3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2024-09-30T08:39:00Z</dcterms:created>
  <dcterms:modified xsi:type="dcterms:W3CDTF">2024-09-30T08:39:00Z</dcterms:modified>
</cp:coreProperties>
</file>