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531F6" w14:textId="77777777" w:rsidR="003D7617" w:rsidRDefault="00A537D1">
      <w:pPr>
        <w:pStyle w:val="Title"/>
        <w:jc w:val="center"/>
        <w:rPr>
          <w:rFonts w:ascii="Arial" w:hAnsi="Arial" w:cs="Arial"/>
          <w:color w:val="000000" w:themeColor="text1"/>
        </w:rPr>
      </w:pPr>
      <w:r w:rsidRPr="00A537D1">
        <w:rPr>
          <w:rFonts w:ascii="Arial" w:hAnsi="Arial" w:cs="Arial"/>
          <w:color w:val="000000" w:themeColor="text1"/>
        </w:rPr>
        <w:t>Business Summary Report:</w:t>
      </w:r>
    </w:p>
    <w:p w14:paraId="02AC83A6" w14:textId="671A8208" w:rsidR="007D72C2" w:rsidRPr="00A537D1" w:rsidRDefault="00A537D1">
      <w:pPr>
        <w:pStyle w:val="Title"/>
        <w:jc w:val="center"/>
        <w:rPr>
          <w:rFonts w:ascii="Arial" w:hAnsi="Arial" w:cs="Arial"/>
          <w:color w:val="000000" w:themeColor="text1"/>
        </w:rPr>
      </w:pPr>
      <w:r w:rsidRPr="003D7617">
        <w:rPr>
          <w:rFonts w:ascii="Arial" w:hAnsi="Arial" w:cs="Arial"/>
          <w:color w:val="000000" w:themeColor="text1"/>
          <w:sz w:val="40"/>
          <w:szCs w:val="40"/>
        </w:rPr>
        <w:t>Predictive Insights for Collections Strategy</w:t>
      </w:r>
    </w:p>
    <w:p w14:paraId="6DC52BE2" w14:textId="77777777" w:rsidR="007562AC" w:rsidRPr="007562AC" w:rsidRDefault="007562AC" w:rsidP="007562AC">
      <w:pPr>
        <w:rPr>
          <w:rFonts w:ascii="Arial" w:hAnsi="Arial" w:cs="Arial"/>
          <w:b/>
          <w:bCs/>
          <w:color w:val="000000" w:themeColor="text1"/>
          <w:lang w:val="en-IN"/>
        </w:rPr>
      </w:pPr>
      <w:r w:rsidRPr="007562AC">
        <w:rPr>
          <w:rFonts w:ascii="Arial" w:hAnsi="Arial" w:cs="Arial"/>
          <w:b/>
          <w:bCs/>
          <w:color w:val="000000" w:themeColor="text1"/>
          <w:lang w:val="en-IN"/>
        </w:rPr>
        <w:t>1. Summary of Predictive Insights</w:t>
      </w:r>
    </w:p>
    <w:p w14:paraId="40315F2F" w14:textId="77777777" w:rsidR="007562AC" w:rsidRPr="007562AC" w:rsidRDefault="007562AC" w:rsidP="007562AC">
      <w:pPr>
        <w:rPr>
          <w:rFonts w:ascii="Arial" w:hAnsi="Arial" w:cs="Arial"/>
          <w:color w:val="000000" w:themeColor="text1"/>
          <w:lang w:val="en-IN"/>
        </w:rPr>
      </w:pPr>
      <w:r w:rsidRPr="007562AC">
        <w:rPr>
          <w:rFonts w:ascii="Arial" w:hAnsi="Arial" w:cs="Arial"/>
          <w:color w:val="000000" w:themeColor="text1"/>
          <w:lang w:val="en-IN"/>
        </w:rPr>
        <w:t>This report summarizes key findings from our predictive model for customer delinquency.</w:t>
      </w:r>
    </w:p>
    <w:p w14:paraId="411D5F12" w14:textId="77777777" w:rsidR="007562AC" w:rsidRPr="007562AC" w:rsidRDefault="007562AC" w:rsidP="007562AC">
      <w:pPr>
        <w:numPr>
          <w:ilvl w:val="0"/>
          <w:numId w:val="10"/>
        </w:numPr>
        <w:rPr>
          <w:rFonts w:ascii="Arial" w:hAnsi="Arial" w:cs="Arial"/>
          <w:color w:val="000000" w:themeColor="text1"/>
          <w:lang w:val="en-IN"/>
        </w:rPr>
      </w:pPr>
      <w:r w:rsidRPr="007562AC">
        <w:rPr>
          <w:rFonts w:ascii="Arial" w:hAnsi="Arial" w:cs="Arial"/>
          <w:b/>
          <w:bCs/>
          <w:color w:val="000000" w:themeColor="text1"/>
          <w:lang w:val="en-IN"/>
        </w:rPr>
        <w:t>High-Risk Segment:</w:t>
      </w:r>
      <w:r w:rsidRPr="007562AC">
        <w:rPr>
          <w:rFonts w:ascii="Arial" w:hAnsi="Arial" w:cs="Arial"/>
          <w:color w:val="000000" w:themeColor="text1"/>
          <w:lang w:val="en-IN"/>
        </w:rPr>
        <w:t xml:space="preserve"> Customers with </w:t>
      </w:r>
      <w:r w:rsidRPr="007562AC">
        <w:rPr>
          <w:rFonts w:ascii="Arial" w:hAnsi="Arial" w:cs="Arial"/>
          <w:b/>
          <w:bCs/>
          <w:color w:val="000000" w:themeColor="text1"/>
          <w:lang w:val="en-IN"/>
        </w:rPr>
        <w:t>Business Credit Card Type</w:t>
      </w:r>
      <w:r w:rsidRPr="007562AC">
        <w:rPr>
          <w:rFonts w:ascii="Arial" w:hAnsi="Arial" w:cs="Arial"/>
          <w:color w:val="000000" w:themeColor="text1"/>
          <w:lang w:val="en-IN"/>
        </w:rPr>
        <w:t xml:space="preserve"> show a 21.30% delinquency rate, significantly higher than other card types.</w:t>
      </w:r>
    </w:p>
    <w:p w14:paraId="1ED51CF1" w14:textId="77777777" w:rsidR="007562AC" w:rsidRPr="007562AC" w:rsidRDefault="007562AC" w:rsidP="007562AC">
      <w:pPr>
        <w:numPr>
          <w:ilvl w:val="0"/>
          <w:numId w:val="10"/>
        </w:numPr>
        <w:rPr>
          <w:rFonts w:ascii="Arial" w:hAnsi="Arial" w:cs="Arial"/>
          <w:color w:val="000000" w:themeColor="text1"/>
          <w:lang w:val="en-IN"/>
        </w:rPr>
      </w:pPr>
      <w:r w:rsidRPr="007562AC">
        <w:rPr>
          <w:rFonts w:ascii="Arial" w:hAnsi="Arial" w:cs="Arial"/>
          <w:b/>
          <w:bCs/>
          <w:color w:val="000000" w:themeColor="text1"/>
          <w:lang w:val="en-IN"/>
        </w:rPr>
        <w:t>Top 3 Risk Factors:</w:t>
      </w:r>
    </w:p>
    <w:p w14:paraId="70C41680" w14:textId="77777777" w:rsidR="007562AC" w:rsidRPr="007562AC" w:rsidRDefault="007562AC" w:rsidP="007562AC">
      <w:pPr>
        <w:numPr>
          <w:ilvl w:val="1"/>
          <w:numId w:val="10"/>
        </w:numPr>
        <w:rPr>
          <w:rFonts w:ascii="Arial" w:hAnsi="Arial" w:cs="Arial"/>
          <w:color w:val="000000" w:themeColor="text1"/>
          <w:lang w:val="en-IN"/>
        </w:rPr>
      </w:pPr>
      <w:r w:rsidRPr="007562AC">
        <w:rPr>
          <w:rFonts w:ascii="Arial" w:hAnsi="Arial" w:cs="Arial"/>
          <w:b/>
          <w:bCs/>
          <w:color w:val="000000" w:themeColor="text1"/>
          <w:lang w:val="en-IN"/>
        </w:rPr>
        <w:t>Employment Status:</w:t>
      </w:r>
      <w:r w:rsidRPr="007562AC">
        <w:rPr>
          <w:rFonts w:ascii="Arial" w:hAnsi="Arial" w:cs="Arial"/>
          <w:color w:val="000000" w:themeColor="text1"/>
          <w:lang w:val="en-IN"/>
        </w:rPr>
        <w:t xml:space="preserve"> Unemployed customers have the highest delinquency rate (19.35%).</w:t>
      </w:r>
    </w:p>
    <w:p w14:paraId="2DA01B3F" w14:textId="489D8D59" w:rsidR="007562AC" w:rsidRPr="007562AC" w:rsidRDefault="007562AC" w:rsidP="007562AC">
      <w:pPr>
        <w:numPr>
          <w:ilvl w:val="1"/>
          <w:numId w:val="10"/>
        </w:numPr>
        <w:rPr>
          <w:rFonts w:ascii="Arial" w:hAnsi="Arial" w:cs="Arial"/>
          <w:color w:val="000000" w:themeColor="text1"/>
          <w:lang w:val="en-IN"/>
        </w:rPr>
      </w:pPr>
      <w:r w:rsidRPr="007562AC">
        <w:rPr>
          <w:rFonts w:ascii="Arial" w:hAnsi="Arial" w:cs="Arial"/>
          <w:b/>
          <w:bCs/>
          <w:color w:val="000000" w:themeColor="text1"/>
          <w:lang w:val="en-IN"/>
        </w:rPr>
        <w:t>Behavioural Indicators:</w:t>
      </w:r>
      <w:r w:rsidRPr="007562AC">
        <w:rPr>
          <w:rFonts w:ascii="Arial" w:hAnsi="Arial" w:cs="Arial"/>
          <w:color w:val="000000" w:themeColor="text1"/>
          <w:lang w:val="en-IN"/>
        </w:rPr>
        <w:t xml:space="preserve"> Customers with 2 missed/late payments in the last six months show a 20.51% delinquency rate.</w:t>
      </w:r>
    </w:p>
    <w:p w14:paraId="72420558" w14:textId="77777777" w:rsidR="007562AC" w:rsidRPr="007562AC" w:rsidRDefault="007562AC" w:rsidP="007562AC">
      <w:pPr>
        <w:numPr>
          <w:ilvl w:val="1"/>
          <w:numId w:val="10"/>
        </w:numPr>
        <w:rPr>
          <w:rFonts w:ascii="Arial" w:hAnsi="Arial" w:cs="Arial"/>
          <w:color w:val="000000" w:themeColor="text1"/>
          <w:lang w:val="en-IN"/>
        </w:rPr>
      </w:pPr>
      <w:r w:rsidRPr="007562AC">
        <w:rPr>
          <w:rFonts w:ascii="Arial" w:hAnsi="Arial" w:cs="Arial"/>
          <w:b/>
          <w:bCs/>
          <w:color w:val="000000" w:themeColor="text1"/>
          <w:lang w:val="en-IN"/>
        </w:rPr>
        <w:t>Credit Utilization:</w:t>
      </w:r>
      <w:r w:rsidRPr="007562AC">
        <w:rPr>
          <w:rFonts w:ascii="Arial" w:hAnsi="Arial" w:cs="Arial"/>
          <w:color w:val="000000" w:themeColor="text1"/>
          <w:lang w:val="en-IN"/>
        </w:rPr>
        <w:t xml:space="preserve"> While the overall correlation is low, higher credit utilization (cleaned to max 1.0) contributes to financial strain and delinquency risk.</w:t>
      </w:r>
    </w:p>
    <w:p w14:paraId="69D3E96B" w14:textId="77777777" w:rsidR="007562AC" w:rsidRPr="007562AC" w:rsidRDefault="007562AC" w:rsidP="007562AC">
      <w:pPr>
        <w:rPr>
          <w:rFonts w:ascii="Arial" w:hAnsi="Arial" w:cs="Arial"/>
          <w:b/>
          <w:bCs/>
          <w:color w:val="000000" w:themeColor="text1"/>
          <w:lang w:val="en-IN"/>
        </w:rPr>
      </w:pPr>
      <w:r w:rsidRPr="007562AC">
        <w:rPr>
          <w:rFonts w:ascii="Arial" w:hAnsi="Arial" w:cs="Arial"/>
          <w:b/>
          <w:bCs/>
          <w:color w:val="000000" w:themeColor="text1"/>
          <w:lang w:val="en-IN"/>
        </w:rPr>
        <w:t>2. Recommendation Framework</w:t>
      </w:r>
    </w:p>
    <w:p w14:paraId="01AE8FCE" w14:textId="77777777" w:rsidR="007562AC" w:rsidRPr="007562AC" w:rsidRDefault="007562AC" w:rsidP="007562AC">
      <w:pPr>
        <w:rPr>
          <w:rFonts w:ascii="Arial" w:hAnsi="Arial" w:cs="Arial"/>
          <w:color w:val="000000" w:themeColor="text1"/>
          <w:lang w:val="en-IN"/>
        </w:rPr>
      </w:pPr>
      <w:r w:rsidRPr="007562AC">
        <w:rPr>
          <w:rFonts w:ascii="Arial" w:hAnsi="Arial" w:cs="Arial"/>
          <w:b/>
          <w:bCs/>
          <w:color w:val="000000" w:themeColor="text1"/>
          <w:lang w:val="en-IN"/>
        </w:rPr>
        <w:t>Restated Insight:</w:t>
      </w:r>
      <w:r w:rsidRPr="007562AC">
        <w:rPr>
          <w:rFonts w:ascii="Arial" w:hAnsi="Arial" w:cs="Arial"/>
          <w:color w:val="000000" w:themeColor="text1"/>
          <w:lang w:val="en-IN"/>
        </w:rPr>
        <w:t xml:space="preserve"> Customers with "Business" credit card types show a higher propensity for delinquency.</w:t>
      </w:r>
    </w:p>
    <w:p w14:paraId="20CF94D3" w14:textId="77777777" w:rsidR="007562AC" w:rsidRPr="007562AC" w:rsidRDefault="007562AC" w:rsidP="007562AC">
      <w:pPr>
        <w:rPr>
          <w:rFonts w:ascii="Arial" w:hAnsi="Arial" w:cs="Arial"/>
          <w:color w:val="000000" w:themeColor="text1"/>
          <w:lang w:val="en-IN"/>
        </w:rPr>
      </w:pPr>
      <w:r w:rsidRPr="007562AC">
        <w:rPr>
          <w:rFonts w:ascii="Arial" w:hAnsi="Arial" w:cs="Arial"/>
          <w:b/>
          <w:bCs/>
          <w:color w:val="000000" w:themeColor="text1"/>
          <w:lang w:val="en-IN"/>
        </w:rPr>
        <w:t>Proposed Recommendation: Proactive Engagement for Business Cardholders</w:t>
      </w:r>
    </w:p>
    <w:p w14:paraId="568D24F7" w14:textId="60CCCADB" w:rsidR="007562AC" w:rsidRPr="007562AC" w:rsidRDefault="007562AC" w:rsidP="007562AC">
      <w:pPr>
        <w:numPr>
          <w:ilvl w:val="0"/>
          <w:numId w:val="11"/>
        </w:numPr>
        <w:rPr>
          <w:rFonts w:ascii="Arial" w:hAnsi="Arial" w:cs="Arial"/>
          <w:color w:val="000000" w:themeColor="text1"/>
          <w:lang w:val="en-IN"/>
        </w:rPr>
      </w:pPr>
      <w:r w:rsidRPr="007562AC">
        <w:rPr>
          <w:rFonts w:ascii="Arial" w:hAnsi="Arial" w:cs="Arial"/>
          <w:b/>
          <w:bCs/>
          <w:color w:val="000000" w:themeColor="text1"/>
          <w:lang w:val="en-IN"/>
        </w:rPr>
        <w:t>Specific:</w:t>
      </w:r>
      <w:r w:rsidRPr="007562AC">
        <w:rPr>
          <w:rFonts w:ascii="Arial" w:hAnsi="Arial" w:cs="Arial"/>
          <w:color w:val="000000" w:themeColor="text1"/>
          <w:lang w:val="en-IN"/>
        </w:rPr>
        <w:t xml:space="preserve"> Implement a targeted program for "Business" Credit Card Type holders, including personalized emails, SMS reminders, and optional financial counselling at 30 days past due, focused on early intervention.</w:t>
      </w:r>
    </w:p>
    <w:p w14:paraId="7FCFFF0E" w14:textId="77777777" w:rsidR="007562AC" w:rsidRPr="007562AC" w:rsidRDefault="007562AC" w:rsidP="007562AC">
      <w:pPr>
        <w:numPr>
          <w:ilvl w:val="0"/>
          <w:numId w:val="11"/>
        </w:numPr>
        <w:rPr>
          <w:rFonts w:ascii="Arial" w:hAnsi="Arial" w:cs="Arial"/>
          <w:color w:val="000000" w:themeColor="text1"/>
          <w:lang w:val="en-IN"/>
        </w:rPr>
      </w:pPr>
      <w:r w:rsidRPr="007562AC">
        <w:rPr>
          <w:rFonts w:ascii="Arial" w:hAnsi="Arial" w:cs="Arial"/>
          <w:b/>
          <w:bCs/>
          <w:color w:val="000000" w:themeColor="text1"/>
          <w:lang w:val="en-IN"/>
        </w:rPr>
        <w:t>Measurable:</w:t>
      </w:r>
      <w:r w:rsidRPr="007562AC">
        <w:rPr>
          <w:rFonts w:ascii="Arial" w:hAnsi="Arial" w:cs="Arial"/>
          <w:color w:val="000000" w:themeColor="text1"/>
          <w:lang w:val="en-IN"/>
        </w:rPr>
        <w:t xml:space="preserve"> Reduce delinquency in this segment by 15% and increase on-time payments by 10% within six months.</w:t>
      </w:r>
    </w:p>
    <w:p w14:paraId="6978A86E" w14:textId="77777777" w:rsidR="007562AC" w:rsidRPr="007562AC" w:rsidRDefault="007562AC" w:rsidP="007562AC">
      <w:pPr>
        <w:numPr>
          <w:ilvl w:val="0"/>
          <w:numId w:val="11"/>
        </w:numPr>
        <w:rPr>
          <w:rFonts w:ascii="Arial" w:hAnsi="Arial" w:cs="Arial"/>
          <w:color w:val="000000" w:themeColor="text1"/>
          <w:lang w:val="en-IN"/>
        </w:rPr>
      </w:pPr>
      <w:r w:rsidRPr="007562AC">
        <w:rPr>
          <w:rFonts w:ascii="Arial" w:hAnsi="Arial" w:cs="Arial"/>
          <w:b/>
          <w:bCs/>
          <w:color w:val="000000" w:themeColor="text1"/>
          <w:lang w:val="en-IN"/>
        </w:rPr>
        <w:t>Actionable:</w:t>
      </w:r>
      <w:r w:rsidRPr="007562AC">
        <w:rPr>
          <w:rFonts w:ascii="Arial" w:hAnsi="Arial" w:cs="Arial"/>
          <w:color w:val="000000" w:themeColor="text1"/>
          <w:lang w:val="en-IN"/>
        </w:rPr>
        <w:t xml:space="preserve"> Collections, Marketing, and Customer Service will collaborate on messaging and training. Automation will handle initial outreach.</w:t>
      </w:r>
    </w:p>
    <w:p w14:paraId="54E276FA" w14:textId="77777777" w:rsidR="007562AC" w:rsidRPr="007562AC" w:rsidRDefault="007562AC" w:rsidP="007562AC">
      <w:pPr>
        <w:numPr>
          <w:ilvl w:val="0"/>
          <w:numId w:val="11"/>
        </w:numPr>
        <w:rPr>
          <w:rFonts w:ascii="Arial" w:hAnsi="Arial" w:cs="Arial"/>
          <w:color w:val="000000" w:themeColor="text1"/>
          <w:lang w:val="en-IN"/>
        </w:rPr>
      </w:pPr>
      <w:r w:rsidRPr="007562AC">
        <w:rPr>
          <w:rFonts w:ascii="Arial" w:hAnsi="Arial" w:cs="Arial"/>
          <w:b/>
          <w:bCs/>
          <w:color w:val="000000" w:themeColor="text1"/>
          <w:lang w:val="en-IN"/>
        </w:rPr>
        <w:t>Relevant:</w:t>
      </w:r>
      <w:r w:rsidRPr="007562AC">
        <w:rPr>
          <w:rFonts w:ascii="Arial" w:hAnsi="Arial" w:cs="Arial"/>
          <w:color w:val="000000" w:themeColor="text1"/>
          <w:lang w:val="en-IN"/>
        </w:rPr>
        <w:t xml:space="preserve"> Directly addresses a high-risk segment, aligning with Geldium’s goals to minimize losses and promote responsible lending.</w:t>
      </w:r>
    </w:p>
    <w:p w14:paraId="0EFB27B2" w14:textId="77777777" w:rsidR="007562AC" w:rsidRPr="007562AC" w:rsidRDefault="007562AC" w:rsidP="007562AC">
      <w:pPr>
        <w:numPr>
          <w:ilvl w:val="0"/>
          <w:numId w:val="11"/>
        </w:numPr>
        <w:rPr>
          <w:rFonts w:ascii="Arial" w:hAnsi="Arial" w:cs="Arial"/>
          <w:color w:val="000000" w:themeColor="text1"/>
          <w:lang w:val="en-IN"/>
        </w:rPr>
      </w:pPr>
      <w:r w:rsidRPr="007562AC">
        <w:rPr>
          <w:rFonts w:ascii="Arial" w:hAnsi="Arial" w:cs="Arial"/>
          <w:b/>
          <w:bCs/>
          <w:color w:val="000000" w:themeColor="text1"/>
          <w:lang w:val="en-IN"/>
        </w:rPr>
        <w:t>Time-bound:</w:t>
      </w:r>
      <w:r w:rsidRPr="007562AC">
        <w:rPr>
          <w:rFonts w:ascii="Arial" w:hAnsi="Arial" w:cs="Arial"/>
          <w:color w:val="000000" w:themeColor="text1"/>
          <w:lang w:val="en-IN"/>
        </w:rPr>
        <w:t xml:space="preserve"> Pilot program over 3 months; full implementation and review within 6 months.</w:t>
      </w:r>
    </w:p>
    <w:p w14:paraId="542E8718" w14:textId="77777777" w:rsidR="007562AC" w:rsidRPr="007562AC" w:rsidRDefault="007562AC" w:rsidP="007562AC">
      <w:pPr>
        <w:rPr>
          <w:rFonts w:ascii="Arial" w:hAnsi="Arial" w:cs="Arial"/>
          <w:color w:val="000000" w:themeColor="text1"/>
          <w:lang w:val="en-IN"/>
        </w:rPr>
      </w:pPr>
      <w:r w:rsidRPr="007562AC">
        <w:rPr>
          <w:rFonts w:ascii="Arial" w:hAnsi="Arial" w:cs="Arial"/>
          <w:b/>
          <w:bCs/>
          <w:color w:val="000000" w:themeColor="text1"/>
          <w:lang w:val="en-IN"/>
        </w:rPr>
        <w:lastRenderedPageBreak/>
        <w:t>Justification and Business Rationale:</w:t>
      </w:r>
      <w:r w:rsidRPr="007562AC">
        <w:rPr>
          <w:rFonts w:ascii="Arial" w:hAnsi="Arial" w:cs="Arial"/>
          <w:color w:val="000000" w:themeColor="text1"/>
          <w:lang w:val="en-IN"/>
        </w:rPr>
        <w:t xml:space="preserve"> Targeting Business Credit Card holders enables focused intervention, preventing severe delinquency and reducing charge-offs. This proactive approach improves portfolio health and fosters better customer relationships.</w:t>
      </w:r>
    </w:p>
    <w:p w14:paraId="18017CBC" w14:textId="77777777" w:rsidR="007562AC" w:rsidRPr="007562AC" w:rsidRDefault="007562AC" w:rsidP="007562AC">
      <w:pPr>
        <w:rPr>
          <w:rFonts w:ascii="Arial" w:hAnsi="Arial" w:cs="Arial"/>
          <w:b/>
          <w:bCs/>
          <w:color w:val="000000" w:themeColor="text1"/>
          <w:lang w:val="en-IN"/>
        </w:rPr>
      </w:pPr>
      <w:r w:rsidRPr="007562AC">
        <w:rPr>
          <w:rFonts w:ascii="Arial" w:hAnsi="Arial" w:cs="Arial"/>
          <w:b/>
          <w:bCs/>
          <w:color w:val="000000" w:themeColor="text1"/>
          <w:lang w:val="en-IN"/>
        </w:rPr>
        <w:t>3. Ethical and Responsible AI Considerations</w:t>
      </w:r>
    </w:p>
    <w:p w14:paraId="0C1B0A0C" w14:textId="77777777" w:rsidR="007562AC" w:rsidRPr="007562AC" w:rsidRDefault="007562AC" w:rsidP="007562AC">
      <w:pPr>
        <w:rPr>
          <w:rFonts w:ascii="Arial" w:hAnsi="Arial" w:cs="Arial"/>
          <w:color w:val="000000" w:themeColor="text1"/>
          <w:lang w:val="en-IN"/>
        </w:rPr>
      </w:pPr>
      <w:r w:rsidRPr="007562AC">
        <w:rPr>
          <w:rFonts w:ascii="Arial" w:hAnsi="Arial" w:cs="Arial"/>
          <w:color w:val="000000" w:themeColor="text1"/>
          <w:lang w:val="en-IN"/>
        </w:rPr>
        <w:t>Ethical considerations for responsible AI deployment include:</w:t>
      </w:r>
    </w:p>
    <w:p w14:paraId="045D285C" w14:textId="77777777" w:rsidR="007562AC" w:rsidRPr="007562AC" w:rsidRDefault="007562AC" w:rsidP="007562AC">
      <w:pPr>
        <w:rPr>
          <w:rFonts w:ascii="Arial" w:hAnsi="Arial" w:cs="Arial"/>
          <w:color w:val="000000" w:themeColor="text1"/>
          <w:lang w:val="en-IN"/>
        </w:rPr>
      </w:pPr>
      <w:r w:rsidRPr="007562AC">
        <w:rPr>
          <w:rFonts w:ascii="Arial" w:hAnsi="Arial" w:cs="Arial"/>
          <w:b/>
          <w:bCs/>
          <w:color w:val="000000" w:themeColor="text1"/>
          <w:lang w:val="en-IN"/>
        </w:rPr>
        <w:t>Fairness Risks and Mitigation Strategies:</w:t>
      </w:r>
    </w:p>
    <w:p w14:paraId="04E1F52B" w14:textId="77777777" w:rsidR="007562AC" w:rsidRPr="007562AC" w:rsidRDefault="007562AC" w:rsidP="007562AC">
      <w:pPr>
        <w:numPr>
          <w:ilvl w:val="0"/>
          <w:numId w:val="12"/>
        </w:numPr>
        <w:rPr>
          <w:rFonts w:ascii="Arial" w:hAnsi="Arial" w:cs="Arial"/>
          <w:color w:val="000000" w:themeColor="text1"/>
          <w:lang w:val="en-IN"/>
        </w:rPr>
      </w:pPr>
      <w:r w:rsidRPr="007562AC">
        <w:rPr>
          <w:rFonts w:ascii="Arial" w:hAnsi="Arial" w:cs="Arial"/>
          <w:b/>
          <w:bCs/>
          <w:color w:val="000000" w:themeColor="text1"/>
          <w:lang w:val="en-IN"/>
        </w:rPr>
        <w:t>Bias in Data (Employment Status):</w:t>
      </w:r>
    </w:p>
    <w:p w14:paraId="6B871862" w14:textId="77777777" w:rsidR="007562AC" w:rsidRPr="007562AC" w:rsidRDefault="007562AC" w:rsidP="007562AC">
      <w:pPr>
        <w:numPr>
          <w:ilvl w:val="1"/>
          <w:numId w:val="12"/>
        </w:numPr>
        <w:rPr>
          <w:rFonts w:ascii="Arial" w:hAnsi="Arial" w:cs="Arial"/>
          <w:color w:val="000000" w:themeColor="text1"/>
          <w:lang w:val="en-IN"/>
        </w:rPr>
      </w:pPr>
      <w:r w:rsidRPr="007562AC">
        <w:rPr>
          <w:rFonts w:ascii="Arial" w:hAnsi="Arial" w:cs="Arial"/>
          <w:b/>
          <w:bCs/>
          <w:color w:val="000000" w:themeColor="text1"/>
          <w:lang w:val="en-IN"/>
        </w:rPr>
        <w:t>Risk:</w:t>
      </w:r>
      <w:r w:rsidRPr="007562AC">
        <w:rPr>
          <w:rFonts w:ascii="Arial" w:hAnsi="Arial" w:cs="Arial"/>
          <w:color w:val="000000" w:themeColor="text1"/>
          <w:lang w:val="en-IN"/>
        </w:rPr>
        <w:t xml:space="preserve"> Overly punitive actions for unemployed individuals may exacerbate hardship and perpetuate biases.</w:t>
      </w:r>
    </w:p>
    <w:p w14:paraId="38BF566C" w14:textId="77777777" w:rsidR="007562AC" w:rsidRPr="007562AC" w:rsidRDefault="007562AC" w:rsidP="007562AC">
      <w:pPr>
        <w:numPr>
          <w:ilvl w:val="1"/>
          <w:numId w:val="12"/>
        </w:numPr>
        <w:rPr>
          <w:rFonts w:ascii="Arial" w:hAnsi="Arial" w:cs="Arial"/>
          <w:color w:val="000000" w:themeColor="text1"/>
          <w:lang w:val="en-IN"/>
        </w:rPr>
      </w:pPr>
      <w:r w:rsidRPr="007562AC">
        <w:rPr>
          <w:rFonts w:ascii="Arial" w:hAnsi="Arial" w:cs="Arial"/>
          <w:b/>
          <w:bCs/>
          <w:color w:val="000000" w:themeColor="text1"/>
          <w:lang w:val="en-IN"/>
        </w:rPr>
        <w:t>Mitigation:</w:t>
      </w:r>
      <w:r w:rsidRPr="007562AC">
        <w:rPr>
          <w:rFonts w:ascii="Arial" w:hAnsi="Arial" w:cs="Arial"/>
          <w:color w:val="000000" w:themeColor="text1"/>
          <w:lang w:val="en-IN"/>
        </w:rPr>
        <w:t xml:space="preserve"> Conduct fairness audits across demographic groups. Ensure interventions are supportive (e.g., payment plans, counseling) rather than solely punitive.</w:t>
      </w:r>
    </w:p>
    <w:p w14:paraId="1F633997" w14:textId="77777777" w:rsidR="007562AC" w:rsidRPr="007562AC" w:rsidRDefault="007562AC" w:rsidP="007562AC">
      <w:pPr>
        <w:numPr>
          <w:ilvl w:val="0"/>
          <w:numId w:val="12"/>
        </w:numPr>
        <w:rPr>
          <w:rFonts w:ascii="Arial" w:hAnsi="Arial" w:cs="Arial"/>
          <w:color w:val="000000" w:themeColor="text1"/>
          <w:lang w:val="en-IN"/>
        </w:rPr>
      </w:pPr>
      <w:r w:rsidRPr="007562AC">
        <w:rPr>
          <w:rFonts w:ascii="Arial" w:hAnsi="Arial" w:cs="Arial"/>
          <w:b/>
          <w:bCs/>
          <w:color w:val="000000" w:themeColor="text1"/>
          <w:lang w:val="en-IN"/>
        </w:rPr>
        <w:t>Model Explainability:</w:t>
      </w:r>
    </w:p>
    <w:p w14:paraId="3CA50CDA" w14:textId="77777777" w:rsidR="007562AC" w:rsidRPr="007562AC" w:rsidRDefault="007562AC" w:rsidP="007562AC">
      <w:pPr>
        <w:numPr>
          <w:ilvl w:val="1"/>
          <w:numId w:val="12"/>
        </w:numPr>
        <w:rPr>
          <w:rFonts w:ascii="Arial" w:hAnsi="Arial" w:cs="Arial"/>
          <w:color w:val="000000" w:themeColor="text1"/>
          <w:lang w:val="en-IN"/>
        </w:rPr>
      </w:pPr>
      <w:r w:rsidRPr="007562AC">
        <w:rPr>
          <w:rFonts w:ascii="Arial" w:hAnsi="Arial" w:cs="Arial"/>
          <w:b/>
          <w:bCs/>
          <w:color w:val="000000" w:themeColor="text1"/>
          <w:lang w:val="en-IN"/>
        </w:rPr>
        <w:t>Risk:</w:t>
      </w:r>
      <w:r w:rsidRPr="007562AC">
        <w:rPr>
          <w:rFonts w:ascii="Arial" w:hAnsi="Arial" w:cs="Arial"/>
          <w:color w:val="000000" w:themeColor="text1"/>
          <w:lang w:val="en-IN"/>
        </w:rPr>
        <w:t xml:space="preserve"> Gradient Boosting models can be opaque, hindering trust and justification of decisions.</w:t>
      </w:r>
    </w:p>
    <w:p w14:paraId="22EAED79" w14:textId="77777777" w:rsidR="007562AC" w:rsidRPr="007562AC" w:rsidRDefault="007562AC" w:rsidP="007562AC">
      <w:pPr>
        <w:numPr>
          <w:ilvl w:val="1"/>
          <w:numId w:val="12"/>
        </w:numPr>
        <w:rPr>
          <w:rFonts w:ascii="Arial" w:hAnsi="Arial" w:cs="Arial"/>
          <w:color w:val="000000" w:themeColor="text1"/>
          <w:lang w:val="en-IN"/>
        </w:rPr>
      </w:pPr>
      <w:r w:rsidRPr="007562AC">
        <w:rPr>
          <w:rFonts w:ascii="Arial" w:hAnsi="Arial" w:cs="Arial"/>
          <w:b/>
          <w:bCs/>
          <w:color w:val="000000" w:themeColor="text1"/>
          <w:lang w:val="en-IN"/>
        </w:rPr>
        <w:t>Mitigation:</w:t>
      </w:r>
      <w:r w:rsidRPr="007562AC">
        <w:rPr>
          <w:rFonts w:ascii="Arial" w:hAnsi="Arial" w:cs="Arial"/>
          <w:color w:val="000000" w:themeColor="text1"/>
          <w:lang w:val="en-IN"/>
        </w:rPr>
        <w:t xml:space="preserve"> Focus on </w:t>
      </w:r>
      <w:r w:rsidRPr="007562AC">
        <w:rPr>
          <w:rFonts w:ascii="Arial" w:hAnsi="Arial" w:cs="Arial"/>
          <w:b/>
          <w:bCs/>
          <w:color w:val="000000" w:themeColor="text1"/>
          <w:lang w:val="en-IN"/>
        </w:rPr>
        <w:t>feature importance</w:t>
      </w:r>
      <w:r w:rsidRPr="007562AC">
        <w:rPr>
          <w:rFonts w:ascii="Arial" w:hAnsi="Arial" w:cs="Arial"/>
          <w:color w:val="000000" w:themeColor="text1"/>
          <w:lang w:val="en-IN"/>
        </w:rPr>
        <w:t xml:space="preserve"> (e.g., "top reasons for risk") and </w:t>
      </w:r>
      <w:r w:rsidRPr="007562AC">
        <w:rPr>
          <w:rFonts w:ascii="Arial" w:hAnsi="Arial" w:cs="Arial"/>
          <w:b/>
          <w:bCs/>
          <w:color w:val="000000" w:themeColor="text1"/>
          <w:lang w:val="en-IN"/>
        </w:rPr>
        <w:t>counterfactual explanations</w:t>
      </w:r>
      <w:r w:rsidRPr="007562AC">
        <w:rPr>
          <w:rFonts w:ascii="Arial" w:hAnsi="Arial" w:cs="Arial"/>
          <w:color w:val="000000" w:themeColor="text1"/>
          <w:lang w:val="en-IN"/>
        </w:rPr>
        <w:t xml:space="preserve"> (e.g., "risk reduced if payments were on-time") for non-technical stakeholders.</w:t>
      </w:r>
    </w:p>
    <w:p w14:paraId="29A5127A" w14:textId="77777777" w:rsidR="007562AC" w:rsidRPr="007562AC" w:rsidRDefault="007562AC" w:rsidP="007562AC">
      <w:pPr>
        <w:rPr>
          <w:rFonts w:ascii="Arial" w:hAnsi="Arial" w:cs="Arial"/>
          <w:color w:val="000000" w:themeColor="text1"/>
          <w:lang w:val="en-IN"/>
        </w:rPr>
      </w:pPr>
      <w:r w:rsidRPr="007562AC">
        <w:rPr>
          <w:rFonts w:ascii="Arial" w:hAnsi="Arial" w:cs="Arial"/>
          <w:b/>
          <w:bCs/>
          <w:color w:val="000000" w:themeColor="text1"/>
          <w:lang w:val="en-IN"/>
        </w:rPr>
        <w:t>Promoting Responsible and Transparent AI Use:</w:t>
      </w:r>
      <w:r w:rsidRPr="007562AC">
        <w:rPr>
          <w:rFonts w:ascii="Arial" w:hAnsi="Arial" w:cs="Arial"/>
          <w:color w:val="000000" w:themeColor="text1"/>
          <w:lang w:val="en-IN"/>
        </w:rPr>
        <w:t xml:space="preserve"> Our approach integrates ethics, prioritizing transparency through clear explanations. We ensure human oversight, using AI predictions to inform, not replace, empathetic practices. Regular monitoring of model performance and bias metrics will ensure ongoing fairness and alignment with Geldium’s ethical guidelines.</w:t>
      </w:r>
    </w:p>
    <w:p w14:paraId="5913FBAE" w14:textId="77777777" w:rsidR="007562AC" w:rsidRPr="007562AC" w:rsidRDefault="007562AC">
      <w:pPr>
        <w:rPr>
          <w:rFonts w:ascii="Arial" w:hAnsi="Arial" w:cs="Arial"/>
          <w:color w:val="000000" w:themeColor="text1"/>
          <w:lang w:val="en-IN"/>
        </w:rPr>
      </w:pPr>
    </w:p>
    <w:sectPr w:rsidR="007562AC" w:rsidRPr="007562AC"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942B5" w14:textId="77777777" w:rsidR="0030748B" w:rsidRDefault="0030748B" w:rsidP="003D7617">
      <w:pPr>
        <w:spacing w:after="0" w:line="240" w:lineRule="auto"/>
      </w:pPr>
      <w:r>
        <w:separator/>
      </w:r>
    </w:p>
  </w:endnote>
  <w:endnote w:type="continuationSeparator" w:id="0">
    <w:p w14:paraId="246D10D2" w14:textId="77777777" w:rsidR="0030748B" w:rsidRDefault="0030748B" w:rsidP="003D76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10044" w14:textId="77777777" w:rsidR="0030748B" w:rsidRDefault="0030748B" w:rsidP="003D7617">
      <w:pPr>
        <w:spacing w:after="0" w:line="240" w:lineRule="auto"/>
      </w:pPr>
      <w:r>
        <w:separator/>
      </w:r>
    </w:p>
  </w:footnote>
  <w:footnote w:type="continuationSeparator" w:id="0">
    <w:p w14:paraId="3F6122EC" w14:textId="77777777" w:rsidR="0030748B" w:rsidRDefault="0030748B" w:rsidP="003D76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B409C6"/>
    <w:multiLevelType w:val="multilevel"/>
    <w:tmpl w:val="302C8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7608A8"/>
    <w:multiLevelType w:val="multilevel"/>
    <w:tmpl w:val="948C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262C93"/>
    <w:multiLevelType w:val="multilevel"/>
    <w:tmpl w:val="76ECC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9674117">
    <w:abstractNumId w:val="8"/>
  </w:num>
  <w:num w:numId="2" w16cid:durableId="1801531605">
    <w:abstractNumId w:val="6"/>
  </w:num>
  <w:num w:numId="3" w16cid:durableId="486094038">
    <w:abstractNumId w:val="5"/>
  </w:num>
  <w:num w:numId="4" w16cid:durableId="255750852">
    <w:abstractNumId w:val="4"/>
  </w:num>
  <w:num w:numId="5" w16cid:durableId="1951626911">
    <w:abstractNumId w:val="7"/>
  </w:num>
  <w:num w:numId="6" w16cid:durableId="1111168920">
    <w:abstractNumId w:val="3"/>
  </w:num>
  <w:num w:numId="7" w16cid:durableId="124276201">
    <w:abstractNumId w:val="2"/>
  </w:num>
  <w:num w:numId="8" w16cid:durableId="1778476411">
    <w:abstractNumId w:val="1"/>
  </w:num>
  <w:num w:numId="9" w16cid:durableId="1111129504">
    <w:abstractNumId w:val="0"/>
  </w:num>
  <w:num w:numId="10" w16cid:durableId="378282581">
    <w:abstractNumId w:val="11"/>
  </w:num>
  <w:num w:numId="11" w16cid:durableId="1609040925">
    <w:abstractNumId w:val="10"/>
  </w:num>
  <w:num w:numId="12" w16cid:durableId="14555625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0B2D"/>
    <w:rsid w:val="0029639D"/>
    <w:rsid w:val="0030748B"/>
    <w:rsid w:val="00326F90"/>
    <w:rsid w:val="003D7617"/>
    <w:rsid w:val="007562AC"/>
    <w:rsid w:val="007D72C2"/>
    <w:rsid w:val="008237CA"/>
    <w:rsid w:val="00A537D1"/>
    <w:rsid w:val="00AA1D8D"/>
    <w:rsid w:val="00B47730"/>
    <w:rsid w:val="00CB0664"/>
    <w:rsid w:val="00DC7E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D4DB5BE"/>
  <w14:defaultImageDpi w14:val="300"/>
  <w15:docId w15:val="{578686E3-F8AA-B641-B7B7-8F5C3F9AF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7D1"/>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A5A5A5"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DDDDD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DDDDD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DDDDD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6E6E6E"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6E6E6E"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DDDDD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A5A5A5"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DDDDD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DDDDDD" w:themeColor="accent1"/>
    </w:rPr>
  </w:style>
  <w:style w:type="paragraph" w:styleId="Title">
    <w:name w:val="Title"/>
    <w:basedOn w:val="Normal"/>
    <w:next w:val="Normal"/>
    <w:link w:val="TitleChar"/>
    <w:uiPriority w:val="10"/>
    <w:qFormat/>
    <w:rsid w:val="00FC693F"/>
    <w:pPr>
      <w:pBdr>
        <w:bottom w:val="single" w:sz="8" w:space="4" w:color="DDDDDD" w:themeColor="accent1"/>
      </w:pBdr>
      <w:spacing w:after="300" w:line="240" w:lineRule="auto"/>
      <w:contextualSpacing/>
    </w:pPr>
    <w:rPr>
      <w:rFonts w:asciiTheme="majorHAnsi" w:eastAsiaTheme="majorEastAsia" w:hAnsiTheme="majorHAnsi" w:cstheme="majorBidi"/>
      <w:color w:val="00000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DDDDD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DDDDD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DDDDD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6E6E6E"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6E6E6E"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DDDDD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DDDDD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DDDDDD" w:themeColor="accent1"/>
      </w:pBdr>
      <w:spacing w:before="200" w:after="280"/>
      <w:ind w:left="936" w:right="936"/>
    </w:pPr>
    <w:rPr>
      <w:b/>
      <w:bCs/>
      <w:i/>
      <w:iCs/>
      <w:color w:val="DDDDDD" w:themeColor="accent1"/>
    </w:rPr>
  </w:style>
  <w:style w:type="character" w:customStyle="1" w:styleId="IntenseQuoteChar">
    <w:name w:val="Intense Quote Char"/>
    <w:basedOn w:val="DefaultParagraphFont"/>
    <w:link w:val="IntenseQuote"/>
    <w:uiPriority w:val="30"/>
    <w:rsid w:val="00FC693F"/>
    <w:rPr>
      <w:b/>
      <w:bCs/>
      <w:i/>
      <w:iCs/>
      <w:color w:val="DDDDD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DDDDDD" w:themeColor="accent1"/>
    </w:rPr>
  </w:style>
  <w:style w:type="character" w:styleId="SubtleReference">
    <w:name w:val="Subtle Reference"/>
    <w:basedOn w:val="DefaultParagraphFont"/>
    <w:uiPriority w:val="31"/>
    <w:qFormat/>
    <w:rsid w:val="00FC693F"/>
    <w:rPr>
      <w:smallCaps/>
      <w:color w:val="B2B2B2" w:themeColor="accent2"/>
      <w:u w:val="single"/>
    </w:rPr>
  </w:style>
  <w:style w:type="character" w:styleId="IntenseReference">
    <w:name w:val="Intense Reference"/>
    <w:basedOn w:val="DefaultParagraphFont"/>
    <w:uiPriority w:val="32"/>
    <w:qFormat/>
    <w:rsid w:val="00FC693F"/>
    <w:rPr>
      <w:b/>
      <w:bCs/>
      <w:smallCaps/>
      <w:color w:val="B2B2B2"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523600">
      <w:bodyDiv w:val="1"/>
      <w:marLeft w:val="0"/>
      <w:marRight w:val="0"/>
      <w:marTop w:val="0"/>
      <w:marBottom w:val="0"/>
      <w:divBdr>
        <w:top w:val="none" w:sz="0" w:space="0" w:color="auto"/>
        <w:left w:val="none" w:sz="0" w:space="0" w:color="auto"/>
        <w:bottom w:val="none" w:sz="0" w:space="0" w:color="auto"/>
        <w:right w:val="none" w:sz="0" w:space="0" w:color="auto"/>
      </w:divBdr>
    </w:div>
    <w:div w:id="197015976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442</Words>
  <Characters>2521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abhishek arya</cp:lastModifiedBy>
  <cp:revision>3</cp:revision>
  <dcterms:created xsi:type="dcterms:W3CDTF">2025-06-19T16:09:00Z</dcterms:created>
  <dcterms:modified xsi:type="dcterms:W3CDTF">2026-01-30T08:38:00Z</dcterms:modified>
  <cp:category/>
</cp:coreProperties>
</file>