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SIMTO-RQ-05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11/02/2020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el módulo de inventarios para gestionar y sistematizar la información y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y sistematizar de la información, control y procesos de los inventarios de las cigarrerías.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información para  gestionar y controlar los inventarios.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inventarios de ningún tipo y los registros se realizan manual.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inventario debe permitir al usuario, crear, inactivar, actualizar, listar y consultarlal existencia de productos y notificar.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control de 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notificación de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 inventario.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los inventarios.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los inventarios.</w:t>
                  </w:r>
                </w:p>
                <w:p w:rsidR="00000000" w:rsidDel="00000000" w:rsidP="00000000" w:rsidRDefault="00000000" w:rsidRPr="00000000" w14:paraId="0000007F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categoría en el inventario.</w:t>
                  </w:r>
                </w:p>
                <w:p w:rsidR="00000000" w:rsidDel="00000000" w:rsidP="00000000" w:rsidRDefault="00000000" w:rsidRPr="00000000" w14:paraId="0000008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inventario descritas en el anterior apartado (1),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8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productos en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producto en el inventario..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de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Notificación de los inventarios, (existencia de productos)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ubicación de productos en los inventarios.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A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inventario al sistema para registrar en la base de datos.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producto en el inventario que está fuera de servicio.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los inventarios.</w:t>
                  </w:r>
                </w:p>
                <w:p w:rsidR="00000000" w:rsidDel="00000000" w:rsidP="00000000" w:rsidRDefault="00000000" w:rsidRPr="00000000" w14:paraId="000000A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los productos en el inventario,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3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4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b5RxisOeeIv274PxLvHFoTE7A==">AMUW2mVIy+3uTHyUj14fMqHOcrIgLy1QB9288vHHGptFOU5dYnUluLY7IjY+sB/bo0rK3j7EXwOoHdHn34c4IdkuR8b0kFqVCXA9j2JVlRTiXWPSkBA7e7YNczEndUB/8OmmFg+Vm3ln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