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79325" w14:textId="77777777" w:rsidR="00061F9A" w:rsidRPr="006122AB" w:rsidRDefault="00061F9A" w:rsidP="00061F9A">
      <w:pPr>
        <w:rPr>
          <w:b/>
          <w:bCs/>
        </w:rPr>
      </w:pPr>
      <w:r w:rsidRPr="006122AB">
        <w:rPr>
          <w:b/>
          <w:bCs/>
        </w:rPr>
        <w:t xml:space="preserve">Stakeholder Analysis Report: </w:t>
      </w:r>
      <w:proofErr w:type="spellStart"/>
      <w:r w:rsidRPr="006122AB">
        <w:rPr>
          <w:b/>
          <w:bCs/>
        </w:rPr>
        <w:t>AutoPrice</w:t>
      </w:r>
      <w:proofErr w:type="spellEnd"/>
      <w:r w:rsidRPr="006122AB">
        <w:rPr>
          <w:b/>
          <w:bCs/>
        </w:rPr>
        <w:t xml:space="preserve"> AI</w:t>
      </w:r>
    </w:p>
    <w:p w14:paraId="10A4D606" w14:textId="77777777" w:rsidR="00061F9A" w:rsidRPr="006122AB" w:rsidRDefault="00061F9A" w:rsidP="00061F9A">
      <w:r>
        <w:pict w14:anchorId="65544054">
          <v:rect id="_x0000_i1025" style="width:0;height:.75pt" o:hralign="center" o:hrstd="t" o:hr="t" fillcolor="#a0a0a0" stroked="f"/>
        </w:pict>
      </w:r>
    </w:p>
    <w:p w14:paraId="1EB36718" w14:textId="77777777" w:rsidR="00061F9A" w:rsidRPr="006122AB" w:rsidRDefault="00061F9A" w:rsidP="00061F9A">
      <w:pPr>
        <w:rPr>
          <w:b/>
          <w:bCs/>
        </w:rPr>
      </w:pPr>
      <w:r w:rsidRPr="006122AB">
        <w:rPr>
          <w:b/>
          <w:bCs/>
        </w:rPr>
        <w:t>Executive Summary</w:t>
      </w:r>
    </w:p>
    <w:p w14:paraId="6386BF0F" w14:textId="77777777" w:rsidR="00061F9A" w:rsidRPr="006122AB" w:rsidRDefault="00061F9A" w:rsidP="00061F9A">
      <w:proofErr w:type="spellStart"/>
      <w:r w:rsidRPr="006122AB">
        <w:t>AutoPrice</w:t>
      </w:r>
      <w:proofErr w:type="spellEnd"/>
      <w:r w:rsidRPr="006122AB">
        <w:t xml:space="preserve"> AI is a data-driven used vehicle price prediction system specifically optimized for European markets, incorporating environmental and regulatory factors. This stakeholder analysis aims to identify, prioritize, and develop engagement strategies for all parties impacted by this solution. Success requires navigating a complex ecosystem of individual users, commercial entities, and regulatory considerations. The analysis provides actionable insights for product development, go-to-market strategy, and risk mitigation in the competitive automotive pricing intelligence landscape.</w:t>
      </w:r>
    </w:p>
    <w:p w14:paraId="435C9D42" w14:textId="77777777" w:rsidR="00061F9A" w:rsidRPr="006122AB" w:rsidRDefault="00061F9A" w:rsidP="00061F9A">
      <w:pPr>
        <w:rPr>
          <w:b/>
          <w:bCs/>
        </w:rPr>
      </w:pPr>
      <w:r w:rsidRPr="006122AB">
        <w:rPr>
          <w:b/>
          <w:bCs/>
        </w:rPr>
        <w:t>1.0 Introduction and Methodology</w:t>
      </w:r>
    </w:p>
    <w:p w14:paraId="5309BBA7" w14:textId="77777777" w:rsidR="00061F9A" w:rsidRPr="006122AB" w:rsidRDefault="00061F9A" w:rsidP="00061F9A">
      <w:r w:rsidRPr="006122AB">
        <w:t xml:space="preserve">The European used vehicle market suffers from pricing opacity and inconsistency, exacerbated by varying emission regulations and market fragmentation. </w:t>
      </w:r>
      <w:proofErr w:type="spellStart"/>
      <w:r w:rsidRPr="006122AB">
        <w:t>AutoPrice</w:t>
      </w:r>
      <w:proofErr w:type="spellEnd"/>
      <w:r w:rsidRPr="006122AB">
        <w:t xml:space="preserve"> AI addresses this by providing transparent, regulation-aware pricing intelligence. This analysis systematically examines stakeholders using:</w:t>
      </w:r>
    </w:p>
    <w:p w14:paraId="3770C4DE" w14:textId="77777777" w:rsidR="00061F9A" w:rsidRPr="006122AB" w:rsidRDefault="00061F9A" w:rsidP="00061F9A">
      <w:pPr>
        <w:numPr>
          <w:ilvl w:val="0"/>
          <w:numId w:val="1"/>
        </w:numPr>
      </w:pPr>
      <w:r w:rsidRPr="006122AB">
        <w:rPr>
          <w:b/>
          <w:bCs/>
        </w:rPr>
        <w:t>Identification:</w:t>
      </w:r>
      <w:r w:rsidRPr="006122AB">
        <w:t> Cataloging all entities affected by or influencing the product</w:t>
      </w:r>
    </w:p>
    <w:p w14:paraId="7C3D5242" w14:textId="77777777" w:rsidR="00061F9A" w:rsidRPr="006122AB" w:rsidRDefault="00061F9A" w:rsidP="00061F9A">
      <w:pPr>
        <w:numPr>
          <w:ilvl w:val="0"/>
          <w:numId w:val="1"/>
        </w:numPr>
      </w:pPr>
      <w:r w:rsidRPr="006122AB">
        <w:rPr>
          <w:b/>
          <w:bCs/>
        </w:rPr>
        <w:t>Categorization:</w:t>
      </w:r>
      <w:r w:rsidRPr="006122AB">
        <w:t> Mapping stakeholders by influence, interest, support, and impact</w:t>
      </w:r>
    </w:p>
    <w:p w14:paraId="5789B778" w14:textId="77777777" w:rsidR="00061F9A" w:rsidRPr="006122AB" w:rsidRDefault="00061F9A" w:rsidP="00061F9A">
      <w:pPr>
        <w:numPr>
          <w:ilvl w:val="0"/>
          <w:numId w:val="1"/>
        </w:numPr>
      </w:pPr>
      <w:r w:rsidRPr="006122AB">
        <w:rPr>
          <w:b/>
          <w:bCs/>
        </w:rPr>
        <w:t>Strategy Development:</w:t>
      </w:r>
      <w:r w:rsidRPr="006122AB">
        <w:t> Creating tailored engagement approaches</w:t>
      </w:r>
    </w:p>
    <w:p w14:paraId="59505C6C" w14:textId="77777777" w:rsidR="00061F9A" w:rsidRPr="006122AB" w:rsidRDefault="00061F9A" w:rsidP="00061F9A">
      <w:r w:rsidRPr="006122AB">
        <w:t>Primary analytical tools include the Influence-Interest Matrix and Support-Impact Matrix.</w:t>
      </w:r>
    </w:p>
    <w:p w14:paraId="7AF66F4D" w14:textId="77777777" w:rsidR="00061F9A" w:rsidRPr="006122AB" w:rsidRDefault="00061F9A" w:rsidP="00061F9A">
      <w:pPr>
        <w:rPr>
          <w:b/>
          <w:bCs/>
        </w:rPr>
      </w:pPr>
      <w:r w:rsidRPr="006122AB">
        <w:rPr>
          <w:b/>
          <w:bCs/>
        </w:rPr>
        <w:t>2.0 Stakeholder Identification and Categorization</w:t>
      </w:r>
    </w:p>
    <w:p w14:paraId="5B18D588" w14:textId="77777777" w:rsidR="00061F9A" w:rsidRPr="006122AB" w:rsidRDefault="00061F9A" w:rsidP="00061F9A">
      <w:pPr>
        <w:rPr>
          <w:b/>
          <w:bCs/>
        </w:rPr>
      </w:pPr>
      <w:r w:rsidRPr="006122AB">
        <w:rPr>
          <w:b/>
          <w:bCs/>
        </w:rPr>
        <w:t>Table 1: Internal Stakeholders</w:t>
      </w:r>
    </w:p>
    <w:tbl>
      <w:tblPr>
        <w:tblStyle w:val="GridTable5Dark-Accent4"/>
        <w:tblW w:w="10609" w:type="dxa"/>
        <w:tblLook w:val="04A0" w:firstRow="1" w:lastRow="0" w:firstColumn="1" w:lastColumn="0" w:noHBand="0" w:noVBand="1"/>
      </w:tblPr>
      <w:tblGrid>
        <w:gridCol w:w="2947"/>
        <w:gridCol w:w="7662"/>
      </w:tblGrid>
      <w:tr w:rsidR="00061F9A" w:rsidRPr="006122AB" w14:paraId="106A2AB1" w14:textId="77777777" w:rsidTr="00DC719E">
        <w:trPr>
          <w:cnfStyle w:val="100000000000" w:firstRow="1" w:lastRow="0" w:firstColumn="0" w:lastColumn="0" w:oddVBand="0" w:evenVBand="0" w:oddHBand="0" w:evenHBand="0" w:firstRowFirstColumn="0" w:firstRowLastColumn="0" w:lastRowFirstColumn="0" w:lastRowLastColumn="0"/>
          <w:trHeight w:val="503"/>
        </w:trPr>
        <w:tc>
          <w:tcPr>
            <w:cnfStyle w:val="001000000000" w:firstRow="0" w:lastRow="0" w:firstColumn="1" w:lastColumn="0" w:oddVBand="0" w:evenVBand="0" w:oddHBand="0" w:evenHBand="0" w:firstRowFirstColumn="0" w:firstRowLastColumn="0" w:lastRowFirstColumn="0" w:lastRowLastColumn="0"/>
            <w:tcW w:w="0" w:type="auto"/>
            <w:hideMark/>
          </w:tcPr>
          <w:p w14:paraId="62C4A649" w14:textId="77777777" w:rsidR="00061F9A" w:rsidRPr="006122AB" w:rsidRDefault="00061F9A" w:rsidP="00DC719E">
            <w:pPr>
              <w:spacing w:after="160" w:line="278" w:lineRule="auto"/>
            </w:pPr>
            <w:r w:rsidRPr="006122AB">
              <w:t>Stakeholder Group</w:t>
            </w:r>
          </w:p>
        </w:tc>
        <w:tc>
          <w:tcPr>
            <w:tcW w:w="0" w:type="auto"/>
            <w:hideMark/>
          </w:tcPr>
          <w:p w14:paraId="2D2C1D3B" w14:textId="77777777" w:rsidR="00061F9A" w:rsidRPr="006122AB" w:rsidRDefault="00061F9A" w:rsidP="00DC719E">
            <w:pPr>
              <w:spacing w:after="160" w:line="278" w:lineRule="auto"/>
              <w:cnfStyle w:val="100000000000" w:firstRow="1" w:lastRow="0" w:firstColumn="0" w:lastColumn="0" w:oddVBand="0" w:evenVBand="0" w:oddHBand="0" w:evenHBand="0" w:firstRowFirstColumn="0" w:firstRowLastColumn="0" w:lastRowFirstColumn="0" w:lastRowLastColumn="0"/>
            </w:pPr>
            <w:r w:rsidRPr="006122AB">
              <w:t>Primary Interests &amp; Concerns</w:t>
            </w:r>
          </w:p>
        </w:tc>
      </w:tr>
      <w:tr w:rsidR="00061F9A" w:rsidRPr="006122AB" w14:paraId="4777E4CB" w14:textId="77777777" w:rsidTr="00DC719E">
        <w:trPr>
          <w:cnfStyle w:val="000000100000" w:firstRow="0" w:lastRow="0" w:firstColumn="0" w:lastColumn="0" w:oddVBand="0" w:evenVBand="0" w:oddHBand="1" w:evenHBand="0" w:firstRowFirstColumn="0" w:firstRowLastColumn="0" w:lastRowFirstColumn="0" w:lastRowLastColumn="0"/>
          <w:trHeight w:val="845"/>
        </w:trPr>
        <w:tc>
          <w:tcPr>
            <w:cnfStyle w:val="001000000000" w:firstRow="0" w:lastRow="0" w:firstColumn="1" w:lastColumn="0" w:oddVBand="0" w:evenVBand="0" w:oddHBand="0" w:evenHBand="0" w:firstRowFirstColumn="0" w:firstRowLastColumn="0" w:lastRowFirstColumn="0" w:lastRowLastColumn="0"/>
            <w:tcW w:w="0" w:type="auto"/>
            <w:hideMark/>
          </w:tcPr>
          <w:p w14:paraId="53F47C00" w14:textId="77777777" w:rsidR="00061F9A" w:rsidRPr="006122AB" w:rsidRDefault="00061F9A" w:rsidP="00DC719E">
            <w:pPr>
              <w:spacing w:after="160" w:line="278" w:lineRule="auto"/>
            </w:pPr>
            <w:r w:rsidRPr="006122AB">
              <w:t>Executive Leadership / Investors</w:t>
            </w:r>
          </w:p>
        </w:tc>
        <w:tc>
          <w:tcPr>
            <w:tcW w:w="0" w:type="auto"/>
            <w:hideMark/>
          </w:tcPr>
          <w:p w14:paraId="6545F293" w14:textId="77777777" w:rsidR="00061F9A" w:rsidRPr="006122AB" w:rsidRDefault="00061F9A" w:rsidP="00DC719E">
            <w:pPr>
              <w:spacing w:after="160" w:line="278" w:lineRule="auto"/>
              <w:cnfStyle w:val="000000100000" w:firstRow="0" w:lastRow="0" w:firstColumn="0" w:lastColumn="0" w:oddVBand="0" w:evenVBand="0" w:oddHBand="1" w:evenHBand="0" w:firstRowFirstColumn="0" w:firstRowLastColumn="0" w:lastRowFirstColumn="0" w:lastRowLastColumn="0"/>
            </w:pPr>
            <w:r w:rsidRPr="006122AB">
              <w:t>Market penetration in Europe, revenue growth, competitive positioning, regulatory compliance, scalability</w:t>
            </w:r>
          </w:p>
        </w:tc>
      </w:tr>
      <w:tr w:rsidR="00061F9A" w:rsidRPr="006122AB" w14:paraId="230D78F5" w14:textId="77777777" w:rsidTr="00DC719E">
        <w:trPr>
          <w:trHeight w:val="845"/>
        </w:trPr>
        <w:tc>
          <w:tcPr>
            <w:cnfStyle w:val="001000000000" w:firstRow="0" w:lastRow="0" w:firstColumn="1" w:lastColumn="0" w:oddVBand="0" w:evenVBand="0" w:oddHBand="0" w:evenHBand="0" w:firstRowFirstColumn="0" w:firstRowLastColumn="0" w:lastRowFirstColumn="0" w:lastRowLastColumn="0"/>
            <w:tcW w:w="0" w:type="auto"/>
            <w:hideMark/>
          </w:tcPr>
          <w:p w14:paraId="5D910F18" w14:textId="77777777" w:rsidR="00061F9A" w:rsidRPr="006122AB" w:rsidRDefault="00061F9A" w:rsidP="00DC719E">
            <w:pPr>
              <w:spacing w:after="160" w:line="278" w:lineRule="auto"/>
            </w:pPr>
            <w:r w:rsidRPr="006122AB">
              <w:t>Product Management &amp; Development</w:t>
            </w:r>
          </w:p>
        </w:tc>
        <w:tc>
          <w:tcPr>
            <w:tcW w:w="0" w:type="auto"/>
            <w:hideMark/>
          </w:tcPr>
          <w:p w14:paraId="20FCF346" w14:textId="77777777" w:rsidR="00061F9A" w:rsidRPr="006122AB" w:rsidRDefault="00061F9A" w:rsidP="00DC719E">
            <w:pPr>
              <w:spacing w:after="160" w:line="278" w:lineRule="auto"/>
              <w:cnfStyle w:val="000000000000" w:firstRow="0" w:lastRow="0" w:firstColumn="0" w:lastColumn="0" w:oddVBand="0" w:evenVBand="0" w:oddHBand="0" w:evenHBand="0" w:firstRowFirstColumn="0" w:firstRowLastColumn="0" w:lastRowFirstColumn="0" w:lastRowLastColumn="0"/>
            </w:pPr>
            <w:r w:rsidRPr="006122AB">
              <w:t>Algorithm accuracy, European market specificity, integration flexibility, data quality, regulatory updates</w:t>
            </w:r>
          </w:p>
        </w:tc>
      </w:tr>
      <w:tr w:rsidR="00061F9A" w:rsidRPr="006122AB" w14:paraId="6D8235F8" w14:textId="77777777" w:rsidTr="00DC719E">
        <w:trPr>
          <w:cnfStyle w:val="000000100000" w:firstRow="0" w:lastRow="0" w:firstColumn="0" w:lastColumn="0" w:oddVBand="0" w:evenVBand="0" w:oddHBand="1" w:evenHBand="0" w:firstRowFirstColumn="0" w:firstRowLastColumn="0" w:lastRowFirstColumn="0" w:lastRowLastColumn="0"/>
          <w:trHeight w:val="845"/>
        </w:trPr>
        <w:tc>
          <w:tcPr>
            <w:cnfStyle w:val="001000000000" w:firstRow="0" w:lastRow="0" w:firstColumn="1" w:lastColumn="0" w:oddVBand="0" w:evenVBand="0" w:oddHBand="0" w:evenHBand="0" w:firstRowFirstColumn="0" w:firstRowLastColumn="0" w:lastRowFirstColumn="0" w:lastRowLastColumn="0"/>
            <w:tcW w:w="0" w:type="auto"/>
            <w:hideMark/>
          </w:tcPr>
          <w:p w14:paraId="56E60F24" w14:textId="77777777" w:rsidR="00061F9A" w:rsidRPr="006122AB" w:rsidRDefault="00061F9A" w:rsidP="00DC719E">
            <w:pPr>
              <w:spacing w:after="160" w:line="278" w:lineRule="auto"/>
            </w:pPr>
            <w:r w:rsidRPr="006122AB">
              <w:t>Sales &amp; Marketing Teams</w:t>
            </w:r>
          </w:p>
        </w:tc>
        <w:tc>
          <w:tcPr>
            <w:tcW w:w="0" w:type="auto"/>
            <w:hideMark/>
          </w:tcPr>
          <w:p w14:paraId="52DFC480" w14:textId="77777777" w:rsidR="00061F9A" w:rsidRPr="006122AB" w:rsidRDefault="00061F9A" w:rsidP="00DC719E">
            <w:pPr>
              <w:spacing w:after="160" w:line="278" w:lineRule="auto"/>
              <w:cnfStyle w:val="000000100000" w:firstRow="0" w:lastRow="0" w:firstColumn="0" w:lastColumn="0" w:oddVBand="0" w:evenVBand="0" w:oddHBand="1" w:evenHBand="0" w:firstRowFirstColumn="0" w:firstRowLastColumn="0" w:lastRowFirstColumn="0" w:lastRowLastColumn="0"/>
            </w:pPr>
            <w:r w:rsidRPr="006122AB">
              <w:t>Clear differentiation from generic pricing tools, target segment identification, commission structure, competitive intelligence</w:t>
            </w:r>
          </w:p>
        </w:tc>
      </w:tr>
      <w:tr w:rsidR="00061F9A" w:rsidRPr="006122AB" w14:paraId="703D9FEF" w14:textId="77777777" w:rsidTr="00DC719E">
        <w:trPr>
          <w:trHeight w:val="845"/>
        </w:trPr>
        <w:tc>
          <w:tcPr>
            <w:cnfStyle w:val="001000000000" w:firstRow="0" w:lastRow="0" w:firstColumn="1" w:lastColumn="0" w:oddVBand="0" w:evenVBand="0" w:oddHBand="0" w:evenHBand="0" w:firstRowFirstColumn="0" w:firstRowLastColumn="0" w:lastRowFirstColumn="0" w:lastRowLastColumn="0"/>
            <w:tcW w:w="0" w:type="auto"/>
            <w:hideMark/>
          </w:tcPr>
          <w:p w14:paraId="375D5245" w14:textId="77777777" w:rsidR="00061F9A" w:rsidRPr="006122AB" w:rsidRDefault="00061F9A" w:rsidP="00DC719E">
            <w:pPr>
              <w:spacing w:after="160" w:line="278" w:lineRule="auto"/>
            </w:pPr>
            <w:r w:rsidRPr="006122AB">
              <w:lastRenderedPageBreak/>
              <w:t>Data Science &amp; Analytics Team</w:t>
            </w:r>
          </w:p>
        </w:tc>
        <w:tc>
          <w:tcPr>
            <w:tcW w:w="0" w:type="auto"/>
            <w:hideMark/>
          </w:tcPr>
          <w:p w14:paraId="1229FF8E" w14:textId="77777777" w:rsidR="00061F9A" w:rsidRPr="006122AB" w:rsidRDefault="00061F9A" w:rsidP="00DC719E">
            <w:pPr>
              <w:spacing w:after="160" w:line="278" w:lineRule="auto"/>
              <w:cnfStyle w:val="000000000000" w:firstRow="0" w:lastRow="0" w:firstColumn="0" w:lastColumn="0" w:oddVBand="0" w:evenVBand="0" w:oddHBand="0" w:evenHBand="0" w:firstRowFirstColumn="0" w:firstRowLastColumn="0" w:lastRowFirstColumn="0" w:lastRowLastColumn="0"/>
            </w:pPr>
            <w:r w:rsidRPr="006122AB">
              <w:t>Model accuracy, feature engineering for European factors, explainability of LLM-based reasoning, data pipeline robustness</w:t>
            </w:r>
          </w:p>
        </w:tc>
      </w:tr>
    </w:tbl>
    <w:p w14:paraId="072D7A41" w14:textId="77777777" w:rsidR="00061F9A" w:rsidRPr="006122AB" w:rsidRDefault="00061F9A" w:rsidP="00061F9A">
      <w:pPr>
        <w:rPr>
          <w:b/>
          <w:bCs/>
        </w:rPr>
      </w:pPr>
      <w:r w:rsidRPr="006122AB">
        <w:rPr>
          <w:b/>
          <w:bCs/>
        </w:rPr>
        <w:t>Table 2: External Stakeholders</w:t>
      </w:r>
    </w:p>
    <w:tbl>
      <w:tblPr>
        <w:tblStyle w:val="GridTable5Dark-Accent4"/>
        <w:tblW w:w="10589" w:type="dxa"/>
        <w:tblLook w:val="04A0" w:firstRow="1" w:lastRow="0" w:firstColumn="1" w:lastColumn="0" w:noHBand="0" w:noVBand="1"/>
      </w:tblPr>
      <w:tblGrid>
        <w:gridCol w:w="4120"/>
        <w:gridCol w:w="6469"/>
      </w:tblGrid>
      <w:tr w:rsidR="00061F9A" w:rsidRPr="006122AB" w14:paraId="6B363C06" w14:textId="77777777" w:rsidTr="00DC719E">
        <w:trPr>
          <w:cnfStyle w:val="100000000000" w:firstRow="1" w:lastRow="0" w:firstColumn="0" w:lastColumn="0" w:oddVBand="0" w:evenVBand="0" w:oddHBand="0" w:evenHBand="0" w:firstRowFirstColumn="0" w:firstRowLastColumn="0" w:lastRowFirstColumn="0" w:lastRowLastColumn="0"/>
          <w:trHeight w:val="501"/>
        </w:trPr>
        <w:tc>
          <w:tcPr>
            <w:cnfStyle w:val="001000000000" w:firstRow="0" w:lastRow="0" w:firstColumn="1" w:lastColumn="0" w:oddVBand="0" w:evenVBand="0" w:oddHBand="0" w:evenHBand="0" w:firstRowFirstColumn="0" w:firstRowLastColumn="0" w:lastRowFirstColumn="0" w:lastRowLastColumn="0"/>
            <w:tcW w:w="0" w:type="auto"/>
            <w:hideMark/>
          </w:tcPr>
          <w:p w14:paraId="76B7CEC6" w14:textId="77777777" w:rsidR="00061F9A" w:rsidRPr="006122AB" w:rsidRDefault="00061F9A" w:rsidP="00DC719E">
            <w:pPr>
              <w:spacing w:after="160" w:line="278" w:lineRule="auto"/>
            </w:pPr>
            <w:r w:rsidRPr="006122AB">
              <w:t>Stakeholder Group</w:t>
            </w:r>
          </w:p>
        </w:tc>
        <w:tc>
          <w:tcPr>
            <w:tcW w:w="0" w:type="auto"/>
            <w:hideMark/>
          </w:tcPr>
          <w:p w14:paraId="048486DB" w14:textId="77777777" w:rsidR="00061F9A" w:rsidRPr="006122AB" w:rsidRDefault="00061F9A" w:rsidP="00DC719E">
            <w:pPr>
              <w:spacing w:after="160" w:line="278" w:lineRule="auto"/>
              <w:cnfStyle w:val="100000000000" w:firstRow="1" w:lastRow="0" w:firstColumn="0" w:lastColumn="0" w:oddVBand="0" w:evenVBand="0" w:oddHBand="0" w:evenHBand="0" w:firstRowFirstColumn="0" w:firstRowLastColumn="0" w:lastRowFirstColumn="0" w:lastRowLastColumn="0"/>
            </w:pPr>
            <w:r w:rsidRPr="006122AB">
              <w:t>Primary Interests &amp; Concerns</w:t>
            </w:r>
          </w:p>
        </w:tc>
      </w:tr>
      <w:tr w:rsidR="00061F9A" w:rsidRPr="006122AB" w14:paraId="4E519AD9" w14:textId="77777777" w:rsidTr="00DC719E">
        <w:trPr>
          <w:cnfStyle w:val="000000100000" w:firstRow="0" w:lastRow="0" w:firstColumn="0" w:lastColumn="0" w:oddVBand="0" w:evenVBand="0" w:oddHBand="1" w:evenHBand="0" w:firstRowFirstColumn="0" w:firstRowLastColumn="0" w:lastRowFirstColumn="0" w:lastRowLastColumn="0"/>
          <w:trHeight w:val="842"/>
        </w:trPr>
        <w:tc>
          <w:tcPr>
            <w:cnfStyle w:val="001000000000" w:firstRow="0" w:lastRow="0" w:firstColumn="1" w:lastColumn="0" w:oddVBand="0" w:evenVBand="0" w:oddHBand="0" w:evenHBand="0" w:firstRowFirstColumn="0" w:firstRowLastColumn="0" w:lastRowFirstColumn="0" w:lastRowLastColumn="0"/>
            <w:tcW w:w="0" w:type="auto"/>
            <w:hideMark/>
          </w:tcPr>
          <w:p w14:paraId="1AA9A26D" w14:textId="77777777" w:rsidR="00061F9A" w:rsidRPr="006122AB" w:rsidRDefault="00061F9A" w:rsidP="00DC719E">
            <w:pPr>
              <w:spacing w:after="160" w:line="278" w:lineRule="auto"/>
            </w:pPr>
            <w:r w:rsidRPr="006122AB">
              <w:t>Primary Users: Dealerships &amp; Sellers</w:t>
            </w:r>
          </w:p>
        </w:tc>
        <w:tc>
          <w:tcPr>
            <w:tcW w:w="0" w:type="auto"/>
            <w:hideMark/>
          </w:tcPr>
          <w:p w14:paraId="78C8E6F7" w14:textId="77777777" w:rsidR="00061F9A" w:rsidRPr="006122AB" w:rsidRDefault="00061F9A" w:rsidP="00DC719E">
            <w:pPr>
              <w:spacing w:after="160" w:line="278" w:lineRule="auto"/>
              <w:cnfStyle w:val="000000100000" w:firstRow="0" w:lastRow="0" w:firstColumn="0" w:lastColumn="0" w:oddVBand="0" w:evenVBand="0" w:oddHBand="1" w:evenHBand="0" w:firstRowFirstColumn="0" w:firstRowLastColumn="0" w:lastRowFirstColumn="0" w:lastRowLastColumn="0"/>
            </w:pPr>
            <w:r w:rsidRPr="006122AB">
              <w:t>Pricing accuracy, ease of integration, time savings, competitive advantage, trust in predictions</w:t>
            </w:r>
          </w:p>
        </w:tc>
      </w:tr>
      <w:tr w:rsidR="00061F9A" w:rsidRPr="006122AB" w14:paraId="78CAE92D" w14:textId="77777777" w:rsidTr="00DC719E">
        <w:trPr>
          <w:trHeight w:val="842"/>
        </w:trPr>
        <w:tc>
          <w:tcPr>
            <w:cnfStyle w:val="001000000000" w:firstRow="0" w:lastRow="0" w:firstColumn="1" w:lastColumn="0" w:oddVBand="0" w:evenVBand="0" w:oddHBand="0" w:evenHBand="0" w:firstRowFirstColumn="0" w:firstRowLastColumn="0" w:lastRowFirstColumn="0" w:lastRowLastColumn="0"/>
            <w:tcW w:w="0" w:type="auto"/>
            <w:hideMark/>
          </w:tcPr>
          <w:p w14:paraId="2BAE6042" w14:textId="77777777" w:rsidR="00061F9A" w:rsidRPr="006122AB" w:rsidRDefault="00061F9A" w:rsidP="00DC719E">
            <w:pPr>
              <w:spacing w:after="160" w:line="278" w:lineRule="auto"/>
            </w:pPr>
            <w:r w:rsidRPr="006122AB">
              <w:t>Economic Buyers: Fleet Managers &amp; Marketplace Platforms</w:t>
            </w:r>
          </w:p>
        </w:tc>
        <w:tc>
          <w:tcPr>
            <w:tcW w:w="0" w:type="auto"/>
            <w:hideMark/>
          </w:tcPr>
          <w:p w14:paraId="5BAF8D41" w14:textId="77777777" w:rsidR="00061F9A" w:rsidRPr="006122AB" w:rsidRDefault="00061F9A" w:rsidP="00DC719E">
            <w:pPr>
              <w:spacing w:after="160" w:line="278" w:lineRule="auto"/>
              <w:cnfStyle w:val="000000000000" w:firstRow="0" w:lastRow="0" w:firstColumn="0" w:lastColumn="0" w:oddVBand="0" w:evenVBand="0" w:oddHBand="0" w:evenHBand="0" w:firstRowFirstColumn="0" w:firstRowLastColumn="0" w:lastRowFirstColumn="0" w:lastRowLastColumn="0"/>
            </w:pPr>
            <w:r w:rsidRPr="006122AB">
              <w:t>Cost savings, operational efficiency, integration with existing systems, ROI, data reliability</w:t>
            </w:r>
          </w:p>
        </w:tc>
      </w:tr>
      <w:tr w:rsidR="00061F9A" w:rsidRPr="006122AB" w14:paraId="24F950C8" w14:textId="77777777" w:rsidTr="00DC719E">
        <w:trPr>
          <w:cnfStyle w:val="000000100000" w:firstRow="0" w:lastRow="0" w:firstColumn="0" w:lastColumn="0" w:oddVBand="0" w:evenVBand="0" w:oddHBand="1" w:evenHBand="0" w:firstRowFirstColumn="0" w:firstRowLastColumn="0" w:lastRowFirstColumn="0" w:lastRowLastColumn="0"/>
          <w:trHeight w:val="842"/>
        </w:trPr>
        <w:tc>
          <w:tcPr>
            <w:cnfStyle w:val="001000000000" w:firstRow="0" w:lastRow="0" w:firstColumn="1" w:lastColumn="0" w:oddVBand="0" w:evenVBand="0" w:oddHBand="0" w:evenHBand="0" w:firstRowFirstColumn="0" w:firstRowLastColumn="0" w:lastRowFirstColumn="0" w:lastRowLastColumn="0"/>
            <w:tcW w:w="0" w:type="auto"/>
            <w:hideMark/>
          </w:tcPr>
          <w:p w14:paraId="1B605923" w14:textId="77777777" w:rsidR="00061F9A" w:rsidRPr="006122AB" w:rsidRDefault="00061F9A" w:rsidP="00DC719E">
            <w:pPr>
              <w:spacing w:after="160" w:line="278" w:lineRule="auto"/>
            </w:pPr>
            <w:r w:rsidRPr="006122AB">
              <w:t>End Users: Individual Buyers/Sellers</w:t>
            </w:r>
          </w:p>
        </w:tc>
        <w:tc>
          <w:tcPr>
            <w:tcW w:w="0" w:type="auto"/>
            <w:hideMark/>
          </w:tcPr>
          <w:p w14:paraId="5A485BDF" w14:textId="77777777" w:rsidR="00061F9A" w:rsidRPr="006122AB" w:rsidRDefault="00061F9A" w:rsidP="00DC719E">
            <w:pPr>
              <w:spacing w:after="160" w:line="278" w:lineRule="auto"/>
              <w:cnfStyle w:val="000000100000" w:firstRow="0" w:lastRow="0" w:firstColumn="0" w:lastColumn="0" w:oddVBand="0" w:evenVBand="0" w:oddHBand="1" w:evenHBand="0" w:firstRowFirstColumn="0" w:firstRowLastColumn="0" w:lastRowFirstColumn="0" w:lastRowLastColumn="0"/>
            </w:pPr>
            <w:r w:rsidRPr="006122AB">
              <w:t>Fair price assurance, transparency, ease of use, cost (if applicable), trust in platform</w:t>
            </w:r>
          </w:p>
        </w:tc>
      </w:tr>
      <w:tr w:rsidR="00061F9A" w:rsidRPr="006122AB" w14:paraId="2603568C" w14:textId="77777777" w:rsidTr="00DC719E">
        <w:trPr>
          <w:trHeight w:val="832"/>
        </w:trPr>
        <w:tc>
          <w:tcPr>
            <w:cnfStyle w:val="001000000000" w:firstRow="0" w:lastRow="0" w:firstColumn="1" w:lastColumn="0" w:oddVBand="0" w:evenVBand="0" w:oddHBand="0" w:evenHBand="0" w:firstRowFirstColumn="0" w:firstRowLastColumn="0" w:lastRowFirstColumn="0" w:lastRowLastColumn="0"/>
            <w:tcW w:w="0" w:type="auto"/>
            <w:hideMark/>
          </w:tcPr>
          <w:p w14:paraId="0B9CC92C" w14:textId="77777777" w:rsidR="00061F9A" w:rsidRPr="006122AB" w:rsidRDefault="00061F9A" w:rsidP="00DC719E">
            <w:pPr>
              <w:spacing w:after="160" w:line="278" w:lineRule="auto"/>
            </w:pPr>
            <w:r w:rsidRPr="006122AB">
              <w:t>Technical Integrators: IT Departments &amp; Platform Developers</w:t>
            </w:r>
          </w:p>
        </w:tc>
        <w:tc>
          <w:tcPr>
            <w:tcW w:w="0" w:type="auto"/>
            <w:hideMark/>
          </w:tcPr>
          <w:p w14:paraId="18DE5F86" w14:textId="77777777" w:rsidR="00061F9A" w:rsidRPr="006122AB" w:rsidRDefault="00061F9A" w:rsidP="00DC719E">
            <w:pPr>
              <w:spacing w:after="160" w:line="278" w:lineRule="auto"/>
              <w:cnfStyle w:val="000000000000" w:firstRow="0" w:lastRow="0" w:firstColumn="0" w:lastColumn="0" w:oddVBand="0" w:evenVBand="0" w:oddHBand="0" w:evenHBand="0" w:firstRowFirstColumn="0" w:firstRowLastColumn="0" w:lastRowFirstColumn="0" w:lastRowLastColumn="0"/>
            </w:pPr>
            <w:r w:rsidRPr="006122AB">
              <w:t>API reliability, data security, scalability, documentation quality, compliance with data protection (GDPR)</w:t>
            </w:r>
          </w:p>
        </w:tc>
      </w:tr>
      <w:tr w:rsidR="00061F9A" w:rsidRPr="006122AB" w14:paraId="6E3C9233" w14:textId="77777777" w:rsidTr="00DC719E">
        <w:trPr>
          <w:cnfStyle w:val="000000100000" w:firstRow="0" w:lastRow="0" w:firstColumn="0" w:lastColumn="0" w:oddVBand="0" w:evenVBand="0" w:oddHBand="1" w:evenHBand="0" w:firstRowFirstColumn="0" w:firstRowLastColumn="0" w:lastRowFirstColumn="0" w:lastRowLastColumn="0"/>
          <w:trHeight w:val="842"/>
        </w:trPr>
        <w:tc>
          <w:tcPr>
            <w:cnfStyle w:val="001000000000" w:firstRow="0" w:lastRow="0" w:firstColumn="1" w:lastColumn="0" w:oddVBand="0" w:evenVBand="0" w:oddHBand="0" w:evenHBand="0" w:firstRowFirstColumn="0" w:firstRowLastColumn="0" w:lastRowFirstColumn="0" w:lastRowLastColumn="0"/>
            <w:tcW w:w="0" w:type="auto"/>
            <w:hideMark/>
          </w:tcPr>
          <w:p w14:paraId="691BFB8B" w14:textId="77777777" w:rsidR="00061F9A" w:rsidRPr="006122AB" w:rsidRDefault="00061F9A" w:rsidP="00DC719E">
            <w:pPr>
              <w:spacing w:after="160" w:line="278" w:lineRule="auto"/>
            </w:pPr>
            <w:r w:rsidRPr="006122AB">
              <w:t>Influencers: Automotive Industry Experts &amp; Journalists</w:t>
            </w:r>
          </w:p>
        </w:tc>
        <w:tc>
          <w:tcPr>
            <w:tcW w:w="0" w:type="auto"/>
            <w:hideMark/>
          </w:tcPr>
          <w:p w14:paraId="718DF6A8" w14:textId="77777777" w:rsidR="00061F9A" w:rsidRPr="006122AB" w:rsidRDefault="00061F9A" w:rsidP="00DC719E">
            <w:pPr>
              <w:spacing w:after="160" w:line="278" w:lineRule="auto"/>
              <w:cnfStyle w:val="000000100000" w:firstRow="0" w:lastRow="0" w:firstColumn="0" w:lastColumn="0" w:oddVBand="0" w:evenVBand="0" w:oddHBand="1" w:evenHBand="0" w:firstRowFirstColumn="0" w:firstRowLastColumn="0" w:lastRowFirstColumn="0" w:lastRowLastColumn="0"/>
            </w:pPr>
            <w:r w:rsidRPr="006122AB">
              <w:t>Accuracy of methodology, independence from dealer bias, transparency of algorithm, regulatory alignment</w:t>
            </w:r>
          </w:p>
        </w:tc>
      </w:tr>
      <w:tr w:rsidR="00061F9A" w:rsidRPr="006122AB" w14:paraId="0F52D681" w14:textId="77777777" w:rsidTr="00DC719E">
        <w:trPr>
          <w:trHeight w:val="842"/>
        </w:trPr>
        <w:tc>
          <w:tcPr>
            <w:cnfStyle w:val="001000000000" w:firstRow="0" w:lastRow="0" w:firstColumn="1" w:lastColumn="0" w:oddVBand="0" w:evenVBand="0" w:oddHBand="0" w:evenHBand="0" w:firstRowFirstColumn="0" w:firstRowLastColumn="0" w:lastRowFirstColumn="0" w:lastRowLastColumn="0"/>
            <w:tcW w:w="0" w:type="auto"/>
            <w:hideMark/>
          </w:tcPr>
          <w:p w14:paraId="24C1A272" w14:textId="77777777" w:rsidR="00061F9A" w:rsidRPr="006122AB" w:rsidRDefault="00061F9A" w:rsidP="00DC719E">
            <w:pPr>
              <w:spacing w:after="160" w:line="278" w:lineRule="auto"/>
            </w:pPr>
            <w:r w:rsidRPr="006122AB">
              <w:t>Strategic Partners: Dealer Management System Providers</w:t>
            </w:r>
          </w:p>
        </w:tc>
        <w:tc>
          <w:tcPr>
            <w:tcW w:w="0" w:type="auto"/>
            <w:hideMark/>
          </w:tcPr>
          <w:p w14:paraId="3381A2E4" w14:textId="77777777" w:rsidR="00061F9A" w:rsidRPr="006122AB" w:rsidRDefault="00061F9A" w:rsidP="00DC719E">
            <w:pPr>
              <w:spacing w:after="160" w:line="278" w:lineRule="auto"/>
              <w:cnfStyle w:val="000000000000" w:firstRow="0" w:lastRow="0" w:firstColumn="0" w:lastColumn="0" w:oddVBand="0" w:evenVBand="0" w:oddHBand="0" w:evenHBand="0" w:firstRowFirstColumn="0" w:firstRowLastColumn="0" w:lastRowFirstColumn="0" w:lastRowLastColumn="0"/>
            </w:pPr>
            <w:r w:rsidRPr="006122AB">
              <w:t>Integration opportunities, revenue sharing, co-marketing, technical compatibility</w:t>
            </w:r>
          </w:p>
        </w:tc>
      </w:tr>
      <w:tr w:rsidR="00061F9A" w:rsidRPr="006122AB" w14:paraId="043406D8" w14:textId="77777777" w:rsidTr="00DC719E">
        <w:trPr>
          <w:cnfStyle w:val="000000100000" w:firstRow="0" w:lastRow="0" w:firstColumn="0" w:lastColumn="0" w:oddVBand="0" w:evenVBand="0" w:oddHBand="1" w:evenHBand="0" w:firstRowFirstColumn="0" w:firstRowLastColumn="0" w:lastRowFirstColumn="0" w:lastRowLastColumn="0"/>
          <w:trHeight w:val="842"/>
        </w:trPr>
        <w:tc>
          <w:tcPr>
            <w:cnfStyle w:val="001000000000" w:firstRow="0" w:lastRow="0" w:firstColumn="1" w:lastColumn="0" w:oddVBand="0" w:evenVBand="0" w:oddHBand="0" w:evenHBand="0" w:firstRowFirstColumn="0" w:firstRowLastColumn="0" w:lastRowFirstColumn="0" w:lastRowLastColumn="0"/>
            <w:tcW w:w="0" w:type="auto"/>
            <w:hideMark/>
          </w:tcPr>
          <w:p w14:paraId="77FBC5E3" w14:textId="77777777" w:rsidR="00061F9A" w:rsidRPr="006122AB" w:rsidRDefault="00061F9A" w:rsidP="00DC719E">
            <w:pPr>
              <w:spacing w:after="160" w:line="278" w:lineRule="auto"/>
            </w:pPr>
            <w:r w:rsidRPr="006122AB">
              <w:t>Regulatory Bodies: EU Environmental Agencies</w:t>
            </w:r>
          </w:p>
        </w:tc>
        <w:tc>
          <w:tcPr>
            <w:tcW w:w="0" w:type="auto"/>
            <w:hideMark/>
          </w:tcPr>
          <w:p w14:paraId="10E38A0E" w14:textId="77777777" w:rsidR="00061F9A" w:rsidRPr="006122AB" w:rsidRDefault="00061F9A" w:rsidP="00DC719E">
            <w:pPr>
              <w:spacing w:after="160" w:line="278" w:lineRule="auto"/>
              <w:cnfStyle w:val="000000100000" w:firstRow="0" w:lastRow="0" w:firstColumn="0" w:lastColumn="0" w:oddVBand="0" w:evenVBand="0" w:oddHBand="1" w:evenHBand="0" w:firstRowFirstColumn="0" w:firstRowLastColumn="0" w:lastRowFirstColumn="0" w:lastRowLastColumn="0"/>
            </w:pPr>
            <w:r w:rsidRPr="006122AB">
              <w:t>Compliance with emission standards, accuracy of environmental factor integration, transparency</w:t>
            </w:r>
          </w:p>
        </w:tc>
      </w:tr>
      <w:tr w:rsidR="00061F9A" w:rsidRPr="006122AB" w14:paraId="0AD6E61D" w14:textId="77777777" w:rsidTr="00DC719E">
        <w:trPr>
          <w:trHeight w:val="842"/>
        </w:trPr>
        <w:tc>
          <w:tcPr>
            <w:cnfStyle w:val="001000000000" w:firstRow="0" w:lastRow="0" w:firstColumn="1" w:lastColumn="0" w:oddVBand="0" w:evenVBand="0" w:oddHBand="0" w:evenHBand="0" w:firstRowFirstColumn="0" w:firstRowLastColumn="0" w:lastRowFirstColumn="0" w:lastRowLastColumn="0"/>
            <w:tcW w:w="0" w:type="auto"/>
            <w:hideMark/>
          </w:tcPr>
          <w:p w14:paraId="5AF73215" w14:textId="77777777" w:rsidR="00061F9A" w:rsidRPr="006122AB" w:rsidRDefault="00061F9A" w:rsidP="00DC719E">
            <w:pPr>
              <w:spacing w:after="160" w:line="278" w:lineRule="auto"/>
            </w:pPr>
            <w:r w:rsidRPr="006122AB">
              <w:t>Competitors: Existing Pricing Tools</w:t>
            </w:r>
          </w:p>
        </w:tc>
        <w:tc>
          <w:tcPr>
            <w:tcW w:w="0" w:type="auto"/>
            <w:hideMark/>
          </w:tcPr>
          <w:p w14:paraId="58493083" w14:textId="77777777" w:rsidR="00061F9A" w:rsidRPr="006122AB" w:rsidRDefault="00061F9A" w:rsidP="00DC719E">
            <w:pPr>
              <w:spacing w:after="160" w:line="278" w:lineRule="auto"/>
              <w:cnfStyle w:val="000000000000" w:firstRow="0" w:lastRow="0" w:firstColumn="0" w:lastColumn="0" w:oddVBand="0" w:evenVBand="0" w:oddHBand="0" w:evenHBand="0" w:firstRowFirstColumn="0" w:firstRowLastColumn="0" w:lastRowFirstColumn="0" w:lastRowLastColumn="0"/>
            </w:pPr>
            <w:r w:rsidRPr="006122AB">
              <w:t>Market response, feature parity, pricing pressure, differentiation strategies</w:t>
            </w:r>
          </w:p>
        </w:tc>
      </w:tr>
      <w:tr w:rsidR="00061F9A" w:rsidRPr="006122AB" w14:paraId="3DCD8681" w14:textId="77777777" w:rsidTr="00DC719E">
        <w:trPr>
          <w:cnfStyle w:val="000000100000" w:firstRow="0" w:lastRow="0" w:firstColumn="0" w:lastColumn="0" w:oddVBand="0" w:evenVBand="0" w:oddHBand="1" w:evenHBand="0" w:firstRowFirstColumn="0" w:firstRowLastColumn="0" w:lastRowFirstColumn="0" w:lastRowLastColumn="0"/>
          <w:trHeight w:val="842"/>
        </w:trPr>
        <w:tc>
          <w:tcPr>
            <w:cnfStyle w:val="001000000000" w:firstRow="0" w:lastRow="0" w:firstColumn="1" w:lastColumn="0" w:oddVBand="0" w:evenVBand="0" w:oddHBand="0" w:evenHBand="0" w:firstRowFirstColumn="0" w:firstRowLastColumn="0" w:lastRowFirstColumn="0" w:lastRowLastColumn="0"/>
            <w:tcW w:w="0" w:type="auto"/>
            <w:hideMark/>
          </w:tcPr>
          <w:p w14:paraId="714695D0" w14:textId="77777777" w:rsidR="00061F9A" w:rsidRPr="006122AB" w:rsidRDefault="00061F9A" w:rsidP="00DC719E">
            <w:pPr>
              <w:spacing w:after="160" w:line="278" w:lineRule="auto"/>
            </w:pPr>
            <w:r w:rsidRPr="006122AB">
              <w:t>Data Providers: Vehicle History &amp; Market Data Companies</w:t>
            </w:r>
          </w:p>
        </w:tc>
        <w:tc>
          <w:tcPr>
            <w:tcW w:w="0" w:type="auto"/>
            <w:hideMark/>
          </w:tcPr>
          <w:p w14:paraId="3BEE3E01" w14:textId="77777777" w:rsidR="00061F9A" w:rsidRPr="006122AB" w:rsidRDefault="00061F9A" w:rsidP="00DC719E">
            <w:pPr>
              <w:spacing w:after="160" w:line="278" w:lineRule="auto"/>
              <w:cnfStyle w:val="000000100000" w:firstRow="0" w:lastRow="0" w:firstColumn="0" w:lastColumn="0" w:oddVBand="0" w:evenVBand="0" w:oddHBand="1" w:evenHBand="0" w:firstRowFirstColumn="0" w:firstRowLastColumn="0" w:lastRowFirstColumn="0" w:lastRowLastColumn="0"/>
            </w:pPr>
            <w:r w:rsidRPr="006122AB">
              <w:t>Data licensing opportunities, partnership potential, data accuracy requirements</w:t>
            </w:r>
          </w:p>
        </w:tc>
      </w:tr>
    </w:tbl>
    <w:p w14:paraId="10ADCA0C" w14:textId="77777777" w:rsidR="00061F9A" w:rsidRPr="006122AB" w:rsidRDefault="00061F9A" w:rsidP="00061F9A">
      <w:pPr>
        <w:rPr>
          <w:b/>
          <w:bCs/>
        </w:rPr>
      </w:pPr>
      <w:r w:rsidRPr="006122AB">
        <w:rPr>
          <w:b/>
          <w:bCs/>
        </w:rPr>
        <w:t>3.0 Stakeholder Analysis Matrices</w:t>
      </w:r>
    </w:p>
    <w:p w14:paraId="762CF743" w14:textId="77777777" w:rsidR="00061F9A" w:rsidRPr="006122AB" w:rsidRDefault="00061F9A" w:rsidP="00061F9A">
      <w:pPr>
        <w:rPr>
          <w:b/>
          <w:bCs/>
        </w:rPr>
      </w:pPr>
      <w:r w:rsidRPr="006122AB">
        <w:rPr>
          <w:b/>
          <w:bCs/>
        </w:rPr>
        <w:t>Matrix 1: Influence vs. Interest Analysis</w:t>
      </w:r>
    </w:p>
    <w:p w14:paraId="3616BB6E" w14:textId="77777777" w:rsidR="00061F9A" w:rsidRDefault="00061F9A" w:rsidP="00061F9A">
      <w:r>
        <w:rPr>
          <w:noProof/>
        </w:rPr>
        <w:lastRenderedPageBreak/>
        <w:drawing>
          <wp:inline distT="0" distB="0" distL="0" distR="0" wp14:anchorId="31A50008" wp14:editId="21FF119E">
            <wp:extent cx="5943600" cy="3623310"/>
            <wp:effectExtent l="0" t="0" r="0" b="0"/>
            <wp:docPr id="1147238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238561" name=""/>
                    <pic:cNvPicPr/>
                  </pic:nvPicPr>
                  <pic:blipFill>
                    <a:blip r:embed="rId5"/>
                    <a:stretch>
                      <a:fillRect/>
                    </a:stretch>
                  </pic:blipFill>
                  <pic:spPr>
                    <a:xfrm>
                      <a:off x="0" y="0"/>
                      <a:ext cx="5943600" cy="3623310"/>
                    </a:xfrm>
                    <a:prstGeom prst="rect">
                      <a:avLst/>
                    </a:prstGeom>
                  </pic:spPr>
                </pic:pic>
              </a:graphicData>
            </a:graphic>
          </wp:inline>
        </w:drawing>
      </w:r>
    </w:p>
    <w:p w14:paraId="212128A1" w14:textId="77777777" w:rsidR="00061F9A" w:rsidRPr="006122AB" w:rsidRDefault="00061F9A" w:rsidP="00061F9A">
      <w:r w:rsidRPr="006122AB">
        <w:t xml:space="preserve">*Figure 1: Influence-Interest Matrix for </w:t>
      </w:r>
      <w:proofErr w:type="spellStart"/>
      <w:r w:rsidRPr="006122AB">
        <w:t>AutoPrice</w:t>
      </w:r>
      <w:proofErr w:type="spellEnd"/>
      <w:r w:rsidRPr="006122AB">
        <w:t xml:space="preserve"> AI Stakeholders*</w:t>
      </w:r>
    </w:p>
    <w:p w14:paraId="10206EC6" w14:textId="77777777" w:rsidR="00061F9A" w:rsidRPr="006122AB" w:rsidRDefault="00061F9A" w:rsidP="00061F9A">
      <w:r w:rsidRPr="006122AB">
        <w:rPr>
          <w:b/>
          <w:bCs/>
        </w:rPr>
        <w:t>High Influence, High Interest (Manage Closely)</w:t>
      </w:r>
    </w:p>
    <w:p w14:paraId="474663F1" w14:textId="77777777" w:rsidR="00061F9A" w:rsidRPr="006122AB" w:rsidRDefault="00061F9A" w:rsidP="00061F9A">
      <w:pPr>
        <w:numPr>
          <w:ilvl w:val="0"/>
          <w:numId w:val="2"/>
        </w:numPr>
      </w:pPr>
      <w:r w:rsidRPr="006122AB">
        <w:rPr>
          <w:b/>
          <w:bCs/>
        </w:rPr>
        <w:t>Dealerships &amp; Marketplace Platforms:</w:t>
      </w:r>
      <w:r w:rsidRPr="006122AB">
        <w:t> Direct customers with significant buying power and high interest in accurate pricing</w:t>
      </w:r>
    </w:p>
    <w:p w14:paraId="7274EF5C" w14:textId="77777777" w:rsidR="00061F9A" w:rsidRPr="006122AB" w:rsidRDefault="00061F9A" w:rsidP="00061F9A">
      <w:pPr>
        <w:numPr>
          <w:ilvl w:val="0"/>
          <w:numId w:val="2"/>
        </w:numPr>
      </w:pPr>
      <w:r w:rsidRPr="006122AB">
        <w:rPr>
          <w:b/>
          <w:bCs/>
        </w:rPr>
        <w:t>Fleet Management Companies:</w:t>
      </w:r>
      <w:r w:rsidRPr="006122AB">
        <w:t> Large-scale users with complex needs and substantial influence on market adoption</w:t>
      </w:r>
    </w:p>
    <w:p w14:paraId="0B0FA253" w14:textId="77777777" w:rsidR="00061F9A" w:rsidRPr="006122AB" w:rsidRDefault="00061F9A" w:rsidP="00061F9A">
      <w:pPr>
        <w:numPr>
          <w:ilvl w:val="0"/>
          <w:numId w:val="2"/>
        </w:numPr>
      </w:pPr>
      <w:r w:rsidRPr="006122AB">
        <w:rPr>
          <w:b/>
          <w:bCs/>
        </w:rPr>
        <w:t>Executive Leadership:</w:t>
      </w:r>
      <w:r w:rsidRPr="006122AB">
        <w:t> Critical for strategic direction and resource allocation</w:t>
      </w:r>
    </w:p>
    <w:p w14:paraId="71D2EE0A" w14:textId="77777777" w:rsidR="00061F9A" w:rsidRPr="006122AB" w:rsidRDefault="00061F9A" w:rsidP="00061F9A">
      <w:r w:rsidRPr="006122AB">
        <w:rPr>
          <w:b/>
          <w:bCs/>
        </w:rPr>
        <w:t>High Influence, Low Interest (Keep Satisfied)</w:t>
      </w:r>
    </w:p>
    <w:p w14:paraId="4402F60F" w14:textId="77777777" w:rsidR="00061F9A" w:rsidRPr="006122AB" w:rsidRDefault="00061F9A" w:rsidP="00061F9A">
      <w:pPr>
        <w:numPr>
          <w:ilvl w:val="0"/>
          <w:numId w:val="3"/>
        </w:numPr>
      </w:pPr>
      <w:r w:rsidRPr="006122AB">
        <w:rPr>
          <w:b/>
          <w:bCs/>
        </w:rPr>
        <w:t>Regulatory Bodies (EU Environmental Agencies):</w:t>
      </w:r>
      <w:r w:rsidRPr="006122AB">
        <w:t> Can impose compliance requirements but may have low daily interest</w:t>
      </w:r>
    </w:p>
    <w:p w14:paraId="40A6842D" w14:textId="77777777" w:rsidR="00061F9A" w:rsidRPr="006122AB" w:rsidRDefault="00061F9A" w:rsidP="00061F9A">
      <w:pPr>
        <w:numPr>
          <w:ilvl w:val="0"/>
          <w:numId w:val="3"/>
        </w:numPr>
      </w:pPr>
      <w:r w:rsidRPr="006122AB">
        <w:rPr>
          <w:b/>
          <w:bCs/>
        </w:rPr>
        <w:t>Strategic Partners (DMS Providers):</w:t>
      </w:r>
      <w:r w:rsidRPr="006122AB">
        <w:t> Can enable or block integration but focused on their own product roadmaps</w:t>
      </w:r>
    </w:p>
    <w:p w14:paraId="4F298D4F" w14:textId="77777777" w:rsidR="00061F9A" w:rsidRPr="006122AB" w:rsidRDefault="00061F9A" w:rsidP="00061F9A">
      <w:r w:rsidRPr="006122AB">
        <w:rPr>
          <w:b/>
          <w:bCs/>
        </w:rPr>
        <w:t>Low Influence, High Interest (Keep Informed)</w:t>
      </w:r>
    </w:p>
    <w:p w14:paraId="081EFD2C" w14:textId="77777777" w:rsidR="00061F9A" w:rsidRPr="006122AB" w:rsidRDefault="00061F9A" w:rsidP="00061F9A">
      <w:pPr>
        <w:numPr>
          <w:ilvl w:val="0"/>
          <w:numId w:val="4"/>
        </w:numPr>
      </w:pPr>
      <w:r w:rsidRPr="006122AB">
        <w:rPr>
          <w:b/>
          <w:bCs/>
        </w:rPr>
        <w:t>Individual Buyers/Sellers:</w:t>
      </w:r>
      <w:r w:rsidRPr="006122AB">
        <w:t> Highly interested but limited market influence individually (though collectively significant)</w:t>
      </w:r>
    </w:p>
    <w:p w14:paraId="27E342EC" w14:textId="77777777" w:rsidR="00061F9A" w:rsidRPr="006122AB" w:rsidRDefault="00061F9A" w:rsidP="00061F9A">
      <w:pPr>
        <w:numPr>
          <w:ilvl w:val="0"/>
          <w:numId w:val="4"/>
        </w:numPr>
      </w:pPr>
      <w:r w:rsidRPr="006122AB">
        <w:rPr>
          <w:b/>
          <w:bCs/>
        </w:rPr>
        <w:t>Industry Experts &amp; Journalists:</w:t>
      </w:r>
      <w:r w:rsidRPr="006122AB">
        <w:t> Can shape market perception but don't control adoption</w:t>
      </w:r>
    </w:p>
    <w:p w14:paraId="548B2B94" w14:textId="77777777" w:rsidR="00061F9A" w:rsidRPr="006122AB" w:rsidRDefault="00061F9A" w:rsidP="00061F9A">
      <w:pPr>
        <w:numPr>
          <w:ilvl w:val="0"/>
          <w:numId w:val="4"/>
        </w:numPr>
      </w:pPr>
      <w:r w:rsidRPr="006122AB">
        <w:rPr>
          <w:b/>
          <w:bCs/>
        </w:rPr>
        <w:lastRenderedPageBreak/>
        <w:t>Sales &amp; Marketing Teams:</w:t>
      </w:r>
      <w:r w:rsidRPr="006122AB">
        <w:t> Critical for execution but limited strategic influence</w:t>
      </w:r>
    </w:p>
    <w:p w14:paraId="7A13B06B" w14:textId="77777777" w:rsidR="00061F9A" w:rsidRPr="006122AB" w:rsidRDefault="00061F9A" w:rsidP="00061F9A">
      <w:r w:rsidRPr="006122AB">
        <w:rPr>
          <w:b/>
          <w:bCs/>
        </w:rPr>
        <w:t>Low Influence, Low Interest (Monitor)</w:t>
      </w:r>
    </w:p>
    <w:p w14:paraId="6063E909" w14:textId="77777777" w:rsidR="00061F9A" w:rsidRPr="006122AB" w:rsidRDefault="00061F9A" w:rsidP="00061F9A">
      <w:pPr>
        <w:numPr>
          <w:ilvl w:val="0"/>
          <w:numId w:val="5"/>
        </w:numPr>
      </w:pPr>
      <w:r w:rsidRPr="006122AB">
        <w:rPr>
          <w:b/>
          <w:bCs/>
        </w:rPr>
        <w:t>Competitors:</w:t>
      </w:r>
      <w:r w:rsidRPr="006122AB">
        <w:t> Monitor for market moves but limited direct engagement needed</w:t>
      </w:r>
    </w:p>
    <w:p w14:paraId="73EFFB52" w14:textId="77777777" w:rsidR="00061F9A" w:rsidRPr="006122AB" w:rsidRDefault="00061F9A" w:rsidP="00061F9A">
      <w:pPr>
        <w:numPr>
          <w:ilvl w:val="0"/>
          <w:numId w:val="5"/>
        </w:numPr>
      </w:pPr>
      <w:r w:rsidRPr="006122AB">
        <w:rPr>
          <w:b/>
          <w:bCs/>
        </w:rPr>
        <w:t>Data Providers:</w:t>
      </w:r>
      <w:r w:rsidRPr="006122AB">
        <w:t> Important but transactional relationships</w:t>
      </w:r>
    </w:p>
    <w:p w14:paraId="58897F0F" w14:textId="77777777" w:rsidR="00061F9A" w:rsidRPr="006122AB" w:rsidRDefault="00061F9A" w:rsidP="00061F9A">
      <w:pPr>
        <w:rPr>
          <w:b/>
          <w:bCs/>
        </w:rPr>
      </w:pPr>
      <w:r w:rsidRPr="006122AB">
        <w:rPr>
          <w:b/>
          <w:bCs/>
        </w:rPr>
        <w:t>Matrix 2: Support vs. Impact Analysis</w:t>
      </w:r>
    </w:p>
    <w:p w14:paraId="2DDC4F79" w14:textId="77777777" w:rsidR="00061F9A" w:rsidRDefault="00061F9A" w:rsidP="00061F9A">
      <w:r>
        <w:rPr>
          <w:noProof/>
        </w:rPr>
        <w:drawing>
          <wp:inline distT="0" distB="0" distL="0" distR="0" wp14:anchorId="5153A4A7" wp14:editId="10E074BC">
            <wp:extent cx="5943600" cy="3545840"/>
            <wp:effectExtent l="0" t="0" r="0" b="0"/>
            <wp:docPr id="205620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00157" name=""/>
                    <pic:cNvPicPr/>
                  </pic:nvPicPr>
                  <pic:blipFill>
                    <a:blip r:embed="rId6"/>
                    <a:stretch>
                      <a:fillRect/>
                    </a:stretch>
                  </pic:blipFill>
                  <pic:spPr>
                    <a:xfrm>
                      <a:off x="0" y="0"/>
                      <a:ext cx="5943600" cy="3545840"/>
                    </a:xfrm>
                    <a:prstGeom prst="rect">
                      <a:avLst/>
                    </a:prstGeom>
                  </pic:spPr>
                </pic:pic>
              </a:graphicData>
            </a:graphic>
          </wp:inline>
        </w:drawing>
      </w:r>
    </w:p>
    <w:p w14:paraId="77E19372" w14:textId="77777777" w:rsidR="00061F9A" w:rsidRPr="006122AB" w:rsidRDefault="00061F9A" w:rsidP="00061F9A">
      <w:r w:rsidRPr="006122AB">
        <w:t xml:space="preserve">*Figure 2: Support-Impact Matrix for </w:t>
      </w:r>
      <w:proofErr w:type="spellStart"/>
      <w:r w:rsidRPr="006122AB">
        <w:t>AutoPrice</w:t>
      </w:r>
      <w:proofErr w:type="spellEnd"/>
      <w:r w:rsidRPr="006122AB">
        <w:t xml:space="preserve"> AI Stakeholders*</w:t>
      </w:r>
    </w:p>
    <w:p w14:paraId="23E268FD" w14:textId="77777777" w:rsidR="00061F9A" w:rsidRPr="006122AB" w:rsidRDefault="00061F9A" w:rsidP="00061F9A">
      <w:r w:rsidRPr="006122AB">
        <w:rPr>
          <w:b/>
          <w:bCs/>
        </w:rPr>
        <w:t>High Support, High Impact (Champions)</w:t>
      </w:r>
    </w:p>
    <w:p w14:paraId="3FE26D07" w14:textId="77777777" w:rsidR="00061F9A" w:rsidRPr="006122AB" w:rsidRDefault="00061F9A" w:rsidP="00061F9A">
      <w:pPr>
        <w:numPr>
          <w:ilvl w:val="0"/>
          <w:numId w:val="6"/>
        </w:numPr>
      </w:pPr>
      <w:r w:rsidRPr="006122AB">
        <w:rPr>
          <w:b/>
          <w:bCs/>
        </w:rPr>
        <w:t>Early Adopter Dealers:</w:t>
      </w:r>
      <w:r w:rsidRPr="006122AB">
        <w:t> Those embracing digital transformation can become powerful advocates</w:t>
      </w:r>
    </w:p>
    <w:p w14:paraId="6C7D8B71" w14:textId="77777777" w:rsidR="00061F9A" w:rsidRPr="006122AB" w:rsidRDefault="00061F9A" w:rsidP="00061F9A">
      <w:pPr>
        <w:numPr>
          <w:ilvl w:val="0"/>
          <w:numId w:val="6"/>
        </w:numPr>
      </w:pPr>
      <w:r w:rsidRPr="006122AB">
        <w:rPr>
          <w:b/>
          <w:bCs/>
        </w:rPr>
        <w:t>Satisfied Individual Users:</w:t>
      </w:r>
      <w:r w:rsidRPr="006122AB">
        <w:t> Can drive word-of-mouth and platform credibility through reviews</w:t>
      </w:r>
    </w:p>
    <w:p w14:paraId="275B6F74" w14:textId="77777777" w:rsidR="00061F9A" w:rsidRPr="006122AB" w:rsidRDefault="00061F9A" w:rsidP="00061F9A">
      <w:r w:rsidRPr="006122AB">
        <w:rPr>
          <w:b/>
          <w:bCs/>
        </w:rPr>
        <w:t>High Support, Low Impact (Allies)</w:t>
      </w:r>
    </w:p>
    <w:p w14:paraId="79CF834A" w14:textId="77777777" w:rsidR="00061F9A" w:rsidRPr="006122AB" w:rsidRDefault="00061F9A" w:rsidP="00061F9A">
      <w:pPr>
        <w:numPr>
          <w:ilvl w:val="0"/>
          <w:numId w:val="7"/>
        </w:numPr>
      </w:pPr>
      <w:r w:rsidRPr="006122AB">
        <w:rPr>
          <w:b/>
          <w:bCs/>
        </w:rPr>
        <w:t>Internal Teams (Marketing, Data Science):</w:t>
      </w:r>
      <w:r w:rsidRPr="006122AB">
        <w:t> Naturally supportive but impact limited to their functions</w:t>
      </w:r>
    </w:p>
    <w:p w14:paraId="28EC9908" w14:textId="77777777" w:rsidR="00061F9A" w:rsidRPr="006122AB" w:rsidRDefault="00061F9A" w:rsidP="00061F9A">
      <w:pPr>
        <w:numPr>
          <w:ilvl w:val="0"/>
          <w:numId w:val="7"/>
        </w:numPr>
      </w:pPr>
      <w:r w:rsidRPr="006122AB">
        <w:rPr>
          <w:b/>
          <w:bCs/>
        </w:rPr>
        <w:t>Technology Partners:</w:t>
      </w:r>
      <w:r w:rsidRPr="006122AB">
        <w:t> Supportive of innovation but impact varies by partnership scale</w:t>
      </w:r>
    </w:p>
    <w:p w14:paraId="17B79828" w14:textId="77777777" w:rsidR="00061F9A" w:rsidRPr="006122AB" w:rsidRDefault="00061F9A" w:rsidP="00061F9A">
      <w:r w:rsidRPr="006122AB">
        <w:rPr>
          <w:b/>
          <w:bCs/>
        </w:rPr>
        <w:lastRenderedPageBreak/>
        <w:t>Low Support, High Impact (Potential Blockers)</w:t>
      </w:r>
    </w:p>
    <w:p w14:paraId="7954FE9C" w14:textId="77777777" w:rsidR="00061F9A" w:rsidRPr="006122AB" w:rsidRDefault="00061F9A" w:rsidP="00061F9A">
      <w:pPr>
        <w:numPr>
          <w:ilvl w:val="0"/>
          <w:numId w:val="8"/>
        </w:numPr>
      </w:pPr>
      <w:r w:rsidRPr="006122AB">
        <w:rPr>
          <w:b/>
          <w:bCs/>
        </w:rPr>
        <w:t>Traditional Dealerships:</w:t>
      </w:r>
      <w:r w:rsidRPr="006122AB">
        <w:t> May resist transparent pricing that reduces negotiation advantages</w:t>
      </w:r>
    </w:p>
    <w:p w14:paraId="4CB89CD5" w14:textId="77777777" w:rsidR="00061F9A" w:rsidRPr="006122AB" w:rsidRDefault="00061F9A" w:rsidP="00061F9A">
      <w:pPr>
        <w:numPr>
          <w:ilvl w:val="0"/>
          <w:numId w:val="8"/>
        </w:numPr>
      </w:pPr>
      <w:r w:rsidRPr="006122AB">
        <w:rPr>
          <w:b/>
          <w:bCs/>
        </w:rPr>
        <w:t>Skeptical Industry Experts:</w:t>
      </w:r>
      <w:r w:rsidRPr="006122AB">
        <w:t> Can undermine credibility if concerns about methodology aren't addressed</w:t>
      </w:r>
    </w:p>
    <w:p w14:paraId="61658273" w14:textId="77777777" w:rsidR="00061F9A" w:rsidRPr="006122AB" w:rsidRDefault="00061F9A" w:rsidP="00061F9A">
      <w:r w:rsidRPr="006122AB">
        <w:rPr>
          <w:b/>
          <w:bCs/>
        </w:rPr>
        <w:t>Low Support, Low Impact (Minimal Engagement)</w:t>
      </w:r>
    </w:p>
    <w:p w14:paraId="0E4A6546" w14:textId="77777777" w:rsidR="00061F9A" w:rsidRPr="006122AB" w:rsidRDefault="00061F9A" w:rsidP="00061F9A">
      <w:pPr>
        <w:numPr>
          <w:ilvl w:val="0"/>
          <w:numId w:val="9"/>
        </w:numPr>
      </w:pPr>
      <w:r w:rsidRPr="006122AB">
        <w:rPr>
          <w:b/>
          <w:bCs/>
        </w:rPr>
        <w:t>Direct Competitors:</w:t>
      </w:r>
      <w:r w:rsidRPr="006122AB">
        <w:t> Naturally opposed but engagement should be limited to market monitoring</w:t>
      </w:r>
    </w:p>
    <w:p w14:paraId="571BECB2" w14:textId="77777777" w:rsidR="00061F9A" w:rsidRDefault="00061F9A"/>
    <w:sectPr w:rsidR="00061F9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1D095B"/>
    <w:multiLevelType w:val="multilevel"/>
    <w:tmpl w:val="4B2AF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B01E74"/>
    <w:multiLevelType w:val="multilevel"/>
    <w:tmpl w:val="1CFA0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830E88"/>
    <w:multiLevelType w:val="multilevel"/>
    <w:tmpl w:val="53D44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42E6C9D"/>
    <w:multiLevelType w:val="multilevel"/>
    <w:tmpl w:val="00C2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203891"/>
    <w:multiLevelType w:val="multilevel"/>
    <w:tmpl w:val="A0BAB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BA1C76"/>
    <w:multiLevelType w:val="multilevel"/>
    <w:tmpl w:val="367E0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6573C5"/>
    <w:multiLevelType w:val="multilevel"/>
    <w:tmpl w:val="3AD09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91E738F"/>
    <w:multiLevelType w:val="multilevel"/>
    <w:tmpl w:val="0A28E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FE003C"/>
    <w:multiLevelType w:val="multilevel"/>
    <w:tmpl w:val="53E28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2436964">
    <w:abstractNumId w:val="2"/>
  </w:num>
  <w:num w:numId="2" w16cid:durableId="1342464542">
    <w:abstractNumId w:val="4"/>
  </w:num>
  <w:num w:numId="3" w16cid:durableId="1842423789">
    <w:abstractNumId w:val="5"/>
  </w:num>
  <w:num w:numId="4" w16cid:durableId="97064224">
    <w:abstractNumId w:val="8"/>
  </w:num>
  <w:num w:numId="5" w16cid:durableId="1644038733">
    <w:abstractNumId w:val="0"/>
  </w:num>
  <w:num w:numId="6" w16cid:durableId="1458524427">
    <w:abstractNumId w:val="7"/>
  </w:num>
  <w:num w:numId="7" w16cid:durableId="1348169132">
    <w:abstractNumId w:val="6"/>
  </w:num>
  <w:num w:numId="8" w16cid:durableId="332880026">
    <w:abstractNumId w:val="1"/>
  </w:num>
  <w:num w:numId="9" w16cid:durableId="106387429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F9A"/>
    <w:rsid w:val="00061F9A"/>
    <w:rsid w:val="00DA7B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304968"/>
  <w15:chartTrackingRefBased/>
  <w15:docId w15:val="{B199CC9C-F495-4F33-8242-174D715592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1F9A"/>
  </w:style>
  <w:style w:type="paragraph" w:styleId="Heading1">
    <w:name w:val="heading 1"/>
    <w:basedOn w:val="Normal"/>
    <w:next w:val="Normal"/>
    <w:link w:val="Heading1Char"/>
    <w:uiPriority w:val="9"/>
    <w:qFormat/>
    <w:rsid w:val="00061F9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61F9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61F9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61F9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61F9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61F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1F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1F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1F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F9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61F9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61F9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61F9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61F9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61F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1F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1F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1F9A"/>
    <w:rPr>
      <w:rFonts w:eastAsiaTheme="majorEastAsia" w:cstheme="majorBidi"/>
      <w:color w:val="272727" w:themeColor="text1" w:themeTint="D8"/>
    </w:rPr>
  </w:style>
  <w:style w:type="paragraph" w:styleId="Title">
    <w:name w:val="Title"/>
    <w:basedOn w:val="Normal"/>
    <w:next w:val="Normal"/>
    <w:link w:val="TitleChar"/>
    <w:uiPriority w:val="10"/>
    <w:qFormat/>
    <w:rsid w:val="00061F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1F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1F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1F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1F9A"/>
    <w:pPr>
      <w:spacing w:before="160"/>
      <w:jc w:val="center"/>
    </w:pPr>
    <w:rPr>
      <w:i/>
      <w:iCs/>
      <w:color w:val="404040" w:themeColor="text1" w:themeTint="BF"/>
    </w:rPr>
  </w:style>
  <w:style w:type="character" w:customStyle="1" w:styleId="QuoteChar">
    <w:name w:val="Quote Char"/>
    <w:basedOn w:val="DefaultParagraphFont"/>
    <w:link w:val="Quote"/>
    <w:uiPriority w:val="29"/>
    <w:rsid w:val="00061F9A"/>
    <w:rPr>
      <w:i/>
      <w:iCs/>
      <w:color w:val="404040" w:themeColor="text1" w:themeTint="BF"/>
    </w:rPr>
  </w:style>
  <w:style w:type="paragraph" w:styleId="ListParagraph">
    <w:name w:val="List Paragraph"/>
    <w:basedOn w:val="Normal"/>
    <w:uiPriority w:val="34"/>
    <w:qFormat/>
    <w:rsid w:val="00061F9A"/>
    <w:pPr>
      <w:ind w:left="720"/>
      <w:contextualSpacing/>
    </w:pPr>
  </w:style>
  <w:style w:type="character" w:styleId="IntenseEmphasis">
    <w:name w:val="Intense Emphasis"/>
    <w:basedOn w:val="DefaultParagraphFont"/>
    <w:uiPriority w:val="21"/>
    <w:qFormat/>
    <w:rsid w:val="00061F9A"/>
    <w:rPr>
      <w:i/>
      <w:iCs/>
      <w:color w:val="2F5496" w:themeColor="accent1" w:themeShade="BF"/>
    </w:rPr>
  </w:style>
  <w:style w:type="paragraph" w:styleId="IntenseQuote">
    <w:name w:val="Intense Quote"/>
    <w:basedOn w:val="Normal"/>
    <w:next w:val="Normal"/>
    <w:link w:val="IntenseQuoteChar"/>
    <w:uiPriority w:val="30"/>
    <w:qFormat/>
    <w:rsid w:val="00061F9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61F9A"/>
    <w:rPr>
      <w:i/>
      <w:iCs/>
      <w:color w:val="2F5496" w:themeColor="accent1" w:themeShade="BF"/>
    </w:rPr>
  </w:style>
  <w:style w:type="character" w:styleId="IntenseReference">
    <w:name w:val="Intense Reference"/>
    <w:basedOn w:val="DefaultParagraphFont"/>
    <w:uiPriority w:val="32"/>
    <w:qFormat/>
    <w:rsid w:val="00061F9A"/>
    <w:rPr>
      <w:b/>
      <w:bCs/>
      <w:smallCaps/>
      <w:color w:val="2F5496" w:themeColor="accent1" w:themeShade="BF"/>
      <w:spacing w:val="5"/>
    </w:rPr>
  </w:style>
  <w:style w:type="table" w:styleId="GridTable5Dark-Accent4">
    <w:name w:val="Grid Table 5 Dark Accent 4"/>
    <w:basedOn w:val="TableNormal"/>
    <w:uiPriority w:val="50"/>
    <w:rsid w:val="00061F9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831</Words>
  <Characters>4738</Characters>
  <Application>Microsoft Office Word</Application>
  <DocSecurity>0</DocSecurity>
  <Lines>39</Lines>
  <Paragraphs>11</Paragraphs>
  <ScaleCrop>false</ScaleCrop>
  <Company/>
  <LinksUpToDate>false</LinksUpToDate>
  <CharactersWithSpaces>5558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(SP22-BAI-020)JAWADALI</dc:creator>
  <cp:keywords/>
  <dc:description/>
  <cp:lastModifiedBy>(SP22-BAI-020)JAWADALI</cp:lastModifiedBy>
  <cp:revision>1</cp:revision>
  <dcterms:created xsi:type="dcterms:W3CDTF">2026-01-07T14:27:00Z</dcterms:created>
  <dcterms:modified xsi:type="dcterms:W3CDTF">2026-01-07T14:28:00Z</dcterms:modified>
</cp:coreProperties>
</file>