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CF0F3" w14:textId="77777777" w:rsidR="00461656" w:rsidRPr="00C87C72" w:rsidRDefault="00461656" w:rsidP="00461656">
      <w:pPr>
        <w:rPr>
          <w:b/>
          <w:bCs/>
        </w:rPr>
      </w:pPr>
      <w:r w:rsidRPr="00C87C72">
        <w:rPr>
          <w:b/>
          <w:bCs/>
        </w:rPr>
        <w:t xml:space="preserve">SWOT Analysis Report: </w:t>
      </w:r>
      <w:proofErr w:type="spellStart"/>
      <w:r w:rsidRPr="00C87C72">
        <w:rPr>
          <w:b/>
          <w:bCs/>
        </w:rPr>
        <w:t>AutoPrice</w:t>
      </w:r>
      <w:proofErr w:type="spellEnd"/>
      <w:r w:rsidRPr="00C87C72">
        <w:rPr>
          <w:b/>
          <w:bCs/>
        </w:rPr>
        <w:t xml:space="preserve"> AI (Used Vehicles Price Prediction)</w:t>
      </w:r>
    </w:p>
    <w:p w14:paraId="47A45ED7" w14:textId="77777777" w:rsidR="00461656" w:rsidRPr="00C87C72" w:rsidRDefault="00461656" w:rsidP="00461656">
      <w:r>
        <w:pict w14:anchorId="35EC0FEE">
          <v:rect id="_x0000_i1025" style="width:0;height:.75pt" o:hralign="center" o:hrstd="t" o:hr="t" fillcolor="#a0a0a0" stroked="f"/>
        </w:pict>
      </w:r>
    </w:p>
    <w:p w14:paraId="07D7304E" w14:textId="77777777" w:rsidR="00461656" w:rsidRPr="00C87C72" w:rsidRDefault="00461656" w:rsidP="00461656">
      <w:pPr>
        <w:rPr>
          <w:b/>
          <w:bCs/>
        </w:rPr>
      </w:pPr>
      <w:r w:rsidRPr="00C87C72">
        <w:rPr>
          <w:b/>
          <w:bCs/>
        </w:rPr>
        <w:t>Executive Summary</w:t>
      </w:r>
    </w:p>
    <w:p w14:paraId="6564DDC6" w14:textId="77777777" w:rsidR="00461656" w:rsidRPr="00C87C72" w:rsidRDefault="00461656" w:rsidP="00461656">
      <w:proofErr w:type="spellStart"/>
      <w:r w:rsidRPr="00C87C72">
        <w:t>AutoPrice</w:t>
      </w:r>
      <w:proofErr w:type="spellEnd"/>
      <w:r w:rsidRPr="00C87C72">
        <w:t xml:space="preserve"> AI enters the dynamic and economically significant European used vehicle market with a specialized, data-driven price prediction engine. By integrating unique European regulatory factors—particularly emission standards—with traditional valuation metrics, it aims to solve the pervasive problem of pricing inconsistency and lack of transparency. This SWOT analysis evaluates its potential to disrupt the traditional valuation space. The analysis concludes that </w:t>
      </w:r>
      <w:proofErr w:type="spellStart"/>
      <w:r w:rsidRPr="00C87C72">
        <w:t>AutoPrice</w:t>
      </w:r>
      <w:proofErr w:type="spellEnd"/>
      <w:r w:rsidRPr="00C87C72">
        <w:t xml:space="preserve"> AI possesses a </w:t>
      </w:r>
      <w:r w:rsidRPr="00C87C72">
        <w:rPr>
          <w:b/>
          <w:bCs/>
        </w:rPr>
        <w:t>strong, regionally-tailored value proposition</w:t>
      </w:r>
      <w:r w:rsidRPr="00C87C72">
        <w:t> but operates in a competitive and data-sensitive environment. Its success hinges on achieving superior accuracy, building trusted industry partnerships, and navigating complex data acquisition and regulatory challenges to become the definitive pricing standard for the European market.</w:t>
      </w:r>
    </w:p>
    <w:p w14:paraId="699CF308" w14:textId="77777777" w:rsidR="00461656" w:rsidRPr="00C87C72" w:rsidRDefault="00461656" w:rsidP="00461656">
      <w:r>
        <w:pict w14:anchorId="3C2BF0B5">
          <v:rect id="_x0000_i1026" style="width:0;height:.75pt" o:hralign="center" o:hrstd="t" o:hr="t" fillcolor="#a0a0a0" stroked="f"/>
        </w:pict>
      </w:r>
    </w:p>
    <w:p w14:paraId="45246EA5" w14:textId="77777777" w:rsidR="00461656" w:rsidRPr="00C87C72" w:rsidRDefault="00461656" w:rsidP="00461656">
      <w:pPr>
        <w:rPr>
          <w:b/>
          <w:bCs/>
        </w:rPr>
      </w:pPr>
      <w:r w:rsidRPr="00C87C72">
        <w:rPr>
          <w:b/>
          <w:bCs/>
        </w:rPr>
        <w:t>Table of Contents</w:t>
      </w:r>
    </w:p>
    <w:p w14:paraId="21B589A2" w14:textId="77777777" w:rsidR="00461656" w:rsidRPr="00C87C72" w:rsidRDefault="00461656" w:rsidP="00461656">
      <w:pPr>
        <w:numPr>
          <w:ilvl w:val="0"/>
          <w:numId w:val="1"/>
        </w:numPr>
      </w:pPr>
      <w:r w:rsidRPr="00C87C72">
        <w:rPr>
          <w:b/>
          <w:bCs/>
        </w:rPr>
        <w:t>Introduction &amp; Methodology</w:t>
      </w:r>
    </w:p>
    <w:p w14:paraId="4C6DCF96" w14:textId="77777777" w:rsidR="00461656" w:rsidRPr="00C87C72" w:rsidRDefault="00461656" w:rsidP="00461656">
      <w:pPr>
        <w:numPr>
          <w:ilvl w:val="0"/>
          <w:numId w:val="1"/>
        </w:numPr>
      </w:pPr>
      <w:r w:rsidRPr="00C87C72">
        <w:rPr>
          <w:b/>
          <w:bCs/>
        </w:rPr>
        <w:t>Strengths</w:t>
      </w:r>
    </w:p>
    <w:p w14:paraId="2BC18F20" w14:textId="77777777" w:rsidR="00461656" w:rsidRPr="00C87C72" w:rsidRDefault="00461656" w:rsidP="00461656">
      <w:pPr>
        <w:numPr>
          <w:ilvl w:val="0"/>
          <w:numId w:val="1"/>
        </w:numPr>
      </w:pPr>
      <w:r w:rsidRPr="00C87C72">
        <w:rPr>
          <w:b/>
          <w:bCs/>
        </w:rPr>
        <w:t>Weaknesses</w:t>
      </w:r>
    </w:p>
    <w:p w14:paraId="3B9C8C1A" w14:textId="77777777" w:rsidR="00461656" w:rsidRPr="00C87C72" w:rsidRDefault="00461656" w:rsidP="00461656">
      <w:pPr>
        <w:numPr>
          <w:ilvl w:val="0"/>
          <w:numId w:val="1"/>
        </w:numPr>
      </w:pPr>
      <w:r w:rsidRPr="00C87C72">
        <w:rPr>
          <w:b/>
          <w:bCs/>
        </w:rPr>
        <w:t>Opportunities</w:t>
      </w:r>
    </w:p>
    <w:p w14:paraId="7FB7943D" w14:textId="77777777" w:rsidR="00461656" w:rsidRPr="00C87C72" w:rsidRDefault="00461656" w:rsidP="00461656">
      <w:pPr>
        <w:numPr>
          <w:ilvl w:val="0"/>
          <w:numId w:val="1"/>
        </w:numPr>
      </w:pPr>
      <w:r w:rsidRPr="00C87C72">
        <w:rPr>
          <w:b/>
          <w:bCs/>
        </w:rPr>
        <w:t>Threats</w:t>
      </w:r>
    </w:p>
    <w:p w14:paraId="40BEDD59" w14:textId="77777777" w:rsidR="00461656" w:rsidRPr="00C87C72" w:rsidRDefault="00461656" w:rsidP="00461656">
      <w:pPr>
        <w:numPr>
          <w:ilvl w:val="0"/>
          <w:numId w:val="1"/>
        </w:numPr>
      </w:pPr>
      <w:r w:rsidRPr="00C87C72">
        <w:rPr>
          <w:b/>
          <w:bCs/>
        </w:rPr>
        <w:t>SWOT Synthesis &amp; Strategic Matrices</w:t>
      </w:r>
    </w:p>
    <w:p w14:paraId="753E7C77" w14:textId="77777777" w:rsidR="00461656" w:rsidRPr="00C87C72" w:rsidRDefault="00461656" w:rsidP="00461656">
      <w:pPr>
        <w:numPr>
          <w:ilvl w:val="0"/>
          <w:numId w:val="1"/>
        </w:numPr>
      </w:pPr>
      <w:r w:rsidRPr="00C87C72">
        <w:rPr>
          <w:b/>
          <w:bCs/>
        </w:rPr>
        <w:t>Strategic Recommendations &amp; Roadmap</w:t>
      </w:r>
    </w:p>
    <w:p w14:paraId="7939D8F6" w14:textId="77777777" w:rsidR="00461656" w:rsidRPr="00C87C72" w:rsidRDefault="00461656" w:rsidP="00461656">
      <w:pPr>
        <w:numPr>
          <w:ilvl w:val="0"/>
          <w:numId w:val="1"/>
        </w:numPr>
      </w:pPr>
      <w:r w:rsidRPr="00C87C72">
        <w:rPr>
          <w:b/>
          <w:bCs/>
        </w:rPr>
        <w:t>Conclusion</w:t>
      </w:r>
    </w:p>
    <w:p w14:paraId="3B455FC3" w14:textId="77777777" w:rsidR="00461656" w:rsidRPr="00C87C72" w:rsidRDefault="00461656" w:rsidP="00461656">
      <w:r>
        <w:pict w14:anchorId="7CBE2206">
          <v:rect id="_x0000_i1027" style="width:0;height:.75pt" o:hralign="center" o:hrstd="t" o:hr="t" fillcolor="#a0a0a0" stroked="f"/>
        </w:pict>
      </w:r>
    </w:p>
    <w:p w14:paraId="6F778232" w14:textId="77777777" w:rsidR="00461656" w:rsidRPr="00C87C72" w:rsidRDefault="00461656" w:rsidP="00461656">
      <w:pPr>
        <w:rPr>
          <w:b/>
          <w:bCs/>
        </w:rPr>
      </w:pPr>
      <w:r w:rsidRPr="00C87C72">
        <w:rPr>
          <w:b/>
          <w:bCs/>
        </w:rPr>
        <w:t>1. Introduction &amp; Methodology</w:t>
      </w:r>
    </w:p>
    <w:p w14:paraId="56CAA782" w14:textId="77777777" w:rsidR="00461656" w:rsidRPr="00C87C72" w:rsidRDefault="00461656" w:rsidP="00461656">
      <w:r w:rsidRPr="00C87C72">
        <w:rPr>
          <w:b/>
          <w:bCs/>
        </w:rPr>
        <w:t>1.1 Product Overview</w:t>
      </w:r>
      <w:r w:rsidRPr="00C87C72">
        <w:br/>
      </w:r>
      <w:proofErr w:type="spellStart"/>
      <w:r w:rsidRPr="00C87C72">
        <w:t>AutoPrice</w:t>
      </w:r>
      <w:proofErr w:type="spellEnd"/>
      <w:r w:rsidRPr="00C87C72">
        <w:t xml:space="preserve"> AI is a pricing intelligence platform for the European used vehicle market. It utilizes machine learning (both statistical modeling and LLM-based reasoning) to analyze structured vehicle data—mileage, brand, model year, emission class, CO₂ output, and warranty status—to generate fair market price predictions. Its core differentiation is its explicit design for European compliance and market nuances.</w:t>
      </w:r>
    </w:p>
    <w:p w14:paraId="3788FD12" w14:textId="77777777" w:rsidR="00461656" w:rsidRPr="00C87C72" w:rsidRDefault="00461656" w:rsidP="00461656">
      <w:r w:rsidRPr="00C87C72">
        <w:rPr>
          <w:b/>
          <w:bCs/>
        </w:rPr>
        <w:lastRenderedPageBreak/>
        <w:t>1.2 Report Objective</w:t>
      </w:r>
      <w:r w:rsidRPr="00C87C72">
        <w:br/>
        <w:t xml:space="preserve">This report provides a structured analysis of </w:t>
      </w:r>
      <w:proofErr w:type="spellStart"/>
      <w:r w:rsidRPr="00C87C72">
        <w:t>AutoPrice</w:t>
      </w:r>
      <w:proofErr w:type="spellEnd"/>
      <w:r w:rsidRPr="00C87C72">
        <w:t xml:space="preserve"> AI's internal capabilities and external market context. The goal is to identify strategic pathways to achieve market leadership, secure sustainable growth, and mitigate key risks in the automotive valuation sector.</w:t>
      </w:r>
    </w:p>
    <w:p w14:paraId="1D616306" w14:textId="77777777" w:rsidR="00461656" w:rsidRPr="00C87C72" w:rsidRDefault="00461656" w:rsidP="00461656">
      <w:r w:rsidRPr="00C87C72">
        <w:rPr>
          <w:b/>
          <w:bCs/>
        </w:rPr>
        <w:t>1.3 Methodology</w:t>
      </w:r>
      <w:r w:rsidRPr="00C87C72">
        <w:br/>
        <w:t>Analysis is derived from the provided product specification, augmented by standard industry analysis of the European automotive and data analytics landscapes, applying the SWOT framework.</w:t>
      </w:r>
    </w:p>
    <w:p w14:paraId="3C209B98" w14:textId="77777777" w:rsidR="00461656" w:rsidRPr="00C87C72" w:rsidRDefault="00461656" w:rsidP="00461656">
      <w:r>
        <w:pict w14:anchorId="252C2AF4">
          <v:rect id="_x0000_i1028" style="width:0;height:.75pt" o:hralign="center" o:hrstd="t" o:hr="t" fillcolor="#a0a0a0" stroked="f"/>
        </w:pict>
      </w:r>
    </w:p>
    <w:p w14:paraId="49FDFBD2" w14:textId="77777777" w:rsidR="00461656" w:rsidRPr="00C87C72" w:rsidRDefault="00461656" w:rsidP="00461656">
      <w:pPr>
        <w:rPr>
          <w:b/>
          <w:bCs/>
        </w:rPr>
      </w:pPr>
      <w:r w:rsidRPr="00C87C72">
        <w:rPr>
          <w:b/>
          <w:bCs/>
        </w:rPr>
        <w:t>2. Strengths</w:t>
      </w:r>
    </w:p>
    <w:p w14:paraId="2FB28CD1" w14:textId="77777777" w:rsidR="00461656" w:rsidRPr="00C87C72" w:rsidRDefault="00461656" w:rsidP="00461656">
      <w:proofErr w:type="spellStart"/>
      <w:r w:rsidRPr="00C87C72">
        <w:t>AutoPrice</w:t>
      </w:r>
      <w:proofErr w:type="spellEnd"/>
      <w:r w:rsidRPr="00C87C72">
        <w:t xml:space="preserve"> AI’s advantages stem from its specialized focus and technological flexibility.</w:t>
      </w:r>
    </w:p>
    <w:p w14:paraId="6FD10C7C" w14:textId="77777777" w:rsidR="00461656" w:rsidRPr="00C87C72" w:rsidRDefault="00461656" w:rsidP="00461656">
      <w:r w:rsidRPr="00C87C72">
        <w:rPr>
          <w:b/>
          <w:bCs/>
        </w:rPr>
        <w:t>2.1 Market &amp; Regulatory Strengths</w:t>
      </w:r>
    </w:p>
    <w:p w14:paraId="41D8D3BA" w14:textId="77777777" w:rsidR="00461656" w:rsidRPr="00C87C72" w:rsidRDefault="00461656" w:rsidP="00461656">
      <w:pPr>
        <w:numPr>
          <w:ilvl w:val="0"/>
          <w:numId w:val="2"/>
        </w:numPr>
      </w:pPr>
      <w:r w:rsidRPr="00C87C72">
        <w:rPr>
          <w:b/>
          <w:bCs/>
        </w:rPr>
        <w:t>European Regulatory Integration:</w:t>
      </w:r>
      <w:r w:rsidRPr="00C87C72">
        <w:t> The explicit incorporation of </w:t>
      </w:r>
      <w:r w:rsidRPr="00C87C72">
        <w:rPr>
          <w:b/>
          <w:bCs/>
        </w:rPr>
        <w:t>EU emission classes, CO₂ factors, and compliance standards</w:t>
      </w:r>
      <w:r w:rsidRPr="00C87C72">
        <w:t> is a primary, defensible strength. This directly addresses a growing pricing determinant ignored by many generic models, especially with the rise of low-emission zones and environmental taxes.</w:t>
      </w:r>
    </w:p>
    <w:p w14:paraId="363F68F4" w14:textId="77777777" w:rsidR="00461656" w:rsidRPr="00C87C72" w:rsidRDefault="00461656" w:rsidP="00461656">
      <w:pPr>
        <w:numPr>
          <w:ilvl w:val="0"/>
          <w:numId w:val="2"/>
        </w:numPr>
      </w:pPr>
      <w:r w:rsidRPr="00C87C72">
        <w:rPr>
          <w:b/>
          <w:bCs/>
        </w:rPr>
        <w:t>Regional Market Specialization:</w:t>
      </w:r>
      <w:r w:rsidRPr="00C87C72">
        <w:t> A focus on Europe (starting with Belgium) and key European brands (VW, Mercedes, BMW, Peugeot, etc.) allows for hyper-localized, accurate models that understand region-specific depreciation curves, brand perception, and demand cycles.</w:t>
      </w:r>
    </w:p>
    <w:p w14:paraId="39AA1F13" w14:textId="77777777" w:rsidR="00461656" w:rsidRPr="00C87C72" w:rsidRDefault="00461656" w:rsidP="00461656">
      <w:pPr>
        <w:numPr>
          <w:ilvl w:val="0"/>
          <w:numId w:val="2"/>
        </w:numPr>
      </w:pPr>
      <w:r w:rsidRPr="00C87C72">
        <w:rPr>
          <w:b/>
          <w:bCs/>
        </w:rPr>
        <w:t>Targeted Problem Solution:</w:t>
      </w:r>
      <w:r w:rsidRPr="00C87C72">
        <w:t> It directly attacks the well-known pain points of </w:t>
      </w:r>
      <w:r w:rsidRPr="00C87C72">
        <w:rPr>
          <w:b/>
          <w:bCs/>
        </w:rPr>
        <w:t>pricing opacity and inconsistency</w:t>
      </w:r>
      <w:r w:rsidRPr="00C87C72">
        <w:t>, offering a value proposition of fairness and data-driven justification to both buyers and sellers.</w:t>
      </w:r>
    </w:p>
    <w:p w14:paraId="4E76EBDA" w14:textId="77777777" w:rsidR="00461656" w:rsidRPr="00C87C72" w:rsidRDefault="00461656" w:rsidP="00461656">
      <w:r w:rsidRPr="00C87C72">
        <w:rPr>
          <w:b/>
          <w:bCs/>
        </w:rPr>
        <w:t>2.2 Technical &amp; Architectural Strengths</w:t>
      </w:r>
    </w:p>
    <w:p w14:paraId="4342DCC4" w14:textId="77777777" w:rsidR="00461656" w:rsidRPr="00C87C72" w:rsidRDefault="00461656" w:rsidP="00461656">
      <w:pPr>
        <w:numPr>
          <w:ilvl w:val="0"/>
          <w:numId w:val="3"/>
        </w:numPr>
      </w:pPr>
      <w:r w:rsidRPr="00C87C72">
        <w:rPr>
          <w:b/>
          <w:bCs/>
        </w:rPr>
        <w:t>Dual-Modeling Approach (LLM + Statistical):</w:t>
      </w:r>
      <w:r w:rsidRPr="00C87C72">
        <w:t> Offering both explainable statistical models and context-aware LLM reasoning provides flexibility. It caters to different user needs—stable, reproducible numbers for integration vs. nuanced, feature-aware explanations for end-users.</w:t>
      </w:r>
    </w:p>
    <w:p w14:paraId="771C2B7C" w14:textId="77777777" w:rsidR="00461656" w:rsidRPr="00C87C72" w:rsidRDefault="00461656" w:rsidP="00461656">
      <w:pPr>
        <w:numPr>
          <w:ilvl w:val="0"/>
          <w:numId w:val="3"/>
        </w:numPr>
      </w:pPr>
      <w:r w:rsidRPr="00C87C72">
        <w:rPr>
          <w:b/>
          <w:bCs/>
        </w:rPr>
        <w:t>Structured Data Input Design:</w:t>
      </w:r>
      <w:r w:rsidRPr="00C87C72">
        <w:t> Reliance on clear, structured parameters (mileage, model year) makes the system initially easier to develop, validate, and explain compared to models relying on unstructured data like free-text descriptions or images.</w:t>
      </w:r>
    </w:p>
    <w:p w14:paraId="0EBD1D8D" w14:textId="77777777" w:rsidR="00461656" w:rsidRPr="00C87C72" w:rsidRDefault="00461656" w:rsidP="00461656">
      <w:pPr>
        <w:numPr>
          <w:ilvl w:val="0"/>
          <w:numId w:val="3"/>
        </w:numPr>
      </w:pPr>
      <w:r w:rsidRPr="00C87C72">
        <w:rPr>
          <w:b/>
          <w:bCs/>
        </w:rPr>
        <w:lastRenderedPageBreak/>
        <w:t>Integration-Friendly Output:</w:t>
      </w:r>
      <w:r w:rsidRPr="00C87C72">
        <w:t> As a prediction engine designed for platforms (dealerships, marketplaces), it is built to be embedded, creating opportunities for B2B partnerships and white-label solutions.</w:t>
      </w:r>
    </w:p>
    <w:p w14:paraId="0823541C" w14:textId="77777777" w:rsidR="00461656" w:rsidRPr="00C87C72" w:rsidRDefault="00461656" w:rsidP="00461656">
      <w:r w:rsidRPr="00C87C72">
        <w:rPr>
          <w:b/>
          <w:bCs/>
        </w:rPr>
        <w:t>Table 1: Core Strengths &amp; Strategic Implications</w:t>
      </w:r>
    </w:p>
    <w:tbl>
      <w:tblPr>
        <w:tblStyle w:val="GridTable5Dark-Accent6"/>
        <w:tblW w:w="10569" w:type="dxa"/>
        <w:tblLook w:val="04A0" w:firstRow="1" w:lastRow="0" w:firstColumn="1" w:lastColumn="0" w:noHBand="0" w:noVBand="1"/>
      </w:tblPr>
      <w:tblGrid>
        <w:gridCol w:w="3526"/>
        <w:gridCol w:w="7043"/>
      </w:tblGrid>
      <w:tr w:rsidR="00461656" w:rsidRPr="00C87C72" w14:paraId="1872CE25" w14:textId="77777777" w:rsidTr="00720D3F">
        <w:trPr>
          <w:cnfStyle w:val="100000000000" w:firstRow="1" w:lastRow="0" w:firstColumn="0" w:lastColumn="0" w:oddVBand="0" w:evenVBand="0" w:oddHBand="0"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4E5E7E41" w14:textId="77777777" w:rsidR="00461656" w:rsidRPr="00C87C72" w:rsidRDefault="00461656" w:rsidP="00720D3F">
            <w:pPr>
              <w:spacing w:after="160" w:line="278" w:lineRule="auto"/>
            </w:pPr>
            <w:r w:rsidRPr="00C87C72">
              <w:t>Strength</w:t>
            </w:r>
          </w:p>
        </w:tc>
        <w:tc>
          <w:tcPr>
            <w:tcW w:w="0" w:type="auto"/>
            <w:hideMark/>
          </w:tcPr>
          <w:p w14:paraId="1A1E536A" w14:textId="77777777" w:rsidR="00461656" w:rsidRPr="00C87C72" w:rsidRDefault="00461656" w:rsidP="00720D3F">
            <w:pPr>
              <w:spacing w:after="160" w:line="278" w:lineRule="auto"/>
              <w:cnfStyle w:val="100000000000" w:firstRow="1" w:lastRow="0" w:firstColumn="0" w:lastColumn="0" w:oddVBand="0" w:evenVBand="0" w:oddHBand="0" w:evenHBand="0" w:firstRowFirstColumn="0" w:firstRowLastColumn="0" w:lastRowFirstColumn="0" w:lastRowLastColumn="0"/>
            </w:pPr>
            <w:r w:rsidRPr="00C87C72">
              <w:t xml:space="preserve">Implication for </w:t>
            </w:r>
            <w:proofErr w:type="spellStart"/>
            <w:r w:rsidRPr="00C87C72">
              <w:t>AutoPrice</w:t>
            </w:r>
            <w:proofErr w:type="spellEnd"/>
            <w:r w:rsidRPr="00C87C72">
              <w:t xml:space="preserve"> AI</w:t>
            </w:r>
          </w:p>
        </w:tc>
      </w:tr>
      <w:tr w:rsidR="00461656" w:rsidRPr="00C87C72" w14:paraId="7B078AF4" w14:textId="77777777" w:rsidTr="00720D3F">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0" w:type="auto"/>
            <w:hideMark/>
          </w:tcPr>
          <w:p w14:paraId="075B239B" w14:textId="77777777" w:rsidR="00461656" w:rsidRPr="00C87C72" w:rsidRDefault="00461656" w:rsidP="00720D3F">
            <w:pPr>
              <w:spacing w:after="160" w:line="278" w:lineRule="auto"/>
            </w:pPr>
            <w:r w:rsidRPr="00C87C72">
              <w:t>EU Emission Standard Focus</w:t>
            </w:r>
          </w:p>
        </w:tc>
        <w:tc>
          <w:tcPr>
            <w:tcW w:w="0" w:type="auto"/>
            <w:hideMark/>
          </w:tcPr>
          <w:p w14:paraId="4E71B3B2" w14:textId="77777777" w:rsidR="00461656" w:rsidRPr="00C87C72" w:rsidRDefault="00461656" w:rsidP="00720D3F">
            <w:pPr>
              <w:spacing w:after="160" w:line="278" w:lineRule="auto"/>
              <w:cnfStyle w:val="000000100000" w:firstRow="0" w:lastRow="0" w:firstColumn="0" w:lastColumn="0" w:oddVBand="0" w:evenVBand="0" w:oddHBand="1" w:evenHBand="0" w:firstRowFirstColumn="0" w:firstRowLastColumn="0" w:lastRowFirstColumn="0" w:lastRowLastColumn="0"/>
            </w:pPr>
            <w:r w:rsidRPr="00C87C72">
              <w:t>Creates a regulatory moat; competitors without this focus will be less accurate in Europe.</w:t>
            </w:r>
          </w:p>
        </w:tc>
      </w:tr>
      <w:tr w:rsidR="00461656" w:rsidRPr="00C87C72" w14:paraId="6110204D" w14:textId="77777777" w:rsidTr="00720D3F">
        <w:trPr>
          <w:trHeight w:val="855"/>
        </w:trPr>
        <w:tc>
          <w:tcPr>
            <w:cnfStyle w:val="001000000000" w:firstRow="0" w:lastRow="0" w:firstColumn="1" w:lastColumn="0" w:oddVBand="0" w:evenVBand="0" w:oddHBand="0" w:evenHBand="0" w:firstRowFirstColumn="0" w:firstRowLastColumn="0" w:lastRowFirstColumn="0" w:lastRowLastColumn="0"/>
            <w:tcW w:w="0" w:type="auto"/>
            <w:hideMark/>
          </w:tcPr>
          <w:p w14:paraId="6B6AA3EE" w14:textId="77777777" w:rsidR="00461656" w:rsidRPr="00C87C72" w:rsidRDefault="00461656" w:rsidP="00720D3F">
            <w:pPr>
              <w:spacing w:after="160" w:line="278" w:lineRule="auto"/>
            </w:pPr>
            <w:r w:rsidRPr="00C87C72">
              <w:t>European Brand &amp; Market Specialization</w:t>
            </w:r>
          </w:p>
        </w:tc>
        <w:tc>
          <w:tcPr>
            <w:tcW w:w="0" w:type="auto"/>
            <w:hideMark/>
          </w:tcPr>
          <w:p w14:paraId="751FD3E0" w14:textId="77777777" w:rsidR="00461656" w:rsidRPr="00C87C72" w:rsidRDefault="00461656" w:rsidP="00720D3F">
            <w:pPr>
              <w:spacing w:after="160" w:line="278" w:lineRule="auto"/>
              <w:cnfStyle w:val="000000000000" w:firstRow="0" w:lastRow="0" w:firstColumn="0" w:lastColumn="0" w:oddVBand="0" w:evenVBand="0" w:oddHBand="0" w:evenHBand="0" w:firstRowFirstColumn="0" w:firstRowLastColumn="0" w:lastRowFirstColumn="0" w:lastRowLastColumn="0"/>
            </w:pPr>
            <w:r w:rsidRPr="00C87C72">
              <w:t>Enables superior accuracy vs. global one-size-fits-all models, building local trust.</w:t>
            </w:r>
          </w:p>
        </w:tc>
      </w:tr>
      <w:tr w:rsidR="00461656" w:rsidRPr="00C87C72" w14:paraId="3B5EDEB0" w14:textId="77777777" w:rsidTr="00720D3F">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0" w:type="auto"/>
            <w:hideMark/>
          </w:tcPr>
          <w:p w14:paraId="42B4016A" w14:textId="77777777" w:rsidR="00461656" w:rsidRPr="00C87C72" w:rsidRDefault="00461656" w:rsidP="00720D3F">
            <w:pPr>
              <w:spacing w:after="160" w:line="278" w:lineRule="auto"/>
            </w:pPr>
            <w:r w:rsidRPr="00C87C72">
              <w:t>Dual Modeling Architecture</w:t>
            </w:r>
          </w:p>
        </w:tc>
        <w:tc>
          <w:tcPr>
            <w:tcW w:w="0" w:type="auto"/>
            <w:hideMark/>
          </w:tcPr>
          <w:p w14:paraId="0EA71860" w14:textId="77777777" w:rsidR="00461656" w:rsidRPr="00C87C72" w:rsidRDefault="00461656" w:rsidP="00720D3F">
            <w:pPr>
              <w:spacing w:after="160" w:line="278" w:lineRule="auto"/>
              <w:cnfStyle w:val="000000100000" w:firstRow="0" w:lastRow="0" w:firstColumn="0" w:lastColumn="0" w:oddVBand="0" w:evenVBand="0" w:oddHBand="1" w:evenHBand="0" w:firstRowFirstColumn="0" w:firstRowLastColumn="0" w:lastRowFirstColumn="0" w:lastRowLastColumn="0"/>
            </w:pPr>
            <w:r w:rsidRPr="00C87C72">
              <w:t>Appeals to both technical (IT/dealer systems) and end-user (buyer/seller) needs.</w:t>
            </w:r>
          </w:p>
        </w:tc>
      </w:tr>
      <w:tr w:rsidR="00461656" w:rsidRPr="00C87C72" w14:paraId="2B67DF90" w14:textId="77777777" w:rsidTr="00720D3F">
        <w:trPr>
          <w:trHeight w:val="844"/>
        </w:trPr>
        <w:tc>
          <w:tcPr>
            <w:cnfStyle w:val="001000000000" w:firstRow="0" w:lastRow="0" w:firstColumn="1" w:lastColumn="0" w:oddVBand="0" w:evenVBand="0" w:oddHBand="0" w:evenHBand="0" w:firstRowFirstColumn="0" w:firstRowLastColumn="0" w:lastRowFirstColumn="0" w:lastRowLastColumn="0"/>
            <w:tcW w:w="0" w:type="auto"/>
            <w:hideMark/>
          </w:tcPr>
          <w:p w14:paraId="4191C82D" w14:textId="77777777" w:rsidR="00461656" w:rsidRPr="00C87C72" w:rsidRDefault="00461656" w:rsidP="00720D3F">
            <w:pPr>
              <w:spacing w:after="160" w:line="278" w:lineRule="auto"/>
            </w:pPr>
            <w:r w:rsidRPr="00C87C72">
              <w:t>Clear Transparency Value Prop</w:t>
            </w:r>
          </w:p>
        </w:tc>
        <w:tc>
          <w:tcPr>
            <w:tcW w:w="0" w:type="auto"/>
            <w:hideMark/>
          </w:tcPr>
          <w:p w14:paraId="10B92FB5" w14:textId="77777777" w:rsidR="00461656" w:rsidRPr="00C87C72" w:rsidRDefault="00461656" w:rsidP="00720D3F">
            <w:pPr>
              <w:spacing w:after="160" w:line="278" w:lineRule="auto"/>
              <w:cnfStyle w:val="000000000000" w:firstRow="0" w:lastRow="0" w:firstColumn="0" w:lastColumn="0" w:oddVBand="0" w:evenVBand="0" w:oddHBand="0" w:evenHBand="0" w:firstRowFirstColumn="0" w:firstRowLastColumn="0" w:lastRowFirstColumn="0" w:lastRowLastColumn="0"/>
            </w:pPr>
            <w:r w:rsidRPr="00C87C72">
              <w:t>Addresses a universal market frustration, easing marketing messaging and user acquisition.</w:t>
            </w:r>
          </w:p>
        </w:tc>
      </w:tr>
    </w:tbl>
    <w:p w14:paraId="4AF8629D" w14:textId="77777777" w:rsidR="00461656" w:rsidRDefault="00461656"/>
    <w:sectPr w:rsidR="004616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F6186"/>
    <w:multiLevelType w:val="multilevel"/>
    <w:tmpl w:val="189C9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1DF4D4A"/>
    <w:multiLevelType w:val="multilevel"/>
    <w:tmpl w:val="9F00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8E06F1"/>
    <w:multiLevelType w:val="multilevel"/>
    <w:tmpl w:val="FB18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7881142">
    <w:abstractNumId w:val="0"/>
  </w:num>
  <w:num w:numId="2" w16cid:durableId="2089450765">
    <w:abstractNumId w:val="2"/>
  </w:num>
  <w:num w:numId="3" w16cid:durableId="593328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656"/>
    <w:rsid w:val="00461656"/>
    <w:rsid w:val="00990C2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B1C42"/>
  <w15:chartTrackingRefBased/>
  <w15:docId w15:val="{4B96C08E-1629-450C-8BDA-14D5E5C72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656"/>
  </w:style>
  <w:style w:type="paragraph" w:styleId="Heading1">
    <w:name w:val="heading 1"/>
    <w:basedOn w:val="Normal"/>
    <w:next w:val="Normal"/>
    <w:link w:val="Heading1Char"/>
    <w:uiPriority w:val="9"/>
    <w:qFormat/>
    <w:rsid w:val="00461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1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1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1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1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1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1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1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1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1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1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656"/>
    <w:rPr>
      <w:rFonts w:eastAsiaTheme="majorEastAsia" w:cstheme="majorBidi"/>
      <w:color w:val="272727" w:themeColor="text1" w:themeTint="D8"/>
    </w:rPr>
  </w:style>
  <w:style w:type="paragraph" w:styleId="Title">
    <w:name w:val="Title"/>
    <w:basedOn w:val="Normal"/>
    <w:next w:val="Normal"/>
    <w:link w:val="TitleChar"/>
    <w:uiPriority w:val="10"/>
    <w:qFormat/>
    <w:rsid w:val="00461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656"/>
    <w:pPr>
      <w:spacing w:before="160"/>
      <w:jc w:val="center"/>
    </w:pPr>
    <w:rPr>
      <w:i/>
      <w:iCs/>
      <w:color w:val="404040" w:themeColor="text1" w:themeTint="BF"/>
    </w:rPr>
  </w:style>
  <w:style w:type="character" w:customStyle="1" w:styleId="QuoteChar">
    <w:name w:val="Quote Char"/>
    <w:basedOn w:val="DefaultParagraphFont"/>
    <w:link w:val="Quote"/>
    <w:uiPriority w:val="29"/>
    <w:rsid w:val="00461656"/>
    <w:rPr>
      <w:i/>
      <w:iCs/>
      <w:color w:val="404040" w:themeColor="text1" w:themeTint="BF"/>
    </w:rPr>
  </w:style>
  <w:style w:type="paragraph" w:styleId="ListParagraph">
    <w:name w:val="List Paragraph"/>
    <w:basedOn w:val="Normal"/>
    <w:uiPriority w:val="34"/>
    <w:qFormat/>
    <w:rsid w:val="00461656"/>
    <w:pPr>
      <w:ind w:left="720"/>
      <w:contextualSpacing/>
    </w:pPr>
  </w:style>
  <w:style w:type="character" w:styleId="IntenseEmphasis">
    <w:name w:val="Intense Emphasis"/>
    <w:basedOn w:val="DefaultParagraphFont"/>
    <w:uiPriority w:val="21"/>
    <w:qFormat/>
    <w:rsid w:val="00461656"/>
    <w:rPr>
      <w:i/>
      <w:iCs/>
      <w:color w:val="2F5496" w:themeColor="accent1" w:themeShade="BF"/>
    </w:rPr>
  </w:style>
  <w:style w:type="paragraph" w:styleId="IntenseQuote">
    <w:name w:val="Intense Quote"/>
    <w:basedOn w:val="Normal"/>
    <w:next w:val="Normal"/>
    <w:link w:val="IntenseQuoteChar"/>
    <w:uiPriority w:val="30"/>
    <w:qFormat/>
    <w:rsid w:val="00461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1656"/>
    <w:rPr>
      <w:i/>
      <w:iCs/>
      <w:color w:val="2F5496" w:themeColor="accent1" w:themeShade="BF"/>
    </w:rPr>
  </w:style>
  <w:style w:type="character" w:styleId="IntenseReference">
    <w:name w:val="Intense Reference"/>
    <w:basedOn w:val="DefaultParagraphFont"/>
    <w:uiPriority w:val="32"/>
    <w:qFormat/>
    <w:rsid w:val="00461656"/>
    <w:rPr>
      <w:b/>
      <w:bCs/>
      <w:smallCaps/>
      <w:color w:val="2F5496" w:themeColor="accent1" w:themeShade="BF"/>
      <w:spacing w:val="5"/>
    </w:rPr>
  </w:style>
  <w:style w:type="table" w:styleId="GridTable5Dark-Accent6">
    <w:name w:val="Grid Table 5 Dark Accent 6"/>
    <w:basedOn w:val="TableNormal"/>
    <w:uiPriority w:val="50"/>
    <w:rsid w:val="0046165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643</Words>
  <Characters>3670</Characters>
  <Application>Microsoft Office Word</Application>
  <DocSecurity>0</DocSecurity>
  <Lines>30</Lines>
  <Paragraphs>8</Paragraphs>
  <ScaleCrop>false</ScaleCrop>
  <Company/>
  <LinksUpToDate>false</LinksUpToDate>
  <CharactersWithSpaces>4305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(SP22-BAI-020)JAWADALI</cp:lastModifiedBy>
  <cp:revision>1</cp:revision>
  <dcterms:created xsi:type="dcterms:W3CDTF">2026-01-07T14:29:00Z</dcterms:created>
  <dcterms:modified xsi:type="dcterms:W3CDTF">2026-01-07T14:30:00Z</dcterms:modified>
</cp:coreProperties>
</file>