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41E35" w14:textId="77777777" w:rsidR="005707E1" w:rsidRPr="006122AB" w:rsidRDefault="005707E1" w:rsidP="005707E1">
      <w:pPr>
        <w:rPr>
          <w:b/>
          <w:bCs/>
        </w:rPr>
      </w:pPr>
      <w:r w:rsidRPr="006122AB">
        <w:rPr>
          <w:b/>
          <w:bCs/>
        </w:rPr>
        <w:t xml:space="preserve">Stakeholder Analysis Report: </w:t>
      </w:r>
      <w:proofErr w:type="spellStart"/>
      <w:r w:rsidRPr="006122AB">
        <w:rPr>
          <w:b/>
          <w:bCs/>
        </w:rPr>
        <w:t>AutoPrice</w:t>
      </w:r>
      <w:proofErr w:type="spellEnd"/>
      <w:r w:rsidRPr="006122AB">
        <w:rPr>
          <w:b/>
          <w:bCs/>
        </w:rPr>
        <w:t xml:space="preserve"> AI</w:t>
      </w:r>
    </w:p>
    <w:p w14:paraId="5D17BD14" w14:textId="77777777" w:rsidR="005707E1" w:rsidRPr="006122AB" w:rsidRDefault="005707E1" w:rsidP="005707E1">
      <w:r>
        <w:pict w14:anchorId="65E9BF13">
          <v:rect id="_x0000_i1025" style="width:0;height:.75pt" o:hralign="center" o:hrstd="t" o:hr="t" fillcolor="#a0a0a0" stroked="f"/>
        </w:pict>
      </w:r>
    </w:p>
    <w:p w14:paraId="72BDA2B2" w14:textId="77777777" w:rsidR="005707E1" w:rsidRPr="006122AB" w:rsidRDefault="005707E1" w:rsidP="005707E1">
      <w:pPr>
        <w:rPr>
          <w:b/>
          <w:bCs/>
        </w:rPr>
      </w:pPr>
      <w:r w:rsidRPr="006122AB">
        <w:rPr>
          <w:b/>
          <w:bCs/>
        </w:rPr>
        <w:t>Executive Summary</w:t>
      </w:r>
    </w:p>
    <w:p w14:paraId="70177F39" w14:textId="77777777" w:rsidR="005707E1" w:rsidRPr="006122AB" w:rsidRDefault="005707E1" w:rsidP="005707E1">
      <w:proofErr w:type="spellStart"/>
      <w:r w:rsidRPr="006122AB">
        <w:t>AutoPrice</w:t>
      </w:r>
      <w:proofErr w:type="spellEnd"/>
      <w:r w:rsidRPr="006122AB">
        <w:t xml:space="preserve"> AI is a data-driven used vehicle price prediction system specifically optimized for European markets, incorporating environmental and regulatory factors. This stakeholder analysis aims to identify, prioritize, and develop engagement strategies for all parties impacted by this solution. Success requires navigating a complex ecosystem of individual users, commercial entities, and regulatory considerations. The analysis provides actionable insights for product development, go-to-market strategy, and risk mitigation in the competitive automotive pricing intelligence landscape.</w:t>
      </w:r>
    </w:p>
    <w:p w14:paraId="50789196" w14:textId="77777777" w:rsidR="005707E1" w:rsidRPr="006122AB" w:rsidRDefault="005707E1" w:rsidP="005707E1">
      <w:pPr>
        <w:rPr>
          <w:b/>
          <w:bCs/>
        </w:rPr>
      </w:pPr>
      <w:r w:rsidRPr="006122AB">
        <w:rPr>
          <w:b/>
          <w:bCs/>
        </w:rPr>
        <w:t>1.0 Introduction and Methodology</w:t>
      </w:r>
    </w:p>
    <w:p w14:paraId="3C760647" w14:textId="77777777" w:rsidR="005707E1" w:rsidRPr="006122AB" w:rsidRDefault="005707E1" w:rsidP="005707E1">
      <w:r w:rsidRPr="006122AB">
        <w:t xml:space="preserve">The European used vehicle market suffers from pricing opacity and inconsistency, exacerbated by varying emission regulations and market fragmentation. </w:t>
      </w:r>
      <w:proofErr w:type="spellStart"/>
      <w:r w:rsidRPr="006122AB">
        <w:t>AutoPrice</w:t>
      </w:r>
      <w:proofErr w:type="spellEnd"/>
      <w:r w:rsidRPr="006122AB">
        <w:t xml:space="preserve"> AI addresses this by providing transparent, regulation-aware pricing intelligence. This analysis systematically examines stakeholders using:</w:t>
      </w:r>
    </w:p>
    <w:p w14:paraId="16DBA305" w14:textId="77777777" w:rsidR="005707E1" w:rsidRPr="006122AB" w:rsidRDefault="005707E1" w:rsidP="005707E1">
      <w:pPr>
        <w:numPr>
          <w:ilvl w:val="0"/>
          <w:numId w:val="1"/>
        </w:numPr>
      </w:pPr>
      <w:r w:rsidRPr="006122AB">
        <w:rPr>
          <w:b/>
          <w:bCs/>
        </w:rPr>
        <w:t>Identification:</w:t>
      </w:r>
      <w:r w:rsidRPr="006122AB">
        <w:t> Cataloging all entities affected by or influencing the product</w:t>
      </w:r>
    </w:p>
    <w:p w14:paraId="0309A666" w14:textId="77777777" w:rsidR="005707E1" w:rsidRPr="006122AB" w:rsidRDefault="005707E1" w:rsidP="005707E1">
      <w:pPr>
        <w:numPr>
          <w:ilvl w:val="0"/>
          <w:numId w:val="1"/>
        </w:numPr>
      </w:pPr>
      <w:r w:rsidRPr="006122AB">
        <w:rPr>
          <w:b/>
          <w:bCs/>
        </w:rPr>
        <w:t>Categorization:</w:t>
      </w:r>
      <w:r w:rsidRPr="006122AB">
        <w:t> Mapping stakeholders by influence, interest, support, and impact</w:t>
      </w:r>
    </w:p>
    <w:p w14:paraId="244157A5" w14:textId="77777777" w:rsidR="005707E1" w:rsidRPr="006122AB" w:rsidRDefault="005707E1" w:rsidP="005707E1">
      <w:pPr>
        <w:numPr>
          <w:ilvl w:val="0"/>
          <w:numId w:val="1"/>
        </w:numPr>
      </w:pPr>
      <w:r w:rsidRPr="006122AB">
        <w:rPr>
          <w:b/>
          <w:bCs/>
        </w:rPr>
        <w:t>Strategy Development:</w:t>
      </w:r>
      <w:r w:rsidRPr="006122AB">
        <w:t> Creating tailored engagement approaches</w:t>
      </w:r>
    </w:p>
    <w:p w14:paraId="79CC1E72" w14:textId="77777777" w:rsidR="005707E1" w:rsidRPr="006122AB" w:rsidRDefault="005707E1" w:rsidP="005707E1">
      <w:r w:rsidRPr="006122AB">
        <w:t>Primary analytical tools include the Influence-Interest Matrix and Support-Impact Matrix.</w:t>
      </w:r>
    </w:p>
    <w:p w14:paraId="26B8F387" w14:textId="77777777" w:rsidR="005707E1" w:rsidRPr="006122AB" w:rsidRDefault="005707E1" w:rsidP="005707E1">
      <w:pPr>
        <w:rPr>
          <w:b/>
          <w:bCs/>
        </w:rPr>
      </w:pPr>
      <w:r w:rsidRPr="006122AB">
        <w:rPr>
          <w:b/>
          <w:bCs/>
        </w:rPr>
        <w:t>2.0 Stakeholder Identification and Categorization</w:t>
      </w:r>
    </w:p>
    <w:p w14:paraId="20633C1D" w14:textId="77777777" w:rsidR="005707E1" w:rsidRPr="006122AB" w:rsidRDefault="005707E1" w:rsidP="005707E1">
      <w:pPr>
        <w:rPr>
          <w:b/>
          <w:bCs/>
        </w:rPr>
      </w:pPr>
      <w:r w:rsidRPr="006122AB">
        <w:rPr>
          <w:b/>
          <w:bCs/>
        </w:rPr>
        <w:t>Table 1: Internal Stakeholders</w:t>
      </w:r>
    </w:p>
    <w:tbl>
      <w:tblPr>
        <w:tblStyle w:val="GridTable5Dark-Accent4"/>
        <w:tblW w:w="10609" w:type="dxa"/>
        <w:tblLook w:val="04A0" w:firstRow="1" w:lastRow="0" w:firstColumn="1" w:lastColumn="0" w:noHBand="0" w:noVBand="1"/>
      </w:tblPr>
      <w:tblGrid>
        <w:gridCol w:w="2947"/>
        <w:gridCol w:w="7662"/>
      </w:tblGrid>
      <w:tr w:rsidR="005707E1" w:rsidRPr="006122AB" w14:paraId="74C7C10A" w14:textId="77777777" w:rsidTr="00DC719E">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1A05F59C" w14:textId="77777777" w:rsidR="005707E1" w:rsidRPr="006122AB" w:rsidRDefault="005707E1" w:rsidP="00DC719E">
            <w:pPr>
              <w:spacing w:after="160" w:line="278" w:lineRule="auto"/>
            </w:pPr>
            <w:r w:rsidRPr="006122AB">
              <w:t>Stakeholder Group</w:t>
            </w:r>
          </w:p>
        </w:tc>
        <w:tc>
          <w:tcPr>
            <w:tcW w:w="0" w:type="auto"/>
            <w:hideMark/>
          </w:tcPr>
          <w:p w14:paraId="71AC29AD" w14:textId="77777777" w:rsidR="005707E1" w:rsidRPr="006122AB" w:rsidRDefault="005707E1" w:rsidP="00DC719E">
            <w:pPr>
              <w:spacing w:after="160" w:line="278" w:lineRule="auto"/>
              <w:cnfStyle w:val="100000000000" w:firstRow="1" w:lastRow="0" w:firstColumn="0" w:lastColumn="0" w:oddVBand="0" w:evenVBand="0" w:oddHBand="0" w:evenHBand="0" w:firstRowFirstColumn="0" w:firstRowLastColumn="0" w:lastRowFirstColumn="0" w:lastRowLastColumn="0"/>
            </w:pPr>
            <w:r w:rsidRPr="006122AB">
              <w:t>Primary Interests &amp; Concerns</w:t>
            </w:r>
          </w:p>
        </w:tc>
      </w:tr>
      <w:tr w:rsidR="005707E1" w:rsidRPr="006122AB" w14:paraId="0A3D3FB3" w14:textId="77777777" w:rsidTr="00DC719E">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2E458BC1" w14:textId="77777777" w:rsidR="005707E1" w:rsidRPr="006122AB" w:rsidRDefault="005707E1" w:rsidP="00DC719E">
            <w:pPr>
              <w:spacing w:after="160" w:line="278" w:lineRule="auto"/>
            </w:pPr>
            <w:r w:rsidRPr="006122AB">
              <w:t>Executive Leadership / Investors</w:t>
            </w:r>
          </w:p>
        </w:tc>
        <w:tc>
          <w:tcPr>
            <w:tcW w:w="0" w:type="auto"/>
            <w:hideMark/>
          </w:tcPr>
          <w:p w14:paraId="3D0F2CFA" w14:textId="77777777" w:rsidR="005707E1" w:rsidRPr="006122AB" w:rsidRDefault="005707E1" w:rsidP="00DC719E">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Market penetration in Europe, revenue growth, competitive positioning, regulatory compliance, scalability</w:t>
            </w:r>
          </w:p>
        </w:tc>
      </w:tr>
      <w:tr w:rsidR="005707E1" w:rsidRPr="006122AB" w14:paraId="4DFC8FD2" w14:textId="77777777" w:rsidTr="00DC719E">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6AC17770" w14:textId="77777777" w:rsidR="005707E1" w:rsidRPr="006122AB" w:rsidRDefault="005707E1" w:rsidP="00DC719E">
            <w:pPr>
              <w:spacing w:after="160" w:line="278" w:lineRule="auto"/>
            </w:pPr>
            <w:r w:rsidRPr="006122AB">
              <w:t>Product Management &amp; Development</w:t>
            </w:r>
          </w:p>
        </w:tc>
        <w:tc>
          <w:tcPr>
            <w:tcW w:w="0" w:type="auto"/>
            <w:hideMark/>
          </w:tcPr>
          <w:p w14:paraId="1B0FF37C" w14:textId="77777777" w:rsidR="005707E1" w:rsidRPr="006122AB" w:rsidRDefault="005707E1" w:rsidP="00DC719E">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Algorithm accuracy, European market specificity, integration flexibility, data quality, regulatory updates</w:t>
            </w:r>
          </w:p>
        </w:tc>
      </w:tr>
      <w:tr w:rsidR="005707E1" w:rsidRPr="006122AB" w14:paraId="4CDFFA1A" w14:textId="77777777" w:rsidTr="00DC719E">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6D2658D5" w14:textId="77777777" w:rsidR="005707E1" w:rsidRPr="006122AB" w:rsidRDefault="005707E1" w:rsidP="00DC719E">
            <w:pPr>
              <w:spacing w:after="160" w:line="278" w:lineRule="auto"/>
            </w:pPr>
            <w:r w:rsidRPr="006122AB">
              <w:t>Sales &amp; Marketing Teams</w:t>
            </w:r>
          </w:p>
        </w:tc>
        <w:tc>
          <w:tcPr>
            <w:tcW w:w="0" w:type="auto"/>
            <w:hideMark/>
          </w:tcPr>
          <w:p w14:paraId="732AD2A5" w14:textId="77777777" w:rsidR="005707E1" w:rsidRPr="006122AB" w:rsidRDefault="005707E1" w:rsidP="00DC719E">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Clear differentiation from generic pricing tools, target segment identification, commission structure, competitive intelligence</w:t>
            </w:r>
          </w:p>
        </w:tc>
      </w:tr>
      <w:tr w:rsidR="005707E1" w:rsidRPr="006122AB" w14:paraId="349DA70B" w14:textId="77777777" w:rsidTr="00DC719E">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478AA285" w14:textId="77777777" w:rsidR="005707E1" w:rsidRPr="006122AB" w:rsidRDefault="005707E1" w:rsidP="00DC719E">
            <w:pPr>
              <w:spacing w:after="160" w:line="278" w:lineRule="auto"/>
            </w:pPr>
            <w:r w:rsidRPr="006122AB">
              <w:lastRenderedPageBreak/>
              <w:t>Data Science &amp; Analytics Team</w:t>
            </w:r>
          </w:p>
        </w:tc>
        <w:tc>
          <w:tcPr>
            <w:tcW w:w="0" w:type="auto"/>
            <w:hideMark/>
          </w:tcPr>
          <w:p w14:paraId="2C899173" w14:textId="77777777" w:rsidR="005707E1" w:rsidRPr="006122AB" w:rsidRDefault="005707E1" w:rsidP="00DC719E">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Model accuracy, feature engineering for European factors, explainability of LLM-based reasoning, data pipeline robustness</w:t>
            </w:r>
          </w:p>
        </w:tc>
      </w:tr>
    </w:tbl>
    <w:p w14:paraId="1F1E28AA" w14:textId="77777777" w:rsidR="005707E1" w:rsidRPr="006122AB" w:rsidRDefault="005707E1" w:rsidP="005707E1">
      <w:pPr>
        <w:rPr>
          <w:b/>
          <w:bCs/>
        </w:rPr>
      </w:pPr>
      <w:r w:rsidRPr="006122AB">
        <w:rPr>
          <w:b/>
          <w:bCs/>
        </w:rPr>
        <w:t>Table 2: External Stakeholders</w:t>
      </w:r>
    </w:p>
    <w:tbl>
      <w:tblPr>
        <w:tblStyle w:val="GridTable5Dark-Accent4"/>
        <w:tblW w:w="10589" w:type="dxa"/>
        <w:tblLook w:val="04A0" w:firstRow="1" w:lastRow="0" w:firstColumn="1" w:lastColumn="0" w:noHBand="0" w:noVBand="1"/>
      </w:tblPr>
      <w:tblGrid>
        <w:gridCol w:w="4120"/>
        <w:gridCol w:w="6469"/>
      </w:tblGrid>
      <w:tr w:rsidR="005707E1" w:rsidRPr="006122AB" w14:paraId="79F82BE5" w14:textId="77777777" w:rsidTr="00DC719E">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630AC92A" w14:textId="77777777" w:rsidR="005707E1" w:rsidRPr="006122AB" w:rsidRDefault="005707E1" w:rsidP="00DC719E">
            <w:pPr>
              <w:spacing w:after="160" w:line="278" w:lineRule="auto"/>
            </w:pPr>
            <w:r w:rsidRPr="006122AB">
              <w:t>Stakeholder Group</w:t>
            </w:r>
          </w:p>
        </w:tc>
        <w:tc>
          <w:tcPr>
            <w:tcW w:w="0" w:type="auto"/>
            <w:hideMark/>
          </w:tcPr>
          <w:p w14:paraId="2FD42E12" w14:textId="77777777" w:rsidR="005707E1" w:rsidRPr="006122AB" w:rsidRDefault="005707E1" w:rsidP="00DC719E">
            <w:pPr>
              <w:spacing w:after="160" w:line="278" w:lineRule="auto"/>
              <w:cnfStyle w:val="100000000000" w:firstRow="1" w:lastRow="0" w:firstColumn="0" w:lastColumn="0" w:oddVBand="0" w:evenVBand="0" w:oddHBand="0" w:evenHBand="0" w:firstRowFirstColumn="0" w:firstRowLastColumn="0" w:lastRowFirstColumn="0" w:lastRowLastColumn="0"/>
            </w:pPr>
            <w:r w:rsidRPr="006122AB">
              <w:t>Primary Interests &amp; Concerns</w:t>
            </w:r>
          </w:p>
        </w:tc>
      </w:tr>
      <w:tr w:rsidR="005707E1" w:rsidRPr="006122AB" w14:paraId="106D1269" w14:textId="77777777" w:rsidTr="00DC719E">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40B8FBB5" w14:textId="77777777" w:rsidR="005707E1" w:rsidRPr="006122AB" w:rsidRDefault="005707E1" w:rsidP="00DC719E">
            <w:pPr>
              <w:spacing w:after="160" w:line="278" w:lineRule="auto"/>
            </w:pPr>
            <w:r w:rsidRPr="006122AB">
              <w:t>Primary Users: Dealerships &amp; Sellers</w:t>
            </w:r>
          </w:p>
        </w:tc>
        <w:tc>
          <w:tcPr>
            <w:tcW w:w="0" w:type="auto"/>
            <w:hideMark/>
          </w:tcPr>
          <w:p w14:paraId="139D30FD" w14:textId="77777777" w:rsidR="005707E1" w:rsidRPr="006122AB" w:rsidRDefault="005707E1" w:rsidP="00DC719E">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Pricing accuracy, ease of integration, time savings, competitive advantage, trust in predictions</w:t>
            </w:r>
          </w:p>
        </w:tc>
      </w:tr>
      <w:tr w:rsidR="005707E1" w:rsidRPr="006122AB" w14:paraId="6455D41E" w14:textId="77777777" w:rsidTr="00DC719E">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4367F7F9" w14:textId="77777777" w:rsidR="005707E1" w:rsidRPr="006122AB" w:rsidRDefault="005707E1" w:rsidP="00DC719E">
            <w:pPr>
              <w:spacing w:after="160" w:line="278" w:lineRule="auto"/>
            </w:pPr>
            <w:r w:rsidRPr="006122AB">
              <w:t>Economic Buyers: Fleet Managers &amp; Marketplace Platforms</w:t>
            </w:r>
          </w:p>
        </w:tc>
        <w:tc>
          <w:tcPr>
            <w:tcW w:w="0" w:type="auto"/>
            <w:hideMark/>
          </w:tcPr>
          <w:p w14:paraId="06A0DD48" w14:textId="77777777" w:rsidR="005707E1" w:rsidRPr="006122AB" w:rsidRDefault="005707E1" w:rsidP="00DC719E">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Cost savings, operational efficiency, integration with existing systems, ROI, data reliability</w:t>
            </w:r>
          </w:p>
        </w:tc>
      </w:tr>
      <w:tr w:rsidR="005707E1" w:rsidRPr="006122AB" w14:paraId="70371142" w14:textId="77777777" w:rsidTr="00DC719E">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4BB76F3F" w14:textId="77777777" w:rsidR="005707E1" w:rsidRPr="006122AB" w:rsidRDefault="005707E1" w:rsidP="00DC719E">
            <w:pPr>
              <w:spacing w:after="160" w:line="278" w:lineRule="auto"/>
            </w:pPr>
            <w:r w:rsidRPr="006122AB">
              <w:t>End Users: Individual Buyers/Sellers</w:t>
            </w:r>
          </w:p>
        </w:tc>
        <w:tc>
          <w:tcPr>
            <w:tcW w:w="0" w:type="auto"/>
            <w:hideMark/>
          </w:tcPr>
          <w:p w14:paraId="57339063" w14:textId="77777777" w:rsidR="005707E1" w:rsidRPr="006122AB" w:rsidRDefault="005707E1" w:rsidP="00DC719E">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Fair price assurance, transparency, ease of use, cost (if applicable), trust in platform</w:t>
            </w:r>
          </w:p>
        </w:tc>
      </w:tr>
      <w:tr w:rsidR="005707E1" w:rsidRPr="006122AB" w14:paraId="7E5B09BC" w14:textId="77777777" w:rsidTr="00DC719E">
        <w:trPr>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0B9E1561" w14:textId="77777777" w:rsidR="005707E1" w:rsidRPr="006122AB" w:rsidRDefault="005707E1" w:rsidP="00DC719E">
            <w:pPr>
              <w:spacing w:after="160" w:line="278" w:lineRule="auto"/>
            </w:pPr>
            <w:r w:rsidRPr="006122AB">
              <w:t>Technical Integrators: IT Departments &amp; Platform Developers</w:t>
            </w:r>
          </w:p>
        </w:tc>
        <w:tc>
          <w:tcPr>
            <w:tcW w:w="0" w:type="auto"/>
            <w:hideMark/>
          </w:tcPr>
          <w:p w14:paraId="4AA6DC37" w14:textId="77777777" w:rsidR="005707E1" w:rsidRPr="006122AB" w:rsidRDefault="005707E1" w:rsidP="00DC719E">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API reliability, data security, scalability, documentation quality, compliance with data protection (GDPR)</w:t>
            </w:r>
          </w:p>
        </w:tc>
      </w:tr>
      <w:tr w:rsidR="005707E1" w:rsidRPr="006122AB" w14:paraId="6B95FE97" w14:textId="77777777" w:rsidTr="00DC719E">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059176C0" w14:textId="77777777" w:rsidR="005707E1" w:rsidRPr="006122AB" w:rsidRDefault="005707E1" w:rsidP="00DC719E">
            <w:pPr>
              <w:spacing w:after="160" w:line="278" w:lineRule="auto"/>
            </w:pPr>
            <w:r w:rsidRPr="006122AB">
              <w:t>Influencers: Automotive Industry Experts &amp; Journalists</w:t>
            </w:r>
          </w:p>
        </w:tc>
        <w:tc>
          <w:tcPr>
            <w:tcW w:w="0" w:type="auto"/>
            <w:hideMark/>
          </w:tcPr>
          <w:p w14:paraId="38854432" w14:textId="77777777" w:rsidR="005707E1" w:rsidRPr="006122AB" w:rsidRDefault="005707E1" w:rsidP="00DC719E">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Accuracy of methodology, independence from dealer bias, transparency of algorithm, regulatory alignment</w:t>
            </w:r>
          </w:p>
        </w:tc>
      </w:tr>
      <w:tr w:rsidR="005707E1" w:rsidRPr="006122AB" w14:paraId="4BF60B45" w14:textId="77777777" w:rsidTr="00DC719E">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7454CB2E" w14:textId="77777777" w:rsidR="005707E1" w:rsidRPr="006122AB" w:rsidRDefault="005707E1" w:rsidP="00DC719E">
            <w:pPr>
              <w:spacing w:after="160" w:line="278" w:lineRule="auto"/>
            </w:pPr>
            <w:r w:rsidRPr="006122AB">
              <w:t>Strategic Partners: Dealer Management System Providers</w:t>
            </w:r>
          </w:p>
        </w:tc>
        <w:tc>
          <w:tcPr>
            <w:tcW w:w="0" w:type="auto"/>
            <w:hideMark/>
          </w:tcPr>
          <w:p w14:paraId="7403AC4D" w14:textId="77777777" w:rsidR="005707E1" w:rsidRPr="006122AB" w:rsidRDefault="005707E1" w:rsidP="00DC719E">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Integration opportunities, revenue sharing, co-marketing, technical compatibility</w:t>
            </w:r>
          </w:p>
        </w:tc>
      </w:tr>
      <w:tr w:rsidR="005707E1" w:rsidRPr="006122AB" w14:paraId="08713A29" w14:textId="77777777" w:rsidTr="00DC719E">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391B354D" w14:textId="77777777" w:rsidR="005707E1" w:rsidRPr="006122AB" w:rsidRDefault="005707E1" w:rsidP="00DC719E">
            <w:pPr>
              <w:spacing w:after="160" w:line="278" w:lineRule="auto"/>
            </w:pPr>
            <w:r w:rsidRPr="006122AB">
              <w:t>Regulatory Bodies: EU Environmental Agencies</w:t>
            </w:r>
          </w:p>
        </w:tc>
        <w:tc>
          <w:tcPr>
            <w:tcW w:w="0" w:type="auto"/>
            <w:hideMark/>
          </w:tcPr>
          <w:p w14:paraId="63D89FA4" w14:textId="77777777" w:rsidR="005707E1" w:rsidRPr="006122AB" w:rsidRDefault="005707E1" w:rsidP="00DC719E">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Compliance with emission standards, accuracy of environmental factor integration, transparency</w:t>
            </w:r>
          </w:p>
        </w:tc>
      </w:tr>
      <w:tr w:rsidR="005707E1" w:rsidRPr="006122AB" w14:paraId="07288021" w14:textId="77777777" w:rsidTr="00DC719E">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7AD0F9BA" w14:textId="77777777" w:rsidR="005707E1" w:rsidRPr="006122AB" w:rsidRDefault="005707E1" w:rsidP="00DC719E">
            <w:pPr>
              <w:spacing w:after="160" w:line="278" w:lineRule="auto"/>
            </w:pPr>
            <w:r w:rsidRPr="006122AB">
              <w:t>Competitors: Existing Pricing Tools</w:t>
            </w:r>
          </w:p>
        </w:tc>
        <w:tc>
          <w:tcPr>
            <w:tcW w:w="0" w:type="auto"/>
            <w:hideMark/>
          </w:tcPr>
          <w:p w14:paraId="3E0955AC" w14:textId="77777777" w:rsidR="005707E1" w:rsidRPr="006122AB" w:rsidRDefault="005707E1" w:rsidP="00DC719E">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Market response, feature parity, pricing pressure, differentiation strategies</w:t>
            </w:r>
          </w:p>
        </w:tc>
      </w:tr>
      <w:tr w:rsidR="005707E1" w:rsidRPr="006122AB" w14:paraId="65A496FA" w14:textId="77777777" w:rsidTr="00DC719E">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37C820E5" w14:textId="77777777" w:rsidR="005707E1" w:rsidRPr="006122AB" w:rsidRDefault="005707E1" w:rsidP="00DC719E">
            <w:pPr>
              <w:spacing w:after="160" w:line="278" w:lineRule="auto"/>
            </w:pPr>
            <w:r w:rsidRPr="006122AB">
              <w:t>Data Providers: Vehicle History &amp; Market Data Companies</w:t>
            </w:r>
          </w:p>
        </w:tc>
        <w:tc>
          <w:tcPr>
            <w:tcW w:w="0" w:type="auto"/>
            <w:hideMark/>
          </w:tcPr>
          <w:p w14:paraId="13A2BFCB" w14:textId="77777777" w:rsidR="005707E1" w:rsidRPr="006122AB" w:rsidRDefault="005707E1" w:rsidP="00DC719E">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Data licensing opportunities, partnership potential, data accuracy requirements</w:t>
            </w:r>
          </w:p>
        </w:tc>
      </w:tr>
    </w:tbl>
    <w:p w14:paraId="5465C65A" w14:textId="77777777" w:rsidR="005707E1" w:rsidRDefault="005707E1"/>
    <w:sectPr w:rsidR="005707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30E88"/>
    <w:multiLevelType w:val="multilevel"/>
    <w:tmpl w:val="53D4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2436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7E1"/>
    <w:rsid w:val="005707E1"/>
    <w:rsid w:val="00DA7B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820E"/>
  <w15:chartTrackingRefBased/>
  <w15:docId w15:val="{BA163E40-28DA-4179-8AB2-0D4A299A3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E1"/>
  </w:style>
  <w:style w:type="paragraph" w:styleId="Heading1">
    <w:name w:val="heading 1"/>
    <w:basedOn w:val="Normal"/>
    <w:next w:val="Normal"/>
    <w:link w:val="Heading1Char"/>
    <w:uiPriority w:val="9"/>
    <w:qFormat/>
    <w:rsid w:val="00570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7E1"/>
    <w:rPr>
      <w:rFonts w:eastAsiaTheme="majorEastAsia" w:cstheme="majorBidi"/>
      <w:color w:val="272727" w:themeColor="text1" w:themeTint="D8"/>
    </w:rPr>
  </w:style>
  <w:style w:type="paragraph" w:styleId="Title">
    <w:name w:val="Title"/>
    <w:basedOn w:val="Normal"/>
    <w:next w:val="Normal"/>
    <w:link w:val="TitleChar"/>
    <w:uiPriority w:val="10"/>
    <w:qFormat/>
    <w:rsid w:val="00570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7E1"/>
    <w:pPr>
      <w:spacing w:before="160"/>
      <w:jc w:val="center"/>
    </w:pPr>
    <w:rPr>
      <w:i/>
      <w:iCs/>
      <w:color w:val="404040" w:themeColor="text1" w:themeTint="BF"/>
    </w:rPr>
  </w:style>
  <w:style w:type="character" w:customStyle="1" w:styleId="QuoteChar">
    <w:name w:val="Quote Char"/>
    <w:basedOn w:val="DefaultParagraphFont"/>
    <w:link w:val="Quote"/>
    <w:uiPriority w:val="29"/>
    <w:rsid w:val="005707E1"/>
    <w:rPr>
      <w:i/>
      <w:iCs/>
      <w:color w:val="404040" w:themeColor="text1" w:themeTint="BF"/>
    </w:rPr>
  </w:style>
  <w:style w:type="paragraph" w:styleId="ListParagraph">
    <w:name w:val="List Paragraph"/>
    <w:basedOn w:val="Normal"/>
    <w:uiPriority w:val="34"/>
    <w:qFormat/>
    <w:rsid w:val="005707E1"/>
    <w:pPr>
      <w:ind w:left="720"/>
      <w:contextualSpacing/>
    </w:pPr>
  </w:style>
  <w:style w:type="character" w:styleId="IntenseEmphasis">
    <w:name w:val="Intense Emphasis"/>
    <w:basedOn w:val="DefaultParagraphFont"/>
    <w:uiPriority w:val="21"/>
    <w:qFormat/>
    <w:rsid w:val="005707E1"/>
    <w:rPr>
      <w:i/>
      <w:iCs/>
      <w:color w:val="2F5496" w:themeColor="accent1" w:themeShade="BF"/>
    </w:rPr>
  </w:style>
  <w:style w:type="paragraph" w:styleId="IntenseQuote">
    <w:name w:val="Intense Quote"/>
    <w:basedOn w:val="Normal"/>
    <w:next w:val="Normal"/>
    <w:link w:val="IntenseQuoteChar"/>
    <w:uiPriority w:val="30"/>
    <w:qFormat/>
    <w:rsid w:val="00570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7E1"/>
    <w:rPr>
      <w:i/>
      <w:iCs/>
      <w:color w:val="2F5496" w:themeColor="accent1" w:themeShade="BF"/>
    </w:rPr>
  </w:style>
  <w:style w:type="character" w:styleId="IntenseReference">
    <w:name w:val="Intense Reference"/>
    <w:basedOn w:val="DefaultParagraphFont"/>
    <w:uiPriority w:val="32"/>
    <w:qFormat/>
    <w:rsid w:val="005707E1"/>
    <w:rPr>
      <w:b/>
      <w:bCs/>
      <w:smallCaps/>
      <w:color w:val="2F5496" w:themeColor="accent1" w:themeShade="BF"/>
      <w:spacing w:val="5"/>
    </w:rPr>
  </w:style>
  <w:style w:type="table" w:styleId="GridTable5Dark-Accent4">
    <w:name w:val="Grid Table 5 Dark Accent 4"/>
    <w:basedOn w:val="TableNormal"/>
    <w:uiPriority w:val="50"/>
    <w:rsid w:val="005707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2026-01-07T14:27:00Z</dcterms:created>
  <dcterms:modified xsi:type="dcterms:W3CDTF">2026-01-07T14:28:00Z</dcterms:modified>
</cp:coreProperties>
</file>