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0E8ED" w14:textId="77777777" w:rsidR="009979B1" w:rsidRPr="009979B1" w:rsidRDefault="009979B1" w:rsidP="009979B1">
      <w:pPr>
        <w:rPr>
          <w:b/>
          <w:bCs/>
        </w:rPr>
      </w:pPr>
      <w:r w:rsidRPr="009979B1">
        <w:rPr>
          <w:b/>
          <w:bCs/>
        </w:rPr>
        <w:t xml:space="preserve">Stakeholder Analysis Report: </w:t>
      </w:r>
      <w:proofErr w:type="spellStart"/>
      <w:r w:rsidRPr="009979B1">
        <w:rPr>
          <w:b/>
          <w:bCs/>
        </w:rPr>
        <w:t>OptimAlze</w:t>
      </w:r>
      <w:proofErr w:type="spellEnd"/>
      <w:r w:rsidRPr="009979B1">
        <w:rPr>
          <w:b/>
          <w:bCs/>
        </w:rPr>
        <w:t xml:space="preserve"> Buddy</w:t>
      </w:r>
    </w:p>
    <w:p w14:paraId="474510F0" w14:textId="77777777" w:rsidR="009979B1" w:rsidRPr="009979B1" w:rsidRDefault="00000000" w:rsidP="009979B1">
      <w:r>
        <w:pict w14:anchorId="1531459A">
          <v:rect id="_x0000_i1025" style="width:0;height:.75pt" o:hralign="center" o:hrstd="t" o:hr="t" fillcolor="#a0a0a0" stroked="f"/>
        </w:pict>
      </w:r>
    </w:p>
    <w:p w14:paraId="3FA790C4" w14:textId="77777777" w:rsidR="009979B1" w:rsidRPr="009979B1" w:rsidRDefault="009979B1" w:rsidP="009979B1">
      <w:pPr>
        <w:rPr>
          <w:b/>
          <w:bCs/>
        </w:rPr>
      </w:pPr>
      <w:r w:rsidRPr="009979B1">
        <w:rPr>
          <w:b/>
          <w:bCs/>
        </w:rPr>
        <w:t>Executive Summary</w:t>
      </w:r>
    </w:p>
    <w:p w14:paraId="1A699748" w14:textId="77777777" w:rsidR="009979B1" w:rsidRPr="009979B1" w:rsidRDefault="009979B1" w:rsidP="009979B1">
      <w:proofErr w:type="spellStart"/>
      <w:r w:rsidRPr="009979B1">
        <w:t>OptimAlze</w:t>
      </w:r>
      <w:proofErr w:type="spellEnd"/>
      <w:r w:rsidRPr="009979B1">
        <w:t xml:space="preserve"> Buddy is an AI-powered digital services agent designed to transform citizen-government interactions through conversational interfaces, automated workflows, and real-time document validation. This analysis examines the complex ecosystem of stakeholders involved in public sector digital transformation, balancing citizen needs with government operational requirements. The system's success depends on managing relationships across political, administrative, technical, and citizen domains, with particular attention to data security, regulatory compliance, and public trust. This report provides a framework for strategic stakeholder engagement to ensure successful implementation and adoption.</w:t>
      </w:r>
    </w:p>
    <w:p w14:paraId="5FDD6418" w14:textId="77777777" w:rsidR="009979B1" w:rsidRPr="009979B1" w:rsidRDefault="009979B1" w:rsidP="009979B1">
      <w:pPr>
        <w:rPr>
          <w:b/>
          <w:bCs/>
        </w:rPr>
      </w:pPr>
      <w:r w:rsidRPr="009979B1">
        <w:rPr>
          <w:b/>
          <w:bCs/>
        </w:rPr>
        <w:t>1.0 Introduction and Methodology</w:t>
      </w:r>
    </w:p>
    <w:p w14:paraId="4B55DCBC" w14:textId="77777777" w:rsidR="009979B1" w:rsidRPr="009979B1" w:rsidRDefault="009979B1" w:rsidP="009979B1">
      <w:r w:rsidRPr="009979B1">
        <w:t xml:space="preserve">Digital transformation in the public sector presents unique challenges involving legacy systems, bureaucratic processes, and diverse citizen populations. </w:t>
      </w:r>
      <w:proofErr w:type="spellStart"/>
      <w:r w:rsidRPr="009979B1">
        <w:t>OptimAlze</w:t>
      </w:r>
      <w:proofErr w:type="spellEnd"/>
      <w:r w:rsidRPr="009979B1">
        <w:t xml:space="preserve"> Buddy aims to simplify these interactions through AI-driven automation. This analysis employs:</w:t>
      </w:r>
    </w:p>
    <w:p w14:paraId="38020757" w14:textId="77777777" w:rsidR="009979B1" w:rsidRPr="009979B1" w:rsidRDefault="009979B1" w:rsidP="009979B1">
      <w:pPr>
        <w:numPr>
          <w:ilvl w:val="0"/>
          <w:numId w:val="1"/>
        </w:numPr>
      </w:pPr>
      <w:r w:rsidRPr="009979B1">
        <w:rPr>
          <w:b/>
          <w:bCs/>
        </w:rPr>
        <w:t>Multi-dimensional Identification:</w:t>
      </w:r>
      <w:r w:rsidRPr="009979B1">
        <w:t> Cataloging stakeholders across political, administrative, technical, and citizen categories</w:t>
      </w:r>
    </w:p>
    <w:p w14:paraId="40E075CA" w14:textId="77777777" w:rsidR="009979B1" w:rsidRPr="009979B1" w:rsidRDefault="009979B1" w:rsidP="009979B1">
      <w:pPr>
        <w:numPr>
          <w:ilvl w:val="0"/>
          <w:numId w:val="1"/>
        </w:numPr>
      </w:pPr>
      <w:r w:rsidRPr="009979B1">
        <w:rPr>
          <w:b/>
          <w:bCs/>
        </w:rPr>
        <w:t>Power-Interest Mapping:</w:t>
      </w:r>
      <w:r w:rsidRPr="009979B1">
        <w:t> Analyzing influence dynamics in government procurement and service delivery</w:t>
      </w:r>
    </w:p>
    <w:p w14:paraId="7E139069" w14:textId="77777777" w:rsidR="009979B1" w:rsidRPr="009979B1" w:rsidRDefault="009979B1" w:rsidP="009979B1">
      <w:pPr>
        <w:numPr>
          <w:ilvl w:val="0"/>
          <w:numId w:val="1"/>
        </w:numPr>
      </w:pPr>
      <w:r w:rsidRPr="009979B1">
        <w:rPr>
          <w:b/>
          <w:bCs/>
        </w:rPr>
        <w:t>Impact-Assessment:</w:t>
      </w:r>
      <w:r w:rsidRPr="009979B1">
        <w:t> Evaluating how the solution affects different stakeholder groups</w:t>
      </w:r>
    </w:p>
    <w:p w14:paraId="4F97F7AA" w14:textId="77777777" w:rsidR="009979B1" w:rsidRPr="009979B1" w:rsidRDefault="009979B1" w:rsidP="009979B1">
      <w:pPr>
        <w:numPr>
          <w:ilvl w:val="0"/>
          <w:numId w:val="1"/>
        </w:numPr>
      </w:pPr>
      <w:r w:rsidRPr="009979B1">
        <w:rPr>
          <w:b/>
          <w:bCs/>
        </w:rPr>
        <w:t>Risk-Trust Analysis:</w:t>
      </w:r>
      <w:r w:rsidRPr="009979B1">
        <w:t> Special focus on public trust and data security concerns</w:t>
      </w:r>
    </w:p>
    <w:p w14:paraId="140527C7" w14:textId="77777777" w:rsidR="009979B1" w:rsidRPr="009979B1" w:rsidRDefault="009979B1" w:rsidP="009979B1">
      <w:r w:rsidRPr="009979B1">
        <w:t>Primary analytical tools include the Influence-Authority Matrix and Adoption-Impact Matrix, adapted for public sector contexts.</w:t>
      </w:r>
    </w:p>
    <w:p w14:paraId="24D3A9CD" w14:textId="77777777" w:rsidR="009979B1" w:rsidRPr="009979B1" w:rsidRDefault="009979B1" w:rsidP="009979B1">
      <w:pPr>
        <w:rPr>
          <w:b/>
          <w:bCs/>
        </w:rPr>
      </w:pPr>
      <w:r w:rsidRPr="009979B1">
        <w:rPr>
          <w:b/>
          <w:bCs/>
        </w:rPr>
        <w:t>2.0 Stakeholder Identification and Categorization</w:t>
      </w:r>
    </w:p>
    <w:p w14:paraId="6725F343" w14:textId="77777777" w:rsidR="009979B1" w:rsidRPr="009979B1" w:rsidRDefault="009979B1" w:rsidP="009979B1">
      <w:pPr>
        <w:rPr>
          <w:b/>
          <w:bCs/>
        </w:rPr>
      </w:pPr>
      <w:r w:rsidRPr="009979B1">
        <w:rPr>
          <w:b/>
          <w:bCs/>
        </w:rPr>
        <w:t>Table 1: Government &amp; Administrative Stakeholders</w:t>
      </w:r>
    </w:p>
    <w:tbl>
      <w:tblPr>
        <w:tblStyle w:val="GridTable5Dark-Accent4"/>
        <w:tblW w:w="10729" w:type="dxa"/>
        <w:tblLook w:val="04A0" w:firstRow="1" w:lastRow="0" w:firstColumn="1" w:lastColumn="0" w:noHBand="0" w:noVBand="1"/>
      </w:tblPr>
      <w:tblGrid>
        <w:gridCol w:w="3656"/>
        <w:gridCol w:w="7073"/>
      </w:tblGrid>
      <w:tr w:rsidR="009979B1" w:rsidRPr="009979B1" w14:paraId="67F8A536" w14:textId="77777777" w:rsidTr="009979B1">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14:paraId="35F250B8" w14:textId="77777777" w:rsidR="009979B1" w:rsidRPr="009979B1" w:rsidRDefault="009979B1" w:rsidP="009979B1">
            <w:pPr>
              <w:spacing w:after="160" w:line="278" w:lineRule="auto"/>
            </w:pPr>
            <w:r w:rsidRPr="009979B1">
              <w:t>Stakeholder Group</w:t>
            </w:r>
          </w:p>
        </w:tc>
        <w:tc>
          <w:tcPr>
            <w:tcW w:w="0" w:type="auto"/>
            <w:hideMark/>
          </w:tcPr>
          <w:p w14:paraId="2C0F7498"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Primary Interests &amp; Concerns</w:t>
            </w:r>
          </w:p>
        </w:tc>
      </w:tr>
      <w:tr w:rsidR="009979B1" w:rsidRPr="009979B1" w14:paraId="5DA8A6B7"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48E6F916" w14:textId="77777777" w:rsidR="009979B1" w:rsidRPr="009979B1" w:rsidRDefault="009979B1" w:rsidP="009979B1">
            <w:pPr>
              <w:spacing w:after="160" w:line="278" w:lineRule="auto"/>
            </w:pPr>
            <w:r w:rsidRPr="009979B1">
              <w:t>Political Leadership (Mayors, Council Members)</w:t>
            </w:r>
          </w:p>
        </w:tc>
        <w:tc>
          <w:tcPr>
            <w:tcW w:w="0" w:type="auto"/>
            <w:hideMark/>
          </w:tcPr>
          <w:p w14:paraId="5FEE8D1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Public perception, re-election impact, cost savings, service improvement metrics, quick wins</w:t>
            </w:r>
          </w:p>
        </w:tc>
      </w:tr>
      <w:tr w:rsidR="009979B1" w:rsidRPr="009979B1" w14:paraId="72927510" w14:textId="77777777" w:rsidTr="009979B1">
        <w:trPr>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2A10AD1F" w14:textId="77777777" w:rsidR="009979B1" w:rsidRPr="009979B1" w:rsidRDefault="009979B1" w:rsidP="009979B1">
            <w:pPr>
              <w:spacing w:after="160" w:line="278" w:lineRule="auto"/>
            </w:pPr>
            <w:r w:rsidRPr="009979B1">
              <w:t>Department Heads &amp; Senior Administrators</w:t>
            </w:r>
          </w:p>
        </w:tc>
        <w:tc>
          <w:tcPr>
            <w:tcW w:w="0" w:type="auto"/>
            <w:hideMark/>
          </w:tcPr>
          <w:p w14:paraId="5CCE54A7"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Operational efficiency, budget control, staff management, risk mitigation, compliance</w:t>
            </w:r>
          </w:p>
        </w:tc>
      </w:tr>
      <w:tr w:rsidR="009979B1" w:rsidRPr="009979B1" w14:paraId="3998DEE6"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77A1E450" w14:textId="77777777" w:rsidR="009979B1" w:rsidRPr="009979B1" w:rsidRDefault="009979B1" w:rsidP="009979B1">
            <w:pPr>
              <w:spacing w:after="160" w:line="278" w:lineRule="auto"/>
            </w:pPr>
            <w:r w:rsidRPr="009979B1">
              <w:lastRenderedPageBreak/>
              <w:t>Frontline Government Staff</w:t>
            </w:r>
          </w:p>
        </w:tc>
        <w:tc>
          <w:tcPr>
            <w:tcW w:w="0" w:type="auto"/>
            <w:hideMark/>
          </w:tcPr>
          <w:p w14:paraId="18C0DADC"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Job security concerns, workload changes, training needs, system usability, trust in automation</w:t>
            </w:r>
          </w:p>
        </w:tc>
      </w:tr>
      <w:tr w:rsidR="009979B1" w:rsidRPr="009979B1" w14:paraId="682982A5" w14:textId="77777777" w:rsidTr="009979B1">
        <w:trPr>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38ABE124" w14:textId="77777777" w:rsidR="009979B1" w:rsidRPr="009979B1" w:rsidRDefault="009979B1" w:rsidP="009979B1">
            <w:pPr>
              <w:spacing w:after="160" w:line="278" w:lineRule="auto"/>
            </w:pPr>
            <w:r w:rsidRPr="009979B1">
              <w:t>IT &amp; Digital Transformation Teams</w:t>
            </w:r>
          </w:p>
        </w:tc>
        <w:tc>
          <w:tcPr>
            <w:tcW w:w="0" w:type="auto"/>
            <w:hideMark/>
          </w:tcPr>
          <w:p w14:paraId="34E8F5C6"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System integration, data security, scalability, compliance with government IT standards, maintenance burden</w:t>
            </w:r>
          </w:p>
        </w:tc>
      </w:tr>
      <w:tr w:rsidR="009979B1" w:rsidRPr="009979B1" w14:paraId="6B408A4B" w14:textId="77777777" w:rsidTr="009979B1">
        <w:trPr>
          <w:cnfStyle w:val="000000100000" w:firstRow="0" w:lastRow="0" w:firstColumn="0" w:lastColumn="0" w:oddVBand="0" w:evenVBand="0" w:oddHBand="1"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0" w:type="auto"/>
            <w:hideMark/>
          </w:tcPr>
          <w:p w14:paraId="1B85EC5B" w14:textId="77777777" w:rsidR="009979B1" w:rsidRPr="009979B1" w:rsidRDefault="009979B1" w:rsidP="009979B1">
            <w:pPr>
              <w:spacing w:after="160" w:line="278" w:lineRule="auto"/>
            </w:pPr>
            <w:r w:rsidRPr="009979B1">
              <w:t>Legal &amp; Compliance Officers</w:t>
            </w:r>
          </w:p>
        </w:tc>
        <w:tc>
          <w:tcPr>
            <w:tcW w:w="0" w:type="auto"/>
            <w:hideMark/>
          </w:tcPr>
          <w:p w14:paraId="7BC90E8F"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Regulatory compliance, data protection (GDPR, etc.), liability, audit trails, accessibility requirements</w:t>
            </w:r>
          </w:p>
        </w:tc>
      </w:tr>
    </w:tbl>
    <w:p w14:paraId="26065350" w14:textId="77777777" w:rsidR="009979B1" w:rsidRPr="009979B1" w:rsidRDefault="009979B1" w:rsidP="009979B1">
      <w:pPr>
        <w:rPr>
          <w:b/>
          <w:bCs/>
        </w:rPr>
      </w:pPr>
      <w:r w:rsidRPr="009979B1">
        <w:rPr>
          <w:b/>
          <w:bCs/>
        </w:rPr>
        <w:t>Table 2: Citizen &amp; External Stakeholders</w:t>
      </w:r>
    </w:p>
    <w:tbl>
      <w:tblPr>
        <w:tblStyle w:val="GridTable5Dark-Accent4"/>
        <w:tblW w:w="10389" w:type="dxa"/>
        <w:tblLook w:val="04A0" w:firstRow="1" w:lastRow="0" w:firstColumn="1" w:lastColumn="0" w:noHBand="0" w:noVBand="1"/>
      </w:tblPr>
      <w:tblGrid>
        <w:gridCol w:w="4443"/>
        <w:gridCol w:w="5946"/>
      </w:tblGrid>
      <w:tr w:rsidR="009979B1" w:rsidRPr="009979B1" w14:paraId="76A399E3" w14:textId="77777777" w:rsidTr="009979B1">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0" w:type="auto"/>
            <w:hideMark/>
          </w:tcPr>
          <w:p w14:paraId="5BB6E579" w14:textId="77777777" w:rsidR="009979B1" w:rsidRPr="009979B1" w:rsidRDefault="009979B1" w:rsidP="009979B1">
            <w:pPr>
              <w:spacing w:after="160" w:line="278" w:lineRule="auto"/>
            </w:pPr>
            <w:r w:rsidRPr="009979B1">
              <w:t>Stakeholder Group</w:t>
            </w:r>
          </w:p>
        </w:tc>
        <w:tc>
          <w:tcPr>
            <w:tcW w:w="0" w:type="auto"/>
            <w:hideMark/>
          </w:tcPr>
          <w:p w14:paraId="128E42C1" w14:textId="77777777" w:rsidR="009979B1" w:rsidRPr="009979B1" w:rsidRDefault="009979B1" w:rsidP="009979B1">
            <w:pPr>
              <w:spacing w:after="160" w:line="278" w:lineRule="auto"/>
              <w:cnfStyle w:val="100000000000" w:firstRow="1" w:lastRow="0" w:firstColumn="0" w:lastColumn="0" w:oddVBand="0" w:evenVBand="0" w:oddHBand="0" w:evenHBand="0" w:firstRowFirstColumn="0" w:firstRowLastColumn="0" w:lastRowFirstColumn="0" w:lastRowLastColumn="0"/>
            </w:pPr>
            <w:r w:rsidRPr="009979B1">
              <w:t>Primary Interests &amp; Concerns</w:t>
            </w:r>
          </w:p>
        </w:tc>
      </w:tr>
      <w:tr w:rsidR="009979B1" w:rsidRPr="009979B1" w14:paraId="3009342E"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7D538702" w14:textId="77777777" w:rsidR="009979B1" w:rsidRPr="009979B1" w:rsidRDefault="009979B1" w:rsidP="009979B1">
            <w:pPr>
              <w:spacing w:after="160" w:line="278" w:lineRule="auto"/>
            </w:pPr>
            <w:r w:rsidRPr="009979B1">
              <w:t>Primary Users: General Citizens</w:t>
            </w:r>
          </w:p>
        </w:tc>
        <w:tc>
          <w:tcPr>
            <w:tcW w:w="0" w:type="auto"/>
            <w:hideMark/>
          </w:tcPr>
          <w:p w14:paraId="086F4726"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Service accessibility, ease of use, time savings, trust in accuracy, privacy protection</w:t>
            </w:r>
          </w:p>
        </w:tc>
      </w:tr>
      <w:tr w:rsidR="009979B1" w:rsidRPr="009979B1" w14:paraId="4AEBB7A0"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6C23851A" w14:textId="77777777" w:rsidR="009979B1" w:rsidRPr="009979B1" w:rsidRDefault="009979B1" w:rsidP="009979B1">
            <w:pPr>
              <w:spacing w:after="160" w:line="278" w:lineRule="auto"/>
            </w:pPr>
            <w:r w:rsidRPr="009979B1">
              <w:t>Vulnerable User Groups (Elderly, Disabled, Non-tech-savvy)</w:t>
            </w:r>
          </w:p>
        </w:tc>
        <w:tc>
          <w:tcPr>
            <w:tcW w:w="0" w:type="auto"/>
            <w:hideMark/>
          </w:tcPr>
          <w:p w14:paraId="29B61FB9"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Digital inclusion, alternative access methods, simplicity, human fallback options</w:t>
            </w:r>
          </w:p>
        </w:tc>
      </w:tr>
      <w:tr w:rsidR="009979B1" w:rsidRPr="009979B1" w14:paraId="4CDE9783"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4FF05089" w14:textId="77777777" w:rsidR="009979B1" w:rsidRPr="009979B1" w:rsidRDefault="009979B1" w:rsidP="009979B1">
            <w:pPr>
              <w:spacing w:after="160" w:line="278" w:lineRule="auto"/>
            </w:pPr>
            <w:r w:rsidRPr="009979B1">
              <w:t>Business Users (Small Businesses, Contractors)</w:t>
            </w:r>
          </w:p>
        </w:tc>
        <w:tc>
          <w:tcPr>
            <w:tcW w:w="0" w:type="auto"/>
            <w:hideMark/>
          </w:tcPr>
          <w:p w14:paraId="514E88B0"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Efficiency, reliability for compliance submissions, integration with business processes</w:t>
            </w:r>
          </w:p>
        </w:tc>
      </w:tr>
      <w:tr w:rsidR="009979B1" w:rsidRPr="009979B1" w14:paraId="2C17F0B6" w14:textId="77777777" w:rsidTr="009979B1">
        <w:trPr>
          <w:trHeight w:val="823"/>
        </w:trPr>
        <w:tc>
          <w:tcPr>
            <w:cnfStyle w:val="001000000000" w:firstRow="0" w:lastRow="0" w:firstColumn="1" w:lastColumn="0" w:oddVBand="0" w:evenVBand="0" w:oddHBand="0" w:evenHBand="0" w:firstRowFirstColumn="0" w:firstRowLastColumn="0" w:lastRowFirstColumn="0" w:lastRowLastColumn="0"/>
            <w:tcW w:w="0" w:type="auto"/>
            <w:hideMark/>
          </w:tcPr>
          <w:p w14:paraId="126752B0" w14:textId="77777777" w:rsidR="009979B1" w:rsidRPr="009979B1" w:rsidRDefault="009979B1" w:rsidP="009979B1">
            <w:pPr>
              <w:spacing w:after="160" w:line="278" w:lineRule="auto"/>
            </w:pPr>
            <w:r w:rsidRPr="009979B1">
              <w:t>Advocacy Groups &amp; Community Organizations</w:t>
            </w:r>
          </w:p>
        </w:tc>
        <w:tc>
          <w:tcPr>
            <w:tcW w:w="0" w:type="auto"/>
            <w:hideMark/>
          </w:tcPr>
          <w:p w14:paraId="20DBD21A"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Equity of access, transparency, accountability, data privacy protection</w:t>
            </w:r>
          </w:p>
        </w:tc>
      </w:tr>
      <w:tr w:rsidR="009979B1" w:rsidRPr="009979B1" w14:paraId="534AAF85"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2D7A319D" w14:textId="77777777" w:rsidR="009979B1" w:rsidRPr="009979B1" w:rsidRDefault="009979B1" w:rsidP="009979B1">
            <w:pPr>
              <w:spacing w:after="160" w:line="278" w:lineRule="auto"/>
            </w:pPr>
            <w:r w:rsidRPr="009979B1">
              <w:t>Media &amp; Watchdog Organizations</w:t>
            </w:r>
          </w:p>
        </w:tc>
        <w:tc>
          <w:tcPr>
            <w:tcW w:w="0" w:type="auto"/>
            <w:hideMark/>
          </w:tcPr>
          <w:p w14:paraId="43CE100E"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System performance, cost-effectiveness, privacy implications, failure incidents</w:t>
            </w:r>
          </w:p>
        </w:tc>
      </w:tr>
      <w:tr w:rsidR="009979B1" w:rsidRPr="009979B1" w14:paraId="4E0E0DDD"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733C5143" w14:textId="77777777" w:rsidR="009979B1" w:rsidRPr="009979B1" w:rsidRDefault="009979B1" w:rsidP="009979B1">
            <w:pPr>
              <w:spacing w:after="160" w:line="278" w:lineRule="auto"/>
            </w:pPr>
            <w:r w:rsidRPr="009979B1">
              <w:t>Technology Vendors &amp; System Integrators</w:t>
            </w:r>
          </w:p>
        </w:tc>
        <w:tc>
          <w:tcPr>
            <w:tcW w:w="0" w:type="auto"/>
            <w:hideMark/>
          </w:tcPr>
          <w:p w14:paraId="6C067046"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Partnership opportunities, integration projects, maintenance contracts, data sharing</w:t>
            </w:r>
          </w:p>
        </w:tc>
      </w:tr>
      <w:tr w:rsidR="009979B1" w:rsidRPr="009979B1" w14:paraId="1C8243AF" w14:textId="77777777" w:rsidTr="009979B1">
        <w:trPr>
          <w:cnfStyle w:val="000000100000" w:firstRow="0" w:lastRow="0" w:firstColumn="0" w:lastColumn="0" w:oddVBand="0" w:evenVBand="0" w:oddHBand="1" w:evenHBand="0" w:firstRowFirstColumn="0" w:firstRowLastColumn="0" w:lastRowFirstColumn="0" w:lastRowLastColumn="0"/>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0C36A870" w14:textId="77777777" w:rsidR="009979B1" w:rsidRPr="009979B1" w:rsidRDefault="009979B1" w:rsidP="009979B1">
            <w:pPr>
              <w:spacing w:after="160" w:line="278" w:lineRule="auto"/>
            </w:pPr>
            <w:r w:rsidRPr="009979B1">
              <w:t>Academic &amp; Research Institutions</w:t>
            </w:r>
          </w:p>
        </w:tc>
        <w:tc>
          <w:tcPr>
            <w:tcW w:w="0" w:type="auto"/>
            <w:hideMark/>
          </w:tcPr>
          <w:p w14:paraId="27E8794D" w14:textId="77777777" w:rsidR="009979B1" w:rsidRPr="009979B1" w:rsidRDefault="009979B1" w:rsidP="009979B1">
            <w:pPr>
              <w:spacing w:after="160" w:line="278" w:lineRule="auto"/>
              <w:cnfStyle w:val="000000100000" w:firstRow="0" w:lastRow="0" w:firstColumn="0" w:lastColumn="0" w:oddVBand="0" w:evenVBand="0" w:oddHBand="1" w:evenHBand="0" w:firstRowFirstColumn="0" w:firstRowLastColumn="0" w:lastRowFirstColumn="0" w:lastRowLastColumn="0"/>
            </w:pPr>
            <w:r w:rsidRPr="009979B1">
              <w:t>Case study opportunities, public service innovation research, impact assessment</w:t>
            </w:r>
          </w:p>
        </w:tc>
      </w:tr>
      <w:tr w:rsidR="009979B1" w:rsidRPr="009979B1" w14:paraId="0B7B1E7C" w14:textId="77777777" w:rsidTr="009979B1">
        <w:trPr>
          <w:trHeight w:val="833"/>
        </w:trPr>
        <w:tc>
          <w:tcPr>
            <w:cnfStyle w:val="001000000000" w:firstRow="0" w:lastRow="0" w:firstColumn="1" w:lastColumn="0" w:oddVBand="0" w:evenVBand="0" w:oddHBand="0" w:evenHBand="0" w:firstRowFirstColumn="0" w:firstRowLastColumn="0" w:lastRowFirstColumn="0" w:lastRowLastColumn="0"/>
            <w:tcW w:w="0" w:type="auto"/>
            <w:hideMark/>
          </w:tcPr>
          <w:p w14:paraId="4C6B59B4" w14:textId="77777777" w:rsidR="009979B1" w:rsidRPr="009979B1" w:rsidRDefault="009979B1" w:rsidP="009979B1">
            <w:pPr>
              <w:spacing w:after="160" w:line="278" w:lineRule="auto"/>
            </w:pPr>
            <w:r w:rsidRPr="009979B1">
              <w:t>Unions &amp; Employee Associations</w:t>
            </w:r>
          </w:p>
        </w:tc>
        <w:tc>
          <w:tcPr>
            <w:tcW w:w="0" w:type="auto"/>
            <w:hideMark/>
          </w:tcPr>
          <w:p w14:paraId="4D5D3305" w14:textId="77777777" w:rsidR="009979B1" w:rsidRPr="009979B1" w:rsidRDefault="009979B1" w:rsidP="009979B1">
            <w:pPr>
              <w:spacing w:after="160" w:line="278" w:lineRule="auto"/>
              <w:cnfStyle w:val="000000000000" w:firstRow="0" w:lastRow="0" w:firstColumn="0" w:lastColumn="0" w:oddVBand="0" w:evenVBand="0" w:oddHBand="0" w:evenHBand="0" w:firstRowFirstColumn="0" w:firstRowLastColumn="0" w:lastRowFirstColumn="0" w:lastRowLastColumn="0"/>
            </w:pPr>
            <w:r w:rsidRPr="009979B1">
              <w:t>Job impact, retraining requirements, workload redistribution, employee rights</w:t>
            </w:r>
          </w:p>
        </w:tc>
      </w:tr>
    </w:tbl>
    <w:p w14:paraId="2C1D905E" w14:textId="77777777" w:rsidR="009979B1" w:rsidRDefault="009979B1"/>
    <w:sectPr w:rsidR="009979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1A"/>
    <w:multiLevelType w:val="multilevel"/>
    <w:tmpl w:val="B39AB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7C0967"/>
    <w:multiLevelType w:val="multilevel"/>
    <w:tmpl w:val="DA3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3318D7"/>
    <w:multiLevelType w:val="multilevel"/>
    <w:tmpl w:val="6BEE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4C6DF8"/>
    <w:multiLevelType w:val="multilevel"/>
    <w:tmpl w:val="33768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BD29EE"/>
    <w:multiLevelType w:val="multilevel"/>
    <w:tmpl w:val="70BEA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155CD8"/>
    <w:multiLevelType w:val="multilevel"/>
    <w:tmpl w:val="1818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230EE0"/>
    <w:multiLevelType w:val="multilevel"/>
    <w:tmpl w:val="D744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485E8F"/>
    <w:multiLevelType w:val="multilevel"/>
    <w:tmpl w:val="A59C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8D7FC7"/>
    <w:multiLevelType w:val="multilevel"/>
    <w:tmpl w:val="6D52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4E5ECF"/>
    <w:multiLevelType w:val="multilevel"/>
    <w:tmpl w:val="DB6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DD7580"/>
    <w:multiLevelType w:val="multilevel"/>
    <w:tmpl w:val="FEBAA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D84995"/>
    <w:multiLevelType w:val="multilevel"/>
    <w:tmpl w:val="54940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9505164">
    <w:abstractNumId w:val="6"/>
  </w:num>
  <w:num w:numId="2" w16cid:durableId="2101294576">
    <w:abstractNumId w:val="2"/>
  </w:num>
  <w:num w:numId="3" w16cid:durableId="1554459806">
    <w:abstractNumId w:val="0"/>
  </w:num>
  <w:num w:numId="4" w16cid:durableId="75827957">
    <w:abstractNumId w:val="9"/>
  </w:num>
  <w:num w:numId="5" w16cid:durableId="1775201917">
    <w:abstractNumId w:val="1"/>
  </w:num>
  <w:num w:numId="6" w16cid:durableId="1343816895">
    <w:abstractNumId w:val="10"/>
  </w:num>
  <w:num w:numId="7" w16cid:durableId="1785922829">
    <w:abstractNumId w:val="5"/>
  </w:num>
  <w:num w:numId="8" w16cid:durableId="1302927186">
    <w:abstractNumId w:val="8"/>
  </w:num>
  <w:num w:numId="9" w16cid:durableId="1068577512">
    <w:abstractNumId w:val="7"/>
  </w:num>
  <w:num w:numId="10" w16cid:durableId="1352604828">
    <w:abstractNumId w:val="3"/>
  </w:num>
  <w:num w:numId="11" w16cid:durableId="176040278">
    <w:abstractNumId w:val="4"/>
  </w:num>
  <w:num w:numId="12" w16cid:durableId="81436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9B1"/>
    <w:rsid w:val="002132B7"/>
    <w:rsid w:val="00277AC3"/>
    <w:rsid w:val="00413129"/>
    <w:rsid w:val="009979B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14A53"/>
  <w15:chartTrackingRefBased/>
  <w15:docId w15:val="{966F58E1-08C3-4FCB-B84F-19E4D3A99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7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7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979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79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79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7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9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79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979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79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79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7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9B1"/>
    <w:rPr>
      <w:rFonts w:eastAsiaTheme="majorEastAsia" w:cstheme="majorBidi"/>
      <w:color w:val="272727" w:themeColor="text1" w:themeTint="D8"/>
    </w:rPr>
  </w:style>
  <w:style w:type="paragraph" w:styleId="Title">
    <w:name w:val="Title"/>
    <w:basedOn w:val="Normal"/>
    <w:next w:val="Normal"/>
    <w:link w:val="TitleChar"/>
    <w:uiPriority w:val="10"/>
    <w:qFormat/>
    <w:rsid w:val="0099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7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7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9B1"/>
    <w:pPr>
      <w:spacing w:before="160"/>
      <w:jc w:val="center"/>
    </w:pPr>
    <w:rPr>
      <w:i/>
      <w:iCs/>
      <w:color w:val="404040" w:themeColor="text1" w:themeTint="BF"/>
    </w:rPr>
  </w:style>
  <w:style w:type="character" w:customStyle="1" w:styleId="QuoteChar">
    <w:name w:val="Quote Char"/>
    <w:basedOn w:val="DefaultParagraphFont"/>
    <w:link w:val="Quote"/>
    <w:uiPriority w:val="29"/>
    <w:rsid w:val="009979B1"/>
    <w:rPr>
      <w:i/>
      <w:iCs/>
      <w:color w:val="404040" w:themeColor="text1" w:themeTint="BF"/>
    </w:rPr>
  </w:style>
  <w:style w:type="paragraph" w:styleId="ListParagraph">
    <w:name w:val="List Paragraph"/>
    <w:basedOn w:val="Normal"/>
    <w:uiPriority w:val="34"/>
    <w:qFormat/>
    <w:rsid w:val="009979B1"/>
    <w:pPr>
      <w:ind w:left="720"/>
      <w:contextualSpacing/>
    </w:pPr>
  </w:style>
  <w:style w:type="character" w:styleId="IntenseEmphasis">
    <w:name w:val="Intense Emphasis"/>
    <w:basedOn w:val="DefaultParagraphFont"/>
    <w:uiPriority w:val="21"/>
    <w:qFormat/>
    <w:rsid w:val="009979B1"/>
    <w:rPr>
      <w:i/>
      <w:iCs/>
      <w:color w:val="2F5496" w:themeColor="accent1" w:themeShade="BF"/>
    </w:rPr>
  </w:style>
  <w:style w:type="paragraph" w:styleId="IntenseQuote">
    <w:name w:val="Intense Quote"/>
    <w:basedOn w:val="Normal"/>
    <w:next w:val="Normal"/>
    <w:link w:val="IntenseQuoteChar"/>
    <w:uiPriority w:val="30"/>
    <w:qFormat/>
    <w:rsid w:val="00997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79B1"/>
    <w:rPr>
      <w:i/>
      <w:iCs/>
      <w:color w:val="2F5496" w:themeColor="accent1" w:themeShade="BF"/>
    </w:rPr>
  </w:style>
  <w:style w:type="character" w:styleId="IntenseReference">
    <w:name w:val="Intense Reference"/>
    <w:basedOn w:val="DefaultParagraphFont"/>
    <w:uiPriority w:val="32"/>
    <w:qFormat/>
    <w:rsid w:val="009979B1"/>
    <w:rPr>
      <w:b/>
      <w:bCs/>
      <w:smallCaps/>
      <w:color w:val="2F5496" w:themeColor="accent1" w:themeShade="BF"/>
      <w:spacing w:val="5"/>
    </w:rPr>
  </w:style>
  <w:style w:type="table" w:styleId="GridTable5Dark-Accent4">
    <w:name w:val="Grid Table 5 Dark Accent 4"/>
    <w:basedOn w:val="TableNormal"/>
    <w:uiPriority w:val="50"/>
    <w:rsid w:val="009979B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516</Words>
  <Characters>2944</Characters>
  <Application>Microsoft Office Word</Application>
  <DocSecurity>0</DocSecurity>
  <Lines>24</Lines>
  <Paragraphs>6</Paragraphs>
  <ScaleCrop>false</ScaleCrop>
  <Company/>
  <LinksUpToDate>false</LinksUpToDate>
  <CharactersWithSpaces>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(SP22-BAI-020)JAWADALI</dc:creator>
  <cp:keywords/>
  <dc:description/>
  <cp:lastModifiedBy>HAMZA SHAHID</cp:lastModifiedBy>
  <cp:revision>2</cp:revision>
  <dcterms:created xsi:type="dcterms:W3CDTF">2026-01-07T13:10:00Z</dcterms:created>
  <dcterms:modified xsi:type="dcterms:W3CDTF">2026-01-07T13:10:00Z</dcterms:modified>
</cp:coreProperties>
</file>