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28"/>
          <w:szCs w:val="28"/>
          <w:rtl w:val="0"/>
        </w:rPr>
        <w:t xml:space="preserve">Implementing and Validating a Zero Trust Network Architecture in a Reproducible, Namespace-Based Enterprise Testbed</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sz w:val="22"/>
          <w:szCs w:val="22"/>
          <w:rtl w:val="0"/>
        </w:rPr>
        <w:t xml:space="preserve">Anam Batool</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rPr>
          <w:rtl w:val="0"/>
        </w:rPr>
        <w:t xml:space="preserve">Zero Trust Architecture (ZTA) is widely discussed in security literature, yet much of the existing work is theoretical, survey-based, or reports on large enterprise and government deployments that are difficult to reproduce for research or educational purposes. This paper presents a low-cost, fully reproducible testbed that emulates a small enterprise network — comprising administrative, corporate, and IoT/CCTV segments — using Linux network namespaces and virtual bridges rather than dedicated virtual machines or hardware. A default-deny Zero Trust firewall policy, aligned with NIST SP 800-207, was implemented using nftables and evaluated against a flat-network baseline. Initial validation revealed a subtle but significant implementation pitfall: locally-generated traffic bypassed the kernel’s forwarding path entirely, producing a false negative during policy testing. The root cause and its resolution are documented in detail. Results show that the Zero Trust policy reduced inter-segment reachability from 100% to 0% for non-whitelisted protocols, while explicitly permitted traffic remained functional. This work contributes a reproducible, scriptable methodology bridging Zero Trust theory and software-defined network emulation, along with a transparent account of practical implementation challenges rarely discussed in theoretical literature.</w:t>
      </w:r>
    </w:p>
    <w:p w:rsidR="00000000" w:rsidDel="00000000" w:rsidP="00000000" w:rsidRDefault="00000000" w:rsidRPr="00000000" w14:paraId="00000005">
      <w:pPr>
        <w:pStyle w:val="Heading1"/>
        <w:spacing w:after="150" w:before="300" w:lineRule="auto"/>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6">
      <w:pPr>
        <w:spacing w:after="200" w:lineRule="auto"/>
        <w:jc w:val="both"/>
        <w:rPr/>
      </w:pPr>
      <w:r w:rsidDel="00000000" w:rsidR="00000000" w:rsidRPr="00000000">
        <w:rPr>
          <w:rtl w:val="0"/>
        </w:rPr>
        <w:t xml:space="preserve">This paper addresses that gap by presenting a small-scale, fully scripted enterprise network testbed, implementing a default-deny Zero Trust firewall policy across three segments representative of common enterprise risk zones: an administrative segment, a corporate endpoint segment, and an IoT/CCTV segment. The testbed is built using Linux network namespaces and virtual bridges, avoiding the resource and compatibility overhead of full virtual machines while preserving genuine Layer 2/3 isolation between segments.</w:t>
      </w:r>
    </w:p>
    <w:p w:rsidR="00000000" w:rsidDel="00000000" w:rsidP="00000000" w:rsidRDefault="00000000" w:rsidRPr="00000000" w14:paraId="00000007">
      <w:pPr>
        <w:spacing w:after="200" w:lineRule="auto"/>
        <w:jc w:val="both"/>
        <w:rPr/>
      </w:pPr>
      <w:r w:rsidDel="00000000" w:rsidR="00000000" w:rsidRPr="00000000">
        <w:rPr>
          <w:rtl w:val="0"/>
        </w:rPr>
        <w:t xml:space="preserve">The contributions of this paper are: (1) a reproducible, script-based methodology for constructing a multi-segment Zero Trust testbed without dedicated hardware or multiple hypervisors; (2) empirical before/after connectivity results demonstrating policy enforcement; and (3) a documented account of a non-obvious implementation failure — host-originated traffic bypassing the firewall’s forwarding chain — together with its diagnosis and resolution, contributing practical insight often absent from theoretical ZTA literature.</w:t>
      </w:r>
    </w:p>
    <w:p w:rsidR="00000000" w:rsidDel="00000000" w:rsidP="00000000" w:rsidRDefault="00000000" w:rsidRPr="00000000" w14:paraId="00000008">
      <w:pPr>
        <w:pStyle w:val="Heading1"/>
        <w:spacing w:after="150" w:before="300" w:lineRule="auto"/>
        <w:rPr/>
      </w:pPr>
      <w:r w:rsidDel="00000000" w:rsidR="00000000" w:rsidRPr="00000000">
        <w:rPr>
          <w:b w:val="1"/>
          <w:bCs w:val="1"/>
          <w:rtl w:val="0"/>
        </w:rPr>
        <w:t xml:space="preserve">2. Related Work</w:t>
      </w:r>
      <w:r w:rsidDel="00000000" w:rsidR="00000000" w:rsidRPr="00000000">
        <w:rPr>
          <w:rtl w:val="0"/>
        </w:rPr>
      </w:r>
    </w:p>
    <w:p w:rsidR="00000000" w:rsidDel="00000000" w:rsidP="00000000" w:rsidRDefault="00000000" w:rsidRPr="00000000" w14:paraId="00000009">
      <w:pPr>
        <w:pStyle w:val="Heading2"/>
        <w:spacing w:after="150" w:before="300" w:lineRule="auto"/>
        <w:rPr/>
      </w:pPr>
      <w:r w:rsidDel="00000000" w:rsidR="00000000" w:rsidRPr="00000000">
        <w:rPr>
          <w:b w:val="1"/>
          <w:bCs w:val="1"/>
          <w:rtl w:val="0"/>
        </w:rPr>
        <w:t xml:space="preserve">2.1 Zero Trust Architecture: Foundations and Surveys</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rtl w:val="0"/>
        </w:rPr>
        <w:t xml:space="preserve">Several recent surveys establish the conceptual foundation of Zero Trust. One survey explains that perimeter-based security is no longer sufficient for modern networks and outlines core ZTA principles including identity verification, access control, and continuous trust evaluation, alongside open challenges and future research directions [2]. A comparative review examines different Zero Trust models and their implementation strategies across industries, identifying research gaps and offering practical adoption guidance [3]. Collectively, these works confirm that ZTA literature is predominantly theoretical or survey-oriented, motivating the experimental contribution of this paper.</w:t>
      </w:r>
    </w:p>
    <w:p w:rsidR="00000000" w:rsidDel="00000000" w:rsidP="00000000" w:rsidRDefault="00000000" w:rsidRPr="00000000" w14:paraId="0000000B">
      <w:pPr>
        <w:pStyle w:val="Heading2"/>
        <w:spacing w:after="150" w:before="300" w:lineRule="auto"/>
        <w:rPr/>
      </w:pPr>
      <w:r w:rsidDel="00000000" w:rsidR="00000000" w:rsidRPr="00000000">
        <w:rPr>
          <w:b w:val="1"/>
          <w:bCs w:val="1"/>
          <w:rtl w:val="0"/>
        </w:rPr>
        <w:t xml:space="preserve">2.2 Microsegmentation</w:t>
      </w:r>
      <w:r w:rsidDel="00000000" w:rsidR="00000000" w:rsidRPr="00000000">
        <w:rPr>
          <w:rtl w:val="0"/>
        </w:rPr>
      </w:r>
    </w:p>
    <w:p w:rsidR="00000000" w:rsidDel="00000000" w:rsidP="00000000" w:rsidRDefault="00000000" w:rsidRPr="00000000" w14:paraId="0000000C">
      <w:pPr>
        <w:spacing w:after="200" w:lineRule="auto"/>
        <w:jc w:val="both"/>
        <w:rPr/>
      </w:pPr>
      <w:r w:rsidDel="00000000" w:rsidR="00000000" w:rsidRPr="00000000">
        <w:rPr>
          <w:rtl w:val="0"/>
        </w:rPr>
        <w:t xml:space="preserve">Microsegmentation is widely regarded as a practical mechanism for realizing Zero Trust at the network layer. A three-tier microsegmentation framework demonstrates automated segmentation and endpoint protection, reporting a significant reduction in available attack paths while preserving performance and scalability [4]. A proposed taxonomy of network segmentation techniques offers a standardized classification intended to improve consistency across security research and deployment [9]. A government case study identifies microsegmentation as the primary technical and organizational barrier to Zero Trust adoption in complex enterprise environments [5]. The three-segment design used in this paper’s testbed (administrative, corporate, IoT/CCTV) reflects the same segmentation logic described in these works, applied at a reproducible, small-scale level.</w:t>
      </w:r>
    </w:p>
    <w:p w:rsidR="00000000" w:rsidDel="00000000" w:rsidP="00000000" w:rsidRDefault="00000000" w:rsidRPr="00000000" w14:paraId="0000000D">
      <w:pPr>
        <w:pStyle w:val="Heading2"/>
        <w:spacing w:after="150" w:before="300" w:lineRule="auto"/>
        <w:rPr/>
      </w:pPr>
      <w:r w:rsidDel="00000000" w:rsidR="00000000" w:rsidRPr="00000000">
        <w:rPr>
          <w:b w:val="1"/>
          <w:bCs w:val="1"/>
          <w:rtl w:val="0"/>
        </w:rPr>
        <w:t xml:space="preserve">2.3 SDN Testbeds and Network Emulation</w:t>
      </w:r>
      <w:r w:rsidDel="00000000" w:rsidR="00000000" w:rsidRPr="00000000">
        <w:rPr>
          <w:rtl w:val="0"/>
        </w:rPr>
      </w:r>
    </w:p>
    <w:p w:rsidR="00000000" w:rsidDel="00000000" w:rsidP="00000000" w:rsidRDefault="00000000" w:rsidRPr="00000000" w14:paraId="0000000E">
      <w:pPr>
        <w:spacing w:after="200" w:lineRule="auto"/>
        <w:jc w:val="both"/>
        <w:rPr/>
      </w:pPr>
      <w:r w:rsidDel="00000000" w:rsidR="00000000" w:rsidRPr="00000000">
        <w:rPr>
          <w:rtl w:val="0"/>
        </w:rPr>
        <w:t xml:space="preserve">Software-defined network emulation tools, particularly Mininet, are an established method for network security and routing research. One study extends Mininet with Free Range Routing to support realistic protocols such as OSPF for hybrid SDN research [6]. Another presents a fault-resilient network slicing solution validated on a hybrid GNS3-Mininet testbed, demonstrating improved reliability and service continuity [7]. Notably, a critical evaluation of Mininet as an SDN testbed identifies unresolved limitations related to security, isolation, and VLAN configuration, concluding that building a secure and realistic testbed with Mininet requires considerable additional engineering effort [8]. This finding is directly corroborated by the present work: an implementation failure involving VLAN-equivalent isolation and traffic-path misclassification was encountered and is documented in Section 4, providing a concrete, real-world instance of the limitation described analytically in [8].</w:t>
      </w:r>
    </w:p>
    <w:p w:rsidR="00000000" w:rsidDel="00000000" w:rsidP="00000000" w:rsidRDefault="00000000" w:rsidRPr="00000000" w14:paraId="0000000F">
      <w:pPr>
        <w:pStyle w:val="Heading2"/>
        <w:spacing w:after="150" w:before="300" w:lineRule="auto"/>
        <w:rPr/>
      </w:pPr>
      <w:r w:rsidDel="00000000" w:rsidR="00000000" w:rsidRPr="00000000">
        <w:rPr>
          <w:b w:val="1"/>
          <w:bCs w:val="1"/>
          <w:rtl w:val="0"/>
        </w:rPr>
        <w:t xml:space="preserve">2.4 Frameworks and Standards</w:t>
      </w:r>
      <w:r w:rsidDel="00000000" w:rsidR="00000000" w:rsidRPr="00000000">
        <w:rPr>
          <w:rtl w:val="0"/>
        </w:rPr>
      </w:r>
    </w:p>
    <w:p w:rsidR="00000000" w:rsidDel="00000000" w:rsidP="00000000" w:rsidRDefault="00000000" w:rsidRPr="00000000" w14:paraId="00000010">
      <w:pPr>
        <w:spacing w:after="200" w:lineRule="auto"/>
        <w:jc w:val="both"/>
        <w:rPr/>
      </w:pPr>
      <w:r w:rsidDel="00000000" w:rsidR="00000000" w:rsidRPr="00000000">
        <w:rPr>
          <w:rtl w:val="0"/>
        </w:rPr>
        <w:t xml:space="preserve">Zero Trust is increasingly integrated into broader security governance frameworks aligned with standards such as NIST SP 800-207 [1], which provide guidance for identity verification, continuous monitoring, and layered segmentation across administrative, corporate, and operational-technology (OT) domains. The IoT/CCTV segment modeled in this paper’s testbed reflects this IT-OT convergence risk, treating operational and embedded devices as a distinct, higher-risk zone requiring isolation.</w:t>
      </w:r>
    </w:p>
    <w:p w:rsidR="00000000" w:rsidDel="00000000" w:rsidP="00000000" w:rsidRDefault="00000000" w:rsidRPr="00000000" w14:paraId="00000011">
      <w:pPr>
        <w:pStyle w:val="Heading2"/>
        <w:spacing w:after="150" w:before="300" w:lineRule="auto"/>
        <w:rPr/>
      </w:pPr>
      <w:r w:rsidDel="00000000" w:rsidR="00000000" w:rsidRPr="00000000">
        <w:rPr>
          <w:b w:val="1"/>
          <w:bCs w:val="1"/>
          <w:rtl w:val="0"/>
        </w:rPr>
        <w:t xml:space="preserve">2.5 Research Gap</w:t>
      </w:r>
      <w:r w:rsidDel="00000000" w:rsidR="00000000" w:rsidRPr="00000000">
        <w:rPr>
          <w:rtl w:val="0"/>
        </w:rPr>
      </w:r>
    </w:p>
    <w:p w:rsidR="00000000" w:rsidDel="00000000" w:rsidP="00000000" w:rsidRDefault="00000000" w:rsidRPr="00000000" w14:paraId="00000012">
      <w:pPr>
        <w:spacing w:after="200" w:lineRule="auto"/>
        <w:jc w:val="both"/>
        <w:rPr/>
      </w:pPr>
      <w:r w:rsidDel="00000000" w:rsidR="00000000" w:rsidRPr="00000000">
        <w:rPr>
          <w:rtl w:val="0"/>
        </w:rPr>
        <w:t xml:space="preserve">The reviewed literature separates into two largely independent tracks: Zero Trust papers that are theoretical, conceptual, or based on large-scale case studies [2, 3, 4, 5], and SDN testbed papers that focus on routing and fault tolerance rather than security policy enforcement [6, 7]. Reference [8] explicitly identifies VLAN configuration and isolation as unresolved weaknesses in Mininet-style testbeds. This paper addresses the space between these tracks by presenting a low-cost, fully reproducible, namespace-based testbed that both implements and empirically validates a Zero Trust default-deny policy, while transparently documenting the practical implementation barriers that theoretical papers do not surface.</w:t>
      </w:r>
    </w:p>
    <w:p w:rsidR="00000000" w:rsidDel="00000000" w:rsidP="00000000" w:rsidRDefault="00000000" w:rsidRPr="00000000" w14:paraId="00000013">
      <w:pPr>
        <w:pStyle w:val="Heading1"/>
        <w:spacing w:after="150" w:before="300" w:lineRule="auto"/>
        <w:rPr/>
      </w:pPr>
      <w:r w:rsidDel="00000000" w:rsidR="00000000" w:rsidRPr="00000000">
        <w:rPr>
          <w:b w:val="1"/>
          <w:bCs w:val="1"/>
          <w:rtl w:val="0"/>
        </w:rPr>
        <w:t xml:space="preserve">3. Methodology</w:t>
      </w:r>
      <w:r w:rsidDel="00000000" w:rsidR="00000000" w:rsidRPr="00000000">
        <w:rPr>
          <w:rtl w:val="0"/>
        </w:rPr>
      </w:r>
    </w:p>
    <w:p w:rsidR="00000000" w:rsidDel="00000000" w:rsidP="00000000" w:rsidRDefault="00000000" w:rsidRPr="00000000" w14:paraId="00000014">
      <w:pPr>
        <w:pStyle w:val="Heading2"/>
        <w:spacing w:after="150" w:before="300" w:lineRule="auto"/>
        <w:rPr/>
      </w:pPr>
      <w:r w:rsidDel="00000000" w:rsidR="00000000" w:rsidRPr="00000000">
        <w:rPr>
          <w:b w:val="1"/>
          <w:bCs w:val="1"/>
          <w:rtl w:val="0"/>
        </w:rPr>
        <w:t xml:space="preserve">3.1 Testbed Architecture</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t xml:space="preserve">The testbed emulates a small enterprise network using Linux network namespaces and virtual bridges, avoiding hypervisor-specific dependencies encountered during early iterations of this project (Section 3.4). Three isolated segments were provisioned, summarized in Table 1.</w:t>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3600"/>
        <w:tblGridChange w:id="0">
          <w:tblGrid>
            <w:gridCol w:w="2200"/>
            <w:gridCol w:w="2600"/>
            <w:gridCol w:w="3600"/>
          </w:tblGrid>
        </w:tblGridChange>
      </w:tblGrid>
      <w:tr>
        <w:trPr>
          <w:cantSplit w:val="0"/>
          <w:tblHeader w:val="0"/>
        </w:trPr>
        <w:tc>
          <w:tcPr>
            <w:shd w:fill="d9e2f3" w:val="clear"/>
          </w:tcPr>
          <w:p w:rsidR="00000000" w:rsidDel="00000000" w:rsidP="00000000" w:rsidRDefault="00000000" w:rsidRPr="00000000" w14:paraId="00000016">
            <w:pPr>
              <w:rPr/>
            </w:pPr>
            <w:r w:rsidDel="00000000" w:rsidR="00000000" w:rsidRPr="00000000">
              <w:rPr>
                <w:b w:val="1"/>
                <w:bCs w:val="1"/>
                <w:rtl w:val="0"/>
              </w:rPr>
              <w:t xml:space="preserve">Segment</w:t>
            </w:r>
            <w:r w:rsidDel="00000000" w:rsidR="00000000" w:rsidRPr="00000000">
              <w:rPr>
                <w:rtl w:val="0"/>
              </w:rPr>
            </w:r>
          </w:p>
        </w:tc>
        <w:tc>
          <w:tcPr>
            <w:shd w:fill="d9e2f3" w:val="clear"/>
          </w:tcPr>
          <w:p w:rsidR="00000000" w:rsidDel="00000000" w:rsidP="00000000" w:rsidRDefault="00000000" w:rsidRPr="00000000" w14:paraId="00000017">
            <w:pPr>
              <w:rPr/>
            </w:pPr>
            <w:r w:rsidDel="00000000" w:rsidR="00000000" w:rsidRPr="00000000">
              <w:rPr>
                <w:b w:val="1"/>
                <w:bCs w:val="1"/>
                <w:rtl w:val="0"/>
              </w:rPr>
              <w:t xml:space="preserve">Subnet</w:t>
            </w:r>
            <w:r w:rsidDel="00000000" w:rsidR="00000000" w:rsidRPr="00000000">
              <w:rPr>
                <w:rtl w:val="0"/>
              </w:rPr>
            </w:r>
          </w:p>
        </w:tc>
        <w:tc>
          <w:tcPr>
            <w:shd w:fill="d9e2f3" w:val="clear"/>
          </w:tcPr>
          <w:p w:rsidR="00000000" w:rsidDel="00000000" w:rsidP="00000000" w:rsidRDefault="00000000" w:rsidRPr="00000000" w14:paraId="00000018">
            <w:pPr>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0"/>
                <w:bCs w:val="0"/>
                <w:rtl w:val="0"/>
              </w:rPr>
              <w:t xml:space="preserve">VLAN 10</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rtl w:val="0"/>
              </w:rPr>
              <w:t xml:space="preserve">10.10.10.0/24</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rtl w:val="0"/>
              </w:rPr>
              <w:t xml:space="preserve">Admin / attacker node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rtl w:val="0"/>
              </w:rPr>
              <w:t xml:space="preserve">VLAN 20</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rtl w:val="0"/>
              </w:rPr>
              <w:t xml:space="preserve">10.10.20.0/24</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rtl w:val="0"/>
              </w:rPr>
              <w:t xml:space="preserve">Corporate endpoint</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rtl w:val="0"/>
              </w:rPr>
              <w:t xml:space="preserve">VLAN 30</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rtl w:val="0"/>
              </w:rPr>
              <w:t xml:space="preserve">10.10.30.0/24</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rtl w:val="0"/>
              </w:rPr>
              <w:t xml:space="preserve">IoT / CCTV endpoint</w:t>
            </w:r>
            <w:r w:rsidDel="00000000" w:rsidR="00000000" w:rsidRPr="00000000">
              <w:rPr>
                <w:rtl w:val="0"/>
              </w:rPr>
            </w:r>
          </w:p>
        </w:tc>
      </w:tr>
    </w:tbl>
    <w:p w:rsidR="00000000" w:rsidDel="00000000" w:rsidP="00000000" w:rsidRDefault="00000000" w:rsidRPr="00000000" w14:paraId="00000022">
      <w:pPr>
        <w:spacing w:after="200" w:before="100" w:lineRule="auto"/>
        <w:rPr/>
      </w:pPr>
      <w:r w:rsidDel="00000000" w:rsidR="00000000" w:rsidRPr="00000000">
        <w:rPr>
          <w:i w:val="1"/>
          <w:iCs w:val="1"/>
          <w:rtl w:val="0"/>
        </w:rPr>
        <w:t xml:space="preserve">Table 1. Testbed segment design.</w:t>
      </w:r>
      <w:r w:rsidDel="00000000" w:rsidR="00000000" w:rsidRPr="00000000">
        <w:rPr>
          <w:rtl w:val="0"/>
        </w:rPr>
      </w:r>
    </w:p>
    <w:p w:rsidR="00000000" w:rsidDel="00000000" w:rsidP="00000000" w:rsidRDefault="00000000" w:rsidRPr="00000000" w14:paraId="00000023">
      <w:pPr>
        <w:spacing w:after="200" w:lineRule="auto"/>
        <w:jc w:val="both"/>
        <w:rPr/>
      </w:pPr>
      <w:r w:rsidDel="00000000" w:rsidR="00000000" w:rsidRPr="00000000">
        <w:rPr>
          <w:rtl w:val="0"/>
        </w:rPr>
        <w:t xml:space="preserve">Each segment is backed by a Linux bridge (br-vlan10/20/30) acting as a Layer 2 switch. Endpoints are implemented as Linux network namespaces [11] (ns-admin, ns-corp, ns-iot) connected to their respective bridge via veth (virtual ethernet) pairs, providing full network-stack isolation per segment without requiring separate virtual machines. IP forwarding was enabled at the kernel level to allow the admin namespace to act as the network’s gateway.</w:t>
      </w:r>
    </w:p>
    <w:p w:rsidR="00000000" w:rsidDel="00000000" w:rsidP="00000000" w:rsidRDefault="00000000" w:rsidRPr="00000000" w14:paraId="00000024">
      <w:pPr>
        <w:pStyle w:val="Heading2"/>
        <w:spacing w:after="150" w:before="300" w:lineRule="auto"/>
        <w:rPr/>
      </w:pPr>
      <w:r w:rsidDel="00000000" w:rsidR="00000000" w:rsidRPr="00000000">
        <w:rPr>
          <w:b w:val="1"/>
          <w:bCs w:val="1"/>
          <w:rtl w:val="0"/>
        </w:rPr>
        <w:t xml:space="preserve">3.2 Tooling</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 iproute2 (ip, bridge) — topology construction and interface management</w:t>
      </w:r>
    </w:p>
    <w:p w:rsidR="00000000" w:rsidDel="00000000" w:rsidP="00000000" w:rsidRDefault="00000000" w:rsidRPr="00000000" w14:paraId="00000026">
      <w:pPr>
        <w:spacing w:after="200" w:lineRule="auto"/>
        <w:rPr/>
      </w:pPr>
      <w:r w:rsidDel="00000000" w:rsidR="00000000" w:rsidRPr="00000000">
        <w:rPr>
          <w:rtl w:val="0"/>
        </w:rPr>
        <w:t xml:space="preserve">• nftables [10] — policy enforcement (Zero Trust default-deny firewall)</w:t>
      </w:r>
    </w:p>
    <w:p w:rsidR="00000000" w:rsidDel="00000000" w:rsidP="00000000" w:rsidRDefault="00000000" w:rsidRPr="00000000" w14:paraId="00000027">
      <w:pPr>
        <w:spacing w:after="200" w:lineRule="auto"/>
        <w:rPr/>
      </w:pPr>
      <w:r w:rsidDel="00000000" w:rsidR="00000000" w:rsidRPr="00000000">
        <w:rPr>
          <w:rtl w:val="0"/>
        </w:rPr>
        <w:t xml:space="preserve">• Bash — idempotent, scripted setup and teardown for full reproducibility</w:t>
      </w:r>
    </w:p>
    <w:p w:rsidR="00000000" w:rsidDel="00000000" w:rsidP="00000000" w:rsidRDefault="00000000" w:rsidRPr="00000000" w14:paraId="00000028">
      <w:pPr>
        <w:pStyle w:val="Heading2"/>
        <w:spacing w:after="150" w:before="300" w:lineRule="auto"/>
        <w:rPr/>
      </w:pPr>
      <w:r w:rsidDel="00000000" w:rsidR="00000000" w:rsidRPr="00000000">
        <w:rPr>
          <w:b w:val="1"/>
          <w:bCs w:val="1"/>
          <w:rtl w:val="0"/>
        </w:rPr>
        <w:t xml:space="preserve">3.3 Zero Trust Policy Design</w:t>
      </w:r>
      <w:r w:rsidDel="00000000" w:rsidR="00000000" w:rsidRPr="00000000">
        <w:rPr>
          <w:rtl w:val="0"/>
        </w:rPr>
      </w:r>
    </w:p>
    <w:p w:rsidR="00000000" w:rsidDel="00000000" w:rsidP="00000000" w:rsidRDefault="00000000" w:rsidRPr="00000000" w14:paraId="00000029">
      <w:pPr>
        <w:spacing w:after="200" w:lineRule="auto"/>
        <w:jc w:val="both"/>
        <w:rPr/>
      </w:pPr>
      <w:r w:rsidDel="00000000" w:rsidR="00000000" w:rsidRPr="00000000">
        <w:rPr>
          <w:rtl w:val="0"/>
        </w:rPr>
        <w:t xml:space="preserve">Following NIST SP 800-207 [1] principles, a default-deny policy was applied to the nftables forward chain. No traffic is implicitly permitted based on network location or segment membership; explicit allow-rules were added only for the minimum required traffic — specifically, SSH (TCP/22) from the administrative segment to the corporate segment. All other inter-segment traffic, including all traffic toward the IoT/CCTV segment, falls through to a logged default-drop rule.</w:t>
      </w:r>
    </w:p>
    <w:p w:rsidR="00000000" w:rsidDel="00000000" w:rsidP="00000000" w:rsidRDefault="00000000" w:rsidRPr="00000000" w14:paraId="0000002A">
      <w:pPr>
        <w:pStyle w:val="Heading2"/>
        <w:spacing w:after="150" w:before="300" w:lineRule="auto"/>
        <w:rPr/>
      </w:pPr>
      <w:r w:rsidDel="00000000" w:rsidR="00000000" w:rsidRPr="00000000">
        <w:rPr>
          <w:b w:val="1"/>
          <w:bCs w:val="1"/>
          <w:rtl w:val="0"/>
        </w:rPr>
        <w:t xml:space="preserve">3.4 Implementation Challenges</w:t>
      </w:r>
      <w:r w:rsidDel="00000000" w:rsidR="00000000" w:rsidRPr="00000000">
        <w:rPr>
          <w:rtl w:val="0"/>
        </w:rPr>
      </w:r>
    </w:p>
    <w:p w:rsidR="00000000" w:rsidDel="00000000" w:rsidP="00000000" w:rsidRDefault="00000000" w:rsidRPr="00000000" w14:paraId="0000002B">
      <w:pPr>
        <w:spacing w:after="200" w:lineRule="auto"/>
        <w:jc w:val="both"/>
        <w:rPr/>
      </w:pPr>
      <w:r w:rsidDel="00000000" w:rsidR="00000000" w:rsidRPr="00000000">
        <w:rPr>
          <w:rtl w:val="0"/>
        </w:rPr>
        <w:t xml:space="preserve">Two significant implementation challenges were encountered and are reported here for transparency and reproducibility.</w:t>
      </w:r>
    </w:p>
    <w:p w:rsidR="00000000" w:rsidDel="00000000" w:rsidP="00000000" w:rsidRDefault="00000000" w:rsidRPr="00000000" w14:paraId="0000002C">
      <w:pPr>
        <w:spacing w:after="200" w:lineRule="auto"/>
        <w:jc w:val="both"/>
        <w:rPr/>
      </w:pPr>
      <w:r w:rsidDel="00000000" w:rsidR="00000000" w:rsidRPr="00000000">
        <w:rPr>
          <w:rtl w:val="0"/>
        </w:rPr>
        <w:t xml:space="preserve">Cross-hypervisor topology failure. Early iterations attempted to distribute testbed nodes across two different hypervisors (VMware and VirtualBox). This was abandoned after confirming that virtual switches are not shared across hypervisor platforms — nodes on different hypervisors cannot communicate even when assigned addresses in the same subnet, since Layer 2 connectivity is scoped to a single hypervisor’s virtual switching fabric. The testbed was subsequently consolidated onto namespace-based emulation within a single host, which also eliminated recurring guest-OS compatibility issues (kernel panics related to APIC configuration, memory allocation failures, and disk-size constraints) encountered while provisioning FreeBSD-based virtual routers.</w:t>
      </w:r>
    </w:p>
    <w:p w:rsidR="00000000" w:rsidDel="00000000" w:rsidP="00000000" w:rsidRDefault="00000000" w:rsidRPr="00000000" w14:paraId="0000002D">
      <w:pPr>
        <w:spacing w:after="200" w:lineRule="auto"/>
        <w:jc w:val="both"/>
        <w:rPr/>
      </w:pPr>
      <w:r w:rsidDel="00000000" w:rsidR="00000000" w:rsidRPr="00000000">
        <w:rPr>
          <w:rtl w:val="0"/>
        </w:rPr>
        <w:t xml:space="preserve">False negative in firewall validation. After applying the default-deny nftables policy, initial ping tests between segments continued to succeed with 0% packet loss, identical to the pre-firewall baseline, despite the policy appearing correctly configured. Inspection of rule counters showed the drop rule’s packet counter remained at zero throughout testing:</w:t>
      </w:r>
    </w:p>
    <w:p w:rsidR="00000000" w:rsidDel="00000000" w:rsidP="00000000" w:rsidRDefault="00000000" w:rsidRPr="00000000" w14:paraId="0000002E">
      <w:pPr>
        <w:spacing w:after="200" w:lineRule="auto"/>
        <w:jc w:val="both"/>
        <w:rPr/>
      </w:pPr>
      <w:r w:rsidDel="00000000" w:rsidR="00000000" w:rsidRPr="00000000">
        <w:rPr>
          <w:rFonts w:ascii="Courier New" w:cs="Courier New" w:eastAsia="Courier New" w:hAnsi="Courier New"/>
          <w:rtl w:val="0"/>
        </w:rPr>
        <w:t xml:space="preserve">log prefix "ZT-DROP: " counter packets 0 bytes 0 drop</w:t>
      </w:r>
      <w:r w:rsidDel="00000000" w:rsidR="00000000" w:rsidRPr="00000000">
        <w:rPr>
          <w:rtl w:val="0"/>
        </w:rPr>
      </w:r>
    </w:p>
    <w:p w:rsidR="00000000" w:rsidDel="00000000" w:rsidP="00000000" w:rsidRDefault="00000000" w:rsidRPr="00000000" w14:paraId="0000002F">
      <w:pPr>
        <w:spacing w:after="200" w:lineRule="auto"/>
        <w:jc w:val="both"/>
        <w:rPr/>
      </w:pPr>
      <w:r w:rsidDel="00000000" w:rsidR="00000000" w:rsidRPr="00000000">
        <w:rPr>
          <w:rtl w:val="0"/>
        </w:rPr>
        <w:t xml:space="preserve">The root cause was that traffic originating directly from the host running the test (rather than from a namespaced device) is classified by the Linux kernel as OUTPUT traffic, not FORWARD traffic. The nftables policy was correctly scoped to the forward chain, but host-originated test traffic never entered that chain, bypassing policy evaluation entirely and creating a misleading impression of firewall failure. The fix was to place the administrative endpoint into its own namespace (ns-admin), matching the pattern already used for the corporate and IoT segments, ensuring all inter-segment traffic — including from the administrative node — passed symmetrically through the kernel’s forwarding path.</w:t>
      </w:r>
    </w:p>
    <w:p w:rsidR="00000000" w:rsidDel="00000000" w:rsidP="00000000" w:rsidRDefault="00000000" w:rsidRPr="00000000" w14:paraId="00000030">
      <w:pPr>
        <w:pStyle w:val="Heading1"/>
        <w:spacing w:after="150" w:before="300" w:lineRule="auto"/>
        <w:rPr/>
      </w:pPr>
      <w:r w:rsidDel="00000000" w:rsidR="00000000" w:rsidRPr="00000000">
        <w:rPr>
          <w:b w:val="1"/>
          <w:bCs w:val="1"/>
          <w:rtl w:val="0"/>
        </w:rPr>
        <w:t xml:space="preserve">4. Results</w:t>
      </w:r>
      <w:r w:rsidDel="00000000" w:rsidR="00000000" w:rsidRPr="00000000">
        <w:rPr>
          <w:rtl w:val="0"/>
        </w:rPr>
      </w:r>
    </w:p>
    <w:p w:rsidR="00000000" w:rsidDel="00000000" w:rsidP="00000000" w:rsidRDefault="00000000" w:rsidRPr="00000000" w14:paraId="00000031">
      <w:pPr>
        <w:spacing w:after="200" w:lineRule="auto"/>
        <w:jc w:val="both"/>
        <w:rPr/>
      </w:pPr>
      <w:r w:rsidDel="00000000" w:rsidR="00000000" w:rsidRPr="00000000">
        <w:rPr>
          <w:rtl w:val="0"/>
        </w:rPr>
        <w:t xml:space="preserve">Under the flat-network baseline (no firewall policy applied), inter-segment reachability was 100%: the administrative node could reach both the corporate and IoT/CCTV segments without restriction, representing unrestricted lateral movement capability. Following deployment and correction of the Zero Trust policy, connectivity was re-tested using the namespaced administrative endpoint. Results are summarized in Table 2.</w:t>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000"/>
        <w:gridCol w:w="2400"/>
        <w:tblGridChange w:id="0">
          <w:tblGrid>
            <w:gridCol w:w="2600"/>
            <w:gridCol w:w="2200"/>
            <w:gridCol w:w="2000"/>
            <w:gridCol w:w="2400"/>
          </w:tblGrid>
        </w:tblGridChange>
      </w:tblGrid>
      <w:tr>
        <w:trPr>
          <w:cantSplit w:val="0"/>
          <w:tblHeader w:val="0"/>
        </w:trPr>
        <w:tc>
          <w:tcPr>
            <w:shd w:fill="d9e2f3" w:val="clear"/>
          </w:tcPr>
          <w:p w:rsidR="00000000" w:rsidDel="00000000" w:rsidP="00000000" w:rsidRDefault="00000000" w:rsidRPr="00000000" w14:paraId="00000032">
            <w:pPr>
              <w:rPr/>
            </w:pPr>
            <w:r w:rsidDel="00000000" w:rsidR="00000000" w:rsidRPr="00000000">
              <w:rPr>
                <w:b w:val="1"/>
                <w:bCs w:val="1"/>
                <w:rtl w:val="0"/>
              </w:rPr>
              <w:t xml:space="preserve">Path</w:t>
            </w:r>
            <w:r w:rsidDel="00000000" w:rsidR="00000000" w:rsidRPr="00000000">
              <w:rPr>
                <w:rtl w:val="0"/>
              </w:rPr>
            </w:r>
          </w:p>
        </w:tc>
        <w:tc>
          <w:tcPr>
            <w:shd w:fill="d9e2f3" w:val="clear"/>
          </w:tcPr>
          <w:p w:rsidR="00000000" w:rsidDel="00000000" w:rsidP="00000000" w:rsidRDefault="00000000" w:rsidRPr="00000000" w14:paraId="00000033">
            <w:pPr>
              <w:rPr/>
            </w:pPr>
            <w:r w:rsidDel="00000000" w:rsidR="00000000" w:rsidRPr="00000000">
              <w:rPr>
                <w:b w:val="1"/>
                <w:bCs w:val="1"/>
                <w:rtl w:val="0"/>
              </w:rPr>
              <w:t xml:space="preserve">Protocol</w:t>
            </w:r>
            <w:r w:rsidDel="00000000" w:rsidR="00000000" w:rsidRPr="00000000">
              <w:rPr>
                <w:rtl w:val="0"/>
              </w:rPr>
            </w:r>
          </w:p>
        </w:tc>
        <w:tc>
          <w:tcPr>
            <w:shd w:fill="d9e2f3" w:val="clear"/>
          </w:tcPr>
          <w:p w:rsidR="00000000" w:rsidDel="00000000" w:rsidP="00000000" w:rsidRDefault="00000000" w:rsidRPr="00000000" w14:paraId="00000034">
            <w:pPr>
              <w:rPr/>
            </w:pPr>
            <w:r w:rsidDel="00000000" w:rsidR="00000000" w:rsidRPr="00000000">
              <w:rPr>
                <w:b w:val="1"/>
                <w:bCs w:val="1"/>
                <w:rtl w:val="0"/>
              </w:rPr>
              <w:t xml:space="preserve">Before (Flat)</w:t>
            </w:r>
            <w:r w:rsidDel="00000000" w:rsidR="00000000" w:rsidRPr="00000000">
              <w:rPr>
                <w:rtl w:val="0"/>
              </w:rPr>
            </w:r>
          </w:p>
        </w:tc>
        <w:tc>
          <w:tcPr>
            <w:shd w:fill="d9e2f3" w:val="clear"/>
          </w:tcPr>
          <w:p w:rsidR="00000000" w:rsidDel="00000000" w:rsidP="00000000" w:rsidRDefault="00000000" w:rsidRPr="00000000" w14:paraId="00000035">
            <w:pPr>
              <w:rPr/>
            </w:pPr>
            <w:r w:rsidDel="00000000" w:rsidR="00000000" w:rsidRPr="00000000">
              <w:rPr>
                <w:b w:val="1"/>
                <w:bCs w:val="1"/>
                <w:rtl w:val="0"/>
              </w:rPr>
              <w:t xml:space="preserve">After (Zero Trust)</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VLAN10 -&gt; VLAN20</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ICMP (ping)</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0"/>
                <w:bCs w:val="0"/>
                <w:rtl w:val="0"/>
              </w:rPr>
              <w:t xml:space="preserve">SUCCESS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rtl w:val="0"/>
              </w:rPr>
              <w:t xml:space="preserve">BLOCKED</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0"/>
                <w:bCs w:val="0"/>
                <w:rtl w:val="0"/>
              </w:rPr>
              <w:t xml:space="preserve">VLAN10 -&gt; VLAN30</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rtl w:val="0"/>
              </w:rPr>
              <w:t xml:space="preserve">ICMP (ping)</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0"/>
                <w:bCs w:val="0"/>
                <w:rtl w:val="0"/>
              </w:rPr>
              <w:t xml:space="preserve">SUCCESS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rtl w:val="0"/>
              </w:rPr>
              <w:t xml:space="preserve">BLOCKED</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0"/>
                <w:bCs w:val="0"/>
                <w:rtl w:val="0"/>
              </w:rPr>
              <w:t xml:space="preserve">VLAN10 -&gt; VLAN20</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0"/>
                <w:bCs w:val="0"/>
                <w:rtl w:val="0"/>
              </w:rPr>
              <w:t xml:space="preserve">TCP/22 (SSH)</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rtl w:val="0"/>
              </w:rPr>
              <w:t xml:space="preserve">N/A</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0"/>
                <w:bCs w:val="0"/>
                <w:rtl w:val="0"/>
              </w:rPr>
              <w:t xml:space="preserve">ALLOWED (explicit policy)</w:t>
            </w:r>
            <w:r w:rsidDel="00000000" w:rsidR="00000000" w:rsidRPr="00000000">
              <w:rPr>
                <w:rtl w:val="0"/>
              </w:rPr>
            </w:r>
          </w:p>
        </w:tc>
      </w:tr>
    </w:tbl>
    <w:p w:rsidR="00000000" w:rsidDel="00000000" w:rsidP="00000000" w:rsidRDefault="00000000" w:rsidRPr="00000000" w14:paraId="00000042">
      <w:pPr>
        <w:spacing w:after="200" w:before="100" w:lineRule="auto"/>
        <w:rPr/>
      </w:pPr>
      <w:r w:rsidDel="00000000" w:rsidR="00000000" w:rsidRPr="00000000">
        <w:rPr>
          <w:i w:val="1"/>
          <w:iCs w:val="1"/>
          <w:rtl w:val="0"/>
        </w:rPr>
        <w:t xml:space="preserve">Table 2. Connectivity results before and after Zero Trust policy enforcement.</w:t>
      </w:r>
      <w:r w:rsidDel="00000000" w:rsidR="00000000" w:rsidRPr="00000000">
        <w:rPr>
          <w:rtl w:val="0"/>
        </w:rPr>
      </w:r>
    </w:p>
    <w:p w:rsidR="00000000" w:rsidDel="00000000" w:rsidP="00000000" w:rsidRDefault="00000000" w:rsidRPr="00000000" w14:paraId="00000043">
      <w:pPr>
        <w:spacing w:after="200" w:lineRule="auto"/>
        <w:jc w:val="both"/>
        <w:rPr/>
      </w:pPr>
      <w:r w:rsidDel="00000000" w:rsidR="00000000" w:rsidRPr="00000000">
        <w:rPr>
          <w:rtl w:val="0"/>
        </w:rPr>
        <w:t xml:space="preserve">After correcting the traffic-path issue described in Section 3.4, the drop counter incremented as expected, confirming active policy enforcement:</w:t>
      </w:r>
    </w:p>
    <w:p w:rsidR="00000000" w:rsidDel="00000000" w:rsidP="00000000" w:rsidRDefault="00000000" w:rsidRPr="00000000" w14:paraId="00000044">
      <w:pPr>
        <w:spacing w:after="200" w:lineRule="auto"/>
        <w:jc w:val="both"/>
        <w:rPr/>
      </w:pPr>
      <w:r w:rsidDel="00000000" w:rsidR="00000000" w:rsidRPr="00000000">
        <w:rPr>
          <w:rFonts w:ascii="Courier New" w:cs="Courier New" w:eastAsia="Courier New" w:hAnsi="Courier New"/>
          <w:rtl w:val="0"/>
        </w:rPr>
        <w:t xml:space="preserve">log prefix "ZT-DROP: " counter packets 6 bytes 504 drop</w:t>
      </w: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rtl w:val="0"/>
        </w:rPr>
        <w:t xml:space="preserve">The Zero Trust policy reduced the administrative node’s unauthorized reachable surface from 100% (all segments, all protocols) to 0% for non-whitelisted protocols, while the explicitly permitted SSH path to the corporate segment remained functional, confirming that the policy enforces least-privilege access rather than blanket segment isolation.</w:t>
      </w:r>
    </w:p>
    <w:p w:rsidR="00000000" w:rsidDel="00000000" w:rsidP="00000000" w:rsidRDefault="00000000" w:rsidRPr="00000000" w14:paraId="00000046">
      <w:pPr>
        <w:pStyle w:val="Heading2"/>
        <w:spacing w:after="150" w:before="300" w:lineRule="auto"/>
        <w:rPr/>
      </w:pPr>
      <w:r w:rsidDel="00000000" w:rsidR="00000000" w:rsidRPr="00000000">
        <w:rPr>
          <w:b w:val="1"/>
          <w:bCs w:val="1"/>
          <w:rtl w:val="0"/>
        </w:rPr>
        <w:t xml:space="preserve">4.1 Attacker-Perspective Reconnaissance (Nmap)</w:t>
      </w:r>
      <w:r w:rsidDel="00000000" w:rsidR="00000000" w:rsidRPr="00000000">
        <w:rPr>
          <w:rtl w:val="0"/>
        </w:rPr>
      </w:r>
    </w:p>
    <w:p w:rsidR="00000000" w:rsidDel="00000000" w:rsidP="00000000" w:rsidRDefault="00000000" w:rsidRPr="00000000" w14:paraId="00000047">
      <w:pPr>
        <w:spacing w:after="200" w:lineRule="auto"/>
        <w:jc w:val="both"/>
        <w:rPr/>
      </w:pPr>
      <w:r w:rsidDel="00000000" w:rsidR="00000000" w:rsidRPr="00000000">
        <w:rPr>
          <w:rtl w:val="0"/>
        </w:rPr>
        <w:t xml:space="preserve">To evaluate the policy from an attacker’s point of view rather than purely at the packet-forwarding level, TCP SYN scans (Nmap -sS [12]) were run from the administrative node against six commonly targeted ports (FTP, SSH, Telnet, HTTP, HTTPS, RTSP) on both the corporate and IoT/CCTV segments, before and after Zero Trust policy enforcement. Results are summarized in Table 3.</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200"/>
        <w:tblGridChange w:id="0">
          <w:tblGrid>
            <w:gridCol w:w="2200"/>
            <w:gridCol w:w="2600"/>
            <w:gridCol w:w="2200"/>
            <w:gridCol w:w="2200"/>
          </w:tblGrid>
        </w:tblGridChange>
      </w:tblGrid>
      <w:tr>
        <w:trPr>
          <w:cantSplit w:val="0"/>
          <w:tblHeader w:val="0"/>
        </w:trPr>
        <w:tc>
          <w:tcPr>
            <w:shd w:fill="d9e2f3" w:val="clear"/>
          </w:tcPr>
          <w:p w:rsidR="00000000" w:rsidDel="00000000" w:rsidP="00000000" w:rsidRDefault="00000000" w:rsidRPr="00000000" w14:paraId="00000048">
            <w:pPr>
              <w:rPr/>
            </w:pPr>
            <w:r w:rsidDel="00000000" w:rsidR="00000000" w:rsidRPr="00000000">
              <w:rPr>
                <w:b w:val="1"/>
                <w:bCs w:val="1"/>
                <w:rtl w:val="0"/>
              </w:rPr>
              <w:t xml:space="preserve">Target</w:t>
            </w:r>
            <w:r w:rsidDel="00000000" w:rsidR="00000000" w:rsidRPr="00000000">
              <w:rPr>
                <w:rtl w:val="0"/>
              </w:rPr>
            </w:r>
          </w:p>
        </w:tc>
        <w:tc>
          <w:tcPr>
            <w:shd w:fill="d9e2f3" w:val="clear"/>
          </w:tcPr>
          <w:p w:rsidR="00000000" w:rsidDel="00000000" w:rsidP="00000000" w:rsidRDefault="00000000" w:rsidRPr="00000000" w14:paraId="00000049">
            <w:pPr>
              <w:rPr/>
            </w:pPr>
            <w:r w:rsidDel="00000000" w:rsidR="00000000" w:rsidRPr="00000000">
              <w:rPr>
                <w:b w:val="1"/>
                <w:bCs w:val="1"/>
                <w:rtl w:val="0"/>
              </w:rPr>
              <w:t xml:space="preserve">Scan Type</w:t>
            </w:r>
            <w:r w:rsidDel="00000000" w:rsidR="00000000" w:rsidRPr="00000000">
              <w:rPr>
                <w:rtl w:val="0"/>
              </w:rPr>
            </w:r>
          </w:p>
        </w:tc>
        <w:tc>
          <w:tcPr>
            <w:shd w:fill="d9e2f3" w:val="clear"/>
          </w:tcPr>
          <w:p w:rsidR="00000000" w:rsidDel="00000000" w:rsidP="00000000" w:rsidRDefault="00000000" w:rsidRPr="00000000" w14:paraId="0000004A">
            <w:pPr>
              <w:rPr/>
            </w:pPr>
            <w:r w:rsidDel="00000000" w:rsidR="00000000" w:rsidRPr="00000000">
              <w:rPr>
                <w:b w:val="1"/>
                <w:bCs w:val="1"/>
                <w:rtl w:val="0"/>
              </w:rPr>
              <w:t xml:space="preserve">Before Zero Trust</w:t>
            </w:r>
            <w:r w:rsidDel="00000000" w:rsidR="00000000" w:rsidRPr="00000000">
              <w:rPr>
                <w:rtl w:val="0"/>
              </w:rPr>
            </w:r>
          </w:p>
        </w:tc>
        <w:tc>
          <w:tcPr>
            <w:shd w:fill="d9e2f3" w:val="clear"/>
          </w:tcPr>
          <w:p w:rsidR="00000000" w:rsidDel="00000000" w:rsidP="00000000" w:rsidRDefault="00000000" w:rsidRPr="00000000" w14:paraId="0000004B">
            <w:pPr>
              <w:rPr/>
            </w:pPr>
            <w:r w:rsidDel="00000000" w:rsidR="00000000" w:rsidRPr="00000000">
              <w:rPr>
                <w:b w:val="1"/>
                <w:bCs w:val="1"/>
                <w:rtl w:val="0"/>
              </w:rPr>
              <w:t xml:space="preserve">After Zero Trust</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b w:val="0"/>
                <w:bCs w:val="0"/>
                <w:rtl w:val="0"/>
              </w:rPr>
              <w:t xml:space="preserve">VLAN20</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rtl w:val="0"/>
              </w:rPr>
              <w:t xml:space="preserve">Default host discovery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0"/>
                <w:bCs w:val="0"/>
                <w:rtl w:val="0"/>
              </w:rPr>
              <w:t xml:space="preserve">Host up</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rtl w:val="0"/>
              </w:rPr>
              <w:t xml:space="preserve">Host "seems down"</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0"/>
                <w:bCs w:val="0"/>
                <w:rtl w:val="0"/>
              </w:rPr>
              <w:t xml:space="preserve">VLAN20</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0"/>
                <w:bCs w:val="0"/>
                <w:rtl w:val="0"/>
              </w:rPr>
              <w:t xml:space="preserve">Forced scan (-Pn), 6 ports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rtl w:val="0"/>
              </w:rPr>
              <w:t xml:space="preserve">1 open, 5 closed</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0"/>
                <w:bCs w:val="0"/>
                <w:rtl w:val="0"/>
              </w:rPr>
              <w:t xml:space="preserve">1 open, 5 filtered</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b w:val="0"/>
                <w:bCs w:val="0"/>
                <w:rtl w:val="0"/>
              </w:rPr>
              <w:t xml:space="preserve">VLAN30</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0"/>
                <w:bCs w:val="0"/>
                <w:rtl w:val="0"/>
              </w:rPr>
              <w:t xml:space="preserve">Default host discovery</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rtl w:val="0"/>
              </w:rPr>
              <w:t xml:space="preserve">Host up</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0"/>
                <w:bCs w:val="0"/>
                <w:rtl w:val="0"/>
              </w:rPr>
              <w:t xml:space="preserve">Host "seems down"</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b w:val="0"/>
                <w:bCs w:val="0"/>
                <w:rtl w:val="0"/>
              </w:rPr>
              <w:t xml:space="preserve">VLAN30</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bCs w:val="0"/>
                <w:rtl w:val="0"/>
              </w:rPr>
              <w:t xml:space="preserve">Forced scan (-Pn), 6 ports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rtl w:val="0"/>
              </w:rPr>
              <w:t xml:space="preserve">6 closed</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0"/>
                <w:bCs w:val="0"/>
                <w:rtl w:val="0"/>
              </w:rPr>
              <w:t xml:space="preserve">6 filtered</w:t>
            </w:r>
            <w:r w:rsidDel="00000000" w:rsidR="00000000" w:rsidRPr="00000000">
              <w:rPr>
                <w:rtl w:val="0"/>
              </w:rPr>
            </w:r>
          </w:p>
        </w:tc>
      </w:tr>
    </w:tbl>
    <w:p w:rsidR="00000000" w:rsidDel="00000000" w:rsidP="00000000" w:rsidRDefault="00000000" w:rsidRPr="00000000" w14:paraId="0000005C">
      <w:pPr>
        <w:spacing w:after="200" w:before="100" w:lineRule="auto"/>
        <w:jc w:val="both"/>
        <w:rPr/>
      </w:pPr>
      <w:r w:rsidDel="00000000" w:rsidR="00000000" w:rsidRPr="00000000">
        <w:rPr>
          <w:i w:val="1"/>
          <w:iCs w:val="1"/>
          <w:rtl w:val="0"/>
        </w:rPr>
        <w:t xml:space="preserve">Table 3. Nmap reconnaissance results before and after Zero Trust enforcement.</w:t>
      </w:r>
      <w:r w:rsidDel="00000000" w:rsidR="00000000" w:rsidRPr="00000000">
        <w:rPr>
          <w:rtl w:val="0"/>
        </w:rPr>
      </w:r>
    </w:p>
    <w:p w:rsidR="00000000" w:rsidDel="00000000" w:rsidP="00000000" w:rsidRDefault="00000000" w:rsidRPr="00000000" w14:paraId="0000005D">
      <w:pPr>
        <w:spacing w:after="200" w:lineRule="auto"/>
        <w:jc w:val="both"/>
        <w:rPr/>
      </w:pPr>
      <w:r w:rsidDel="00000000" w:rsidR="00000000" w:rsidRPr="00000000">
        <w:rPr>
          <w:rtl w:val="0"/>
        </w:rPr>
        <w:t xml:space="preserve">A notable finding is that standard Nmap host discovery, which relies on ICMP echo probes by default, failed entirely against both protected segments post-enforcement, reporting each host as “down” despite both being fully operational. This is a stronger security outcome than port-level filtering alone: an attacker performing a default network sweep would not identify VLAN20 or VLAN30 hosts as valid scan targets at all, rather than merely being unable to enumerate their open services. Only a forced, non-ping scan (-Pn flag) revealed the underlying filtered port states shown in Table 3.</w:t>
      </w:r>
    </w:p>
    <w:p w:rsidR="00000000" w:rsidDel="00000000" w:rsidP="00000000" w:rsidRDefault="00000000" w:rsidRPr="00000000" w14:paraId="0000005E">
      <w:pPr>
        <w:spacing w:after="200" w:lineRule="auto"/>
        <w:jc w:val="both"/>
        <w:rPr/>
      </w:pPr>
      <w:r w:rsidDel="00000000" w:rsidR="00000000" w:rsidRPr="00000000">
        <w:rPr>
          <w:rtl w:val="0"/>
        </w:rPr>
        <w:t xml:space="preserve">The distinction between “closed” and “filtered” port states is significant for reconnaissance-resistance. A closed port confirms to an attacker that a host exists and is reachable, providing a foothold for further enumeration. A filtered port, in contrast, is indistinguishable from a non-existent host, substantially raising the cost and uncertainty of reconnaissance — a practical, measurable realization of the Zero Trust principle of minimizing implicit information disclosure to unverified requesters.</w:t>
      </w:r>
    </w:p>
    <w:p w:rsidR="00000000" w:rsidDel="00000000" w:rsidP="00000000" w:rsidRDefault="00000000" w:rsidRPr="00000000" w14:paraId="0000005F">
      <w:pPr>
        <w:pStyle w:val="Heading1"/>
        <w:spacing w:after="150" w:before="300" w:lineRule="auto"/>
        <w:rPr/>
      </w:pPr>
      <w:r w:rsidDel="00000000" w:rsidR="00000000" w:rsidRPr="00000000">
        <w:rPr>
          <w:b w:val="1"/>
          <w:bCs w:val="1"/>
          <w:rtl w:val="0"/>
        </w:rPr>
        <w:t xml:space="preserve">5. Discussion</w:t>
      </w: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rtl w:val="0"/>
        </w:rPr>
        <w:t xml:space="preserve">The results demonstrate that core Zero Trust principles — default-deny, explicit least-privilege access, and no implicit trust by network location — can be implemented and empirically validated in a lightweight, fully reproducible testbed without dedicated hardware or multiple virtual machines. This directly addresses the research gap identified in Section 2.5: where existing ZTA literature is largely theoretical and SDN testbed literature focuses on routing rather than security policy, this work integrates both concerns in a single, scriptable artifact.</w:t>
      </w:r>
    </w:p>
    <w:p w:rsidR="00000000" w:rsidDel="00000000" w:rsidP="00000000" w:rsidRDefault="00000000" w:rsidRPr="00000000" w14:paraId="00000061">
      <w:pPr>
        <w:spacing w:after="200" w:lineRule="auto"/>
        <w:jc w:val="both"/>
        <w:rPr/>
      </w:pPr>
      <w:r w:rsidDel="00000000" w:rsidR="00000000" w:rsidRPr="00000000">
        <w:rPr>
          <w:rtl w:val="0"/>
        </w:rPr>
        <w:t xml:space="preserve">The reconnaissance results in Section 4.1 further reinforce this point from an attacker’s perspective: the policy did not merely block connections, it removed the target segments from standard reconnaissance workflows entirely, since default ICMP-based host discovery failed silently. This suggests that network-layer Zero Trust enforcement can meaningfully increase attacker reconnaissance cost even before any application-layer authentication is considered.</w:t>
      </w:r>
    </w:p>
    <w:p w:rsidR="00000000" w:rsidDel="00000000" w:rsidP="00000000" w:rsidRDefault="00000000" w:rsidRPr="00000000" w14:paraId="00000062">
      <w:pPr>
        <w:spacing w:after="200" w:lineRule="auto"/>
        <w:jc w:val="both"/>
        <w:rPr/>
      </w:pPr>
      <w:r w:rsidDel="00000000" w:rsidR="00000000" w:rsidRPr="00000000">
        <w:rPr>
          <w:rtl w:val="0"/>
        </w:rPr>
        <w:t xml:space="preserve">The false-negative firewall validation issue documented in Section 3.4 is of particular note. It independently corroborates the limitation reported in [8], where Mininet-style testbeds are shown to require considerable additional effort to achieve secure and realistic VLAN isolation. This project’s experience — a functioning policy that appeared broken due to a traffic-path misclassification rather than a configuration error — illustrates precisely the kind of non-obvious engineering friction that large-scale case studies and survey papers rarely capture at this level of detail, but which practitioners are likely to encounter when implementing similar policies in production Linux-based infrastructure.</w:t>
      </w:r>
    </w:p>
    <w:p w:rsidR="00000000" w:rsidDel="00000000" w:rsidP="00000000" w:rsidRDefault="00000000" w:rsidRPr="00000000" w14:paraId="00000063">
      <w:pPr>
        <w:spacing w:after="200" w:lineRule="auto"/>
        <w:jc w:val="both"/>
        <w:rPr/>
      </w:pPr>
      <w:r w:rsidDel="00000000" w:rsidR="00000000" w:rsidRPr="00000000">
        <w:rPr>
          <w:rtl w:val="0"/>
        </w:rPr>
        <w:t xml:space="preserve">A limitation of this work is scale: the testbed models three segments and a small number of endpoints, whereas real enterprise networks involve substantially more complex topologies, dynamic device populations, and identity-management systems (e.g., certificate-based authentication, continuous device posture checks) that were outside this paper’s scope. The current implementation also enforces policy purely at the network layer; a complete Zero Trust deployment per NIST SP 800-207 [1] would additionally require identity-aware access proxies and continuous verification mechanisms.</w:t>
      </w:r>
    </w:p>
    <w:p w:rsidR="00000000" w:rsidDel="00000000" w:rsidP="00000000" w:rsidRDefault="00000000" w:rsidRPr="00000000" w14:paraId="00000064">
      <w:pPr>
        <w:pStyle w:val="Heading1"/>
        <w:spacing w:after="150" w:before="300" w:lineRule="auto"/>
        <w:rPr/>
      </w:pPr>
      <w:r w:rsidDel="00000000" w:rsidR="00000000" w:rsidRPr="00000000">
        <w:rPr>
          <w:b w:val="1"/>
          <w:bCs w:val="1"/>
          <w:rtl w:val="0"/>
        </w:rPr>
        <w:t xml:space="preserve">6. Conclusion and Future Work</w:t>
      </w:r>
      <w:r w:rsidDel="00000000" w:rsidR="00000000" w:rsidRPr="00000000">
        <w:rPr>
          <w:rtl w:val="0"/>
        </w:rPr>
      </w:r>
    </w:p>
    <w:p w:rsidR="00000000" w:rsidDel="00000000" w:rsidP="00000000" w:rsidRDefault="00000000" w:rsidRPr="00000000" w14:paraId="00000065">
      <w:pPr>
        <w:spacing w:after="200" w:lineRule="auto"/>
        <w:jc w:val="both"/>
        <w:rPr/>
      </w:pPr>
      <w:r w:rsidDel="00000000" w:rsidR="00000000" w:rsidRPr="00000000">
        <w:rPr>
          <w:rtl w:val="0"/>
        </w:rPr>
        <w:t xml:space="preserve">This paper presented a reproducible, namespace-based testbed for implementing and validating Zero Trust network policies, addressing a gap between theoretical Zero Trust literature and SDN-style network emulation research. A default-deny nftables policy was implemented and empirically shown to eliminate unauthorized inter-segment reachability while preserving explicitly permitted traffic. A significant implementation pitfall — host-originated traffic bypassing the firewall’s forwarding chain — was identified, diagnosed, and resolved, with findings directly corroborating previously reported Mininet-style testbed limitations.</w:t>
      </w:r>
    </w:p>
    <w:p w:rsidR="00000000" w:rsidDel="00000000" w:rsidP="00000000" w:rsidRDefault="00000000" w:rsidRPr="00000000" w14:paraId="00000066">
      <w:pPr>
        <w:spacing w:after="200" w:lineRule="auto"/>
        <w:jc w:val="both"/>
        <w:rPr/>
      </w:pPr>
      <w:r w:rsidDel="00000000" w:rsidR="00000000" w:rsidRPr="00000000">
        <w:rPr>
          <w:rtl w:val="0"/>
        </w:rPr>
        <w:t xml:space="preserve">Future work includes extending the testbed with an identity-aware access layer (e.g., certificate-based authentication and continuous device posture verification), integrating intrusion detection (Suricata) to generate structured alerts from policy violations, and evaluating the testbed’s fidelity against a hardware-based topology to quantify the realism trade-offs of namespace-based emulation relative to physical or virtual-machine-based enterprise networks.</w:t>
      </w:r>
    </w:p>
    <w:p w:rsidR="00000000" w:rsidDel="00000000" w:rsidP="00000000" w:rsidRDefault="00000000" w:rsidRPr="00000000" w14:paraId="00000067">
      <w:pPr>
        <w:pStyle w:val="Heading1"/>
        <w:spacing w:after="150" w:before="300" w:lineRule="auto"/>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68">
      <w:pPr>
        <w:spacing w:after="160" w:lineRule="auto"/>
        <w:ind w:left="360" w:hanging="360"/>
        <w:jc w:val="both"/>
        <w:rPr/>
      </w:pPr>
      <w:r w:rsidDel="00000000" w:rsidR="00000000" w:rsidRPr="00000000">
        <w:rPr>
          <w:b w:val="1"/>
          <w:bCs w:val="1"/>
          <w:rtl w:val="0"/>
        </w:rPr>
        <w:t xml:space="preserve">[1] </w:t>
      </w:r>
      <w:r w:rsidDel="00000000" w:rsidR="00000000" w:rsidRPr="00000000">
        <w:rPr>
          <w:rtl w:val="0"/>
        </w:rPr>
        <w:t xml:space="preserve">S. Rose, O. Borchert, S. Mitchell, and S. Connelly, “Zero Trust Architecture,” NIST Special Publication 800-207, National Institute of Standards and Technology, Gaithersburg, MD, USA, Aug. 2020. doi: 10.6028/NIST.SP.800-207.</w:t>
      </w:r>
    </w:p>
    <w:p w:rsidR="00000000" w:rsidDel="00000000" w:rsidP="00000000" w:rsidRDefault="00000000" w:rsidRPr="00000000" w14:paraId="00000069">
      <w:pPr>
        <w:spacing w:after="160" w:lineRule="auto"/>
        <w:ind w:left="360" w:hanging="360"/>
        <w:jc w:val="both"/>
        <w:rPr/>
      </w:pPr>
      <w:r w:rsidDel="00000000" w:rsidR="00000000" w:rsidRPr="00000000">
        <w:rPr>
          <w:b w:val="1"/>
          <w:bCs w:val="1"/>
          <w:rtl w:val="0"/>
        </w:rPr>
        <w:t xml:space="preserve">[2] </w:t>
      </w:r>
      <w:r w:rsidDel="00000000" w:rsidR="00000000" w:rsidRPr="00000000">
        <w:rPr>
          <w:rtl w:val="0"/>
        </w:rPr>
        <w:t xml:space="preserve">Y. He, D. Huang, L. Chen, Y. Ni, and X. Ma, “A Survey on Zero Trust Architecture: Challenges and Future Trends,” Wireless Communications and Mobile Computing, vol. 2022, Art. no. 6476274, 2022. doi: 10.1155/2022/6476274.</w:t>
      </w:r>
    </w:p>
    <w:p w:rsidR="00000000" w:rsidDel="00000000" w:rsidP="00000000" w:rsidRDefault="00000000" w:rsidRPr="00000000" w14:paraId="0000006A">
      <w:pPr>
        <w:spacing w:after="160" w:lineRule="auto"/>
        <w:ind w:left="360" w:hanging="360"/>
        <w:jc w:val="both"/>
        <w:rPr/>
      </w:pPr>
      <w:r w:rsidDel="00000000" w:rsidR="00000000" w:rsidRPr="00000000">
        <w:rPr>
          <w:b w:val="1"/>
          <w:bCs w:val="1"/>
          <w:rtl w:val="0"/>
        </w:rPr>
        <w:t xml:space="preserve">[3] </w:t>
      </w:r>
      <w:r w:rsidDel="00000000" w:rsidR="00000000" w:rsidRPr="00000000">
        <w:rPr>
          <w:rtl w:val="0"/>
        </w:rPr>
        <w:t xml:space="preserve">A. Soni, S. K. Nanda, G. Panda, et al., “A Comprehensive Review and Comparative Analysis of Zero Trust Architecture: Evolution, Implementation Strategies, and Key Challenges,” Journal of Information Technology Research, vol. 34, no. 2, 2025. doi: 10.1177/0926227X251409922.</w:t>
      </w:r>
    </w:p>
    <w:p w:rsidR="00000000" w:rsidDel="00000000" w:rsidP="00000000" w:rsidRDefault="00000000" w:rsidRPr="00000000" w14:paraId="0000006B">
      <w:pPr>
        <w:spacing w:after="160" w:lineRule="auto"/>
        <w:ind w:left="360" w:hanging="360"/>
        <w:jc w:val="both"/>
        <w:rPr/>
      </w:pPr>
      <w:r w:rsidDel="00000000" w:rsidR="00000000" w:rsidRPr="00000000">
        <w:rPr>
          <w:b w:val="1"/>
          <w:bCs w:val="1"/>
          <w:rtl w:val="0"/>
        </w:rPr>
        <w:t xml:space="preserve">[4] </w:t>
      </w:r>
      <w:r w:rsidDel="00000000" w:rsidR="00000000" w:rsidRPr="00000000">
        <w:rPr>
          <w:rtl w:val="0"/>
        </w:rPr>
        <w:t xml:space="preserve">H. N. N. Hari, P. Krishnan, K. Jain, A. K. J. Saudagar, P. Prabu, and R. C. Poonia, “A Three-Tier Microsegmentation Framework for Enterprise Networks under Zero Trust Architecture,” Ain Shams Engineering Journal, 2026. doi: 10.1016/j.aej.2026.03.014.</w:t>
      </w:r>
    </w:p>
    <w:p w:rsidR="00000000" w:rsidDel="00000000" w:rsidP="00000000" w:rsidRDefault="00000000" w:rsidRPr="00000000" w14:paraId="0000006C">
      <w:pPr>
        <w:spacing w:after="160" w:lineRule="auto"/>
        <w:ind w:left="360" w:hanging="360"/>
        <w:jc w:val="both"/>
        <w:rPr/>
      </w:pPr>
      <w:r w:rsidDel="00000000" w:rsidR="00000000" w:rsidRPr="00000000">
        <w:rPr>
          <w:b w:val="1"/>
          <w:bCs w:val="1"/>
          <w:rtl w:val="0"/>
        </w:rPr>
        <w:t xml:space="preserve">[5] </w:t>
      </w:r>
      <w:r w:rsidDel="00000000" w:rsidR="00000000" w:rsidRPr="00000000">
        <w:rPr>
          <w:rtl w:val="0"/>
        </w:rPr>
        <w:t xml:space="preserve">D. C. Flynn, “The Pathway to Implementing Zero Trust: Why Microsegmentation Remains the Critical Barrier,” TechRxiv, 2025. doi: 10.36227/techrxiv.177274009.90250103/v1.</w:t>
      </w:r>
    </w:p>
    <w:p w:rsidR="00000000" w:rsidDel="00000000" w:rsidP="00000000" w:rsidRDefault="00000000" w:rsidRPr="00000000" w14:paraId="0000006D">
      <w:pPr>
        <w:spacing w:after="160" w:lineRule="auto"/>
        <w:ind w:left="360" w:hanging="360"/>
        <w:jc w:val="both"/>
        <w:rPr/>
      </w:pPr>
      <w:r w:rsidDel="00000000" w:rsidR="00000000" w:rsidRPr="00000000">
        <w:rPr>
          <w:b w:val="1"/>
          <w:bCs w:val="1"/>
          <w:rtl w:val="0"/>
        </w:rPr>
        <w:t xml:space="preserve">[6] </w:t>
      </w:r>
      <w:r w:rsidDel="00000000" w:rsidR="00000000" w:rsidRPr="00000000">
        <w:rPr>
          <w:rtl w:val="0"/>
        </w:rPr>
        <w:t xml:space="preserve">W. T. Mnyandu, A. Terzoli, and H. I. Kobo, “Mininet and Free Range Routing for Hybrid Software Defined Network Testing: Emulating Hybrid SDN,” in Proc. Int. Conf. on Artificial Intelligence, Big Data, Computing and Data Communication Systems (icABCD), 2025, pp. 1-6. doi: 10.1145/3759023.3759126.</w:t>
      </w:r>
    </w:p>
    <w:p w:rsidR="00000000" w:rsidDel="00000000" w:rsidP="00000000" w:rsidRDefault="00000000" w:rsidRPr="00000000" w14:paraId="0000006E">
      <w:pPr>
        <w:spacing w:after="160" w:lineRule="auto"/>
        <w:ind w:left="360" w:hanging="360"/>
        <w:jc w:val="both"/>
        <w:rPr/>
      </w:pPr>
      <w:r w:rsidDel="00000000" w:rsidR="00000000" w:rsidRPr="00000000">
        <w:rPr>
          <w:b w:val="1"/>
          <w:bCs w:val="1"/>
          <w:rtl w:val="0"/>
        </w:rPr>
        <w:t xml:space="preserve">[7] </w:t>
      </w:r>
      <w:r w:rsidDel="00000000" w:rsidR="00000000" w:rsidRPr="00000000">
        <w:rPr>
          <w:rtl w:val="0"/>
        </w:rPr>
        <w:t xml:space="preserve">H. H. Lee, W. S. Choi, H. B. Choi, and S. G. Choi, “Implementation of Fault-Resilient Network Slicing using GNS3-Mininet Hybrid Testbed,” in Proc. 28th Int. Conf. on Advanced Communications Technology (ICACT), PyeongChang, Republic of Korea, 2026. doi: 10.23919/ICACT68090.2026.11431369.</w:t>
      </w:r>
    </w:p>
    <w:p w:rsidR="00000000" w:rsidDel="00000000" w:rsidP="00000000" w:rsidRDefault="00000000" w:rsidRPr="00000000" w14:paraId="0000006F">
      <w:pPr>
        <w:spacing w:after="160" w:lineRule="auto"/>
        <w:ind w:left="360" w:hanging="360"/>
        <w:jc w:val="both"/>
        <w:rPr/>
      </w:pPr>
      <w:r w:rsidDel="00000000" w:rsidR="00000000" w:rsidRPr="00000000">
        <w:rPr>
          <w:b w:val="1"/>
          <w:bCs w:val="1"/>
          <w:rtl w:val="0"/>
        </w:rPr>
        <w:t xml:space="preserve">[8] </w:t>
      </w:r>
      <w:r w:rsidDel="00000000" w:rsidR="00000000" w:rsidRPr="00000000">
        <w:rPr>
          <w:rtl w:val="0"/>
        </w:rPr>
        <w:t xml:space="preserve">O. Flauzac, E. M. Gallegos Robledo, and F. Nolot, “Is Mininet the Right Solution for an SDN Testbed?,” in Proc. IEEE Global Communications Conference (GLOBECOM), Waikoloa, HI, USA, Dec. 2019.</w:t>
      </w:r>
    </w:p>
    <w:p w:rsidR="00000000" w:rsidDel="00000000" w:rsidP="00000000" w:rsidRDefault="00000000" w:rsidRPr="00000000" w14:paraId="00000070">
      <w:pPr>
        <w:spacing w:after="160" w:lineRule="auto"/>
        <w:ind w:left="360" w:hanging="360"/>
        <w:jc w:val="both"/>
        <w:rPr/>
      </w:pPr>
      <w:r w:rsidDel="00000000" w:rsidR="00000000" w:rsidRPr="00000000">
        <w:rPr>
          <w:b w:val="1"/>
          <w:bCs w:val="1"/>
          <w:rtl w:val="0"/>
        </w:rPr>
        <w:t xml:space="preserve">[9] </w:t>
      </w:r>
      <w:r w:rsidDel="00000000" w:rsidR="00000000" w:rsidRPr="00000000">
        <w:rPr>
          <w:rtl w:val="0"/>
        </w:rPr>
        <w:t xml:space="preserve">R. Dube, “A Taxonomy of Segmentation in Network Security,” IEEE Access, vol. 14, pp. 16921-16935, Jan. 2026. doi: 10.1109/ACCESS.2026.3658250.</w:t>
      </w:r>
    </w:p>
    <w:p w:rsidR="00000000" w:rsidDel="00000000" w:rsidP="00000000" w:rsidRDefault="00000000" w:rsidRPr="00000000" w14:paraId="00000071">
      <w:pPr>
        <w:spacing w:after="160" w:lineRule="auto"/>
        <w:ind w:left="360" w:hanging="360"/>
        <w:jc w:val="both"/>
        <w:rPr/>
      </w:pPr>
      <w:r w:rsidDel="00000000" w:rsidR="00000000" w:rsidRPr="00000000">
        <w:rPr>
          <w:b w:val="1"/>
          <w:bCs w:val="1"/>
          <w:rtl w:val="0"/>
        </w:rPr>
        <w:t xml:space="preserve">[10] </w:t>
      </w:r>
      <w:r w:rsidDel="00000000" w:rsidR="00000000" w:rsidRPr="00000000">
        <w:rPr>
          <w:rtl w:val="0"/>
        </w:rPr>
        <w:t xml:space="preserve">Linux Netfilter Project, “nftables Wiki.” [Online]. Available: </w:t>
      </w:r>
      <w:hyperlink r:id="rId6">
        <w:r w:rsidDel="00000000" w:rsidR="00000000" w:rsidRPr="00000000">
          <w:rPr>
            <w:color w:val="1155cc"/>
            <w:u w:val="single"/>
            <w:rtl w:val="0"/>
          </w:rPr>
          <w:t xml:space="preserve">https://wiki.nftables.org/</w:t>
        </w:r>
      </w:hyperlink>
      <w:r w:rsidDel="00000000" w:rsidR="00000000" w:rsidRPr="00000000">
        <w:rPr>
          <w:rtl w:val="0"/>
        </w:rPr>
        <w:t xml:space="preserve">.</w:t>
      </w:r>
    </w:p>
    <w:p w:rsidR="00000000" w:rsidDel="00000000" w:rsidP="00000000" w:rsidRDefault="00000000" w:rsidRPr="00000000" w14:paraId="00000072">
      <w:pPr>
        <w:spacing w:after="160" w:lineRule="auto"/>
        <w:ind w:left="360" w:hanging="360"/>
        <w:jc w:val="both"/>
        <w:rPr/>
      </w:pPr>
      <w:r w:rsidDel="00000000" w:rsidR="00000000" w:rsidRPr="00000000">
        <w:rPr>
          <w:rtl w:val="0"/>
        </w:rPr>
        <w:t xml:space="preserve"> [Accessed: Jul. 2026].</w:t>
      </w:r>
    </w:p>
    <w:p w:rsidR="00000000" w:rsidDel="00000000" w:rsidP="00000000" w:rsidRDefault="00000000" w:rsidRPr="00000000" w14:paraId="00000073">
      <w:pPr>
        <w:spacing w:after="160" w:lineRule="auto"/>
        <w:ind w:left="360" w:hanging="360"/>
        <w:jc w:val="both"/>
        <w:rPr/>
      </w:pPr>
      <w:r w:rsidDel="00000000" w:rsidR="00000000" w:rsidRPr="00000000">
        <w:rPr>
          <w:b w:val="1"/>
          <w:bCs w:val="1"/>
          <w:rtl w:val="0"/>
        </w:rPr>
        <w:t xml:space="preserve">[11] </w:t>
      </w:r>
      <w:r w:rsidDel="00000000" w:rsidR="00000000" w:rsidRPr="00000000">
        <w:rPr>
          <w:rtl w:val="0"/>
        </w:rPr>
        <w:t xml:space="preserve">M. Kerrisk, “Linux Network Namespaces,” The Linux Programming Interface. [Online]. Available: https://man7.org/linux/man-pages/man7/network_namespaces.7.html. [Accessed: Jul. 2026].</w:t>
      </w:r>
    </w:p>
    <w:p w:rsidR="00000000" w:rsidDel="00000000" w:rsidP="00000000" w:rsidRDefault="00000000" w:rsidRPr="00000000" w14:paraId="00000074">
      <w:pPr>
        <w:spacing w:after="160" w:lineRule="auto"/>
        <w:ind w:left="360" w:hanging="360"/>
        <w:jc w:val="both"/>
        <w:rPr/>
      </w:pPr>
      <w:r w:rsidDel="00000000" w:rsidR="00000000" w:rsidRPr="00000000">
        <w:rPr>
          <w:b w:val="1"/>
          <w:bCs w:val="1"/>
          <w:rtl w:val="0"/>
        </w:rPr>
        <w:t xml:space="preserve">[12] </w:t>
      </w:r>
      <w:r w:rsidDel="00000000" w:rsidR="00000000" w:rsidRPr="00000000">
        <w:rPr>
          <w:rtl w:val="0"/>
        </w:rPr>
        <w:t xml:space="preserve">G. F. Lyon, Nmap Network Scanning: The Official Nmap Project Guide to Network Discovery and Security Scanning. Sunnyvale, CA, USA: Insecure.Com LLC, 2009.</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iki.nftabl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