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800" w:before="0" w:line="340" w:lineRule="auto"/>
        <w:jc w:val="both"/>
      </w:pPr>
    </w:p>
    <w:p>
      <w:pPr>
        <w:spacing w:after="280" w:before="0" w:line="276" w:lineRule="auto"/>
        <w:jc w:val="center"/>
      </w:pPr>
      <w:r>
        <w:rPr>
          <w:b/>
          <w:sz w:val="44"/>
        </w:rPr>
        <w:t>COSTSCALE</w:t>
      </w:r>
    </w:p>
    <w:p>
      <w:pPr>
        <w:spacing w:after="280" w:before="0" w:line="276" w:lineRule="auto"/>
        <w:jc w:val="center"/>
      </w:pPr>
      <w:r>
        <w:rPr>
          <w:sz w:val="30"/>
        </w:rPr>
        <w:t>ML-Driven Hybrid Container and Serverless Resource Management on AWS</w:t>
      </w:r>
    </w:p>
    <w:p>
      <w:pPr>
        <w:spacing w:after="800" w:before="0" w:line="276" w:lineRule="auto"/>
        <w:jc w:val="center"/>
      </w:pPr>
      <w:r>
        <w:rPr>
          <w:sz w:val="28"/>
        </w:rPr>
        <w:t>Detailed Project Report</w:t>
      </w:r>
    </w:p>
    <w:p>
      <w:pPr>
        <w:spacing w:after="160" w:before="0" w:line="276" w:lineRule="auto"/>
        <w:jc w:val="center"/>
      </w:pPr>
      <w:r>
        <w:rPr/>
        <w:t>Submitted by</w:t>
      </w:r>
    </w:p>
    <w:p>
      <w:pPr>
        <w:spacing w:after="80" w:before="0" w:line="276" w:lineRule="auto"/>
        <w:jc w:val="center"/>
      </w:pPr>
      <w:r>
        <w:rPr>
          <w:b/>
          <w:sz w:val="30"/>
        </w:rPr>
        <w:t>Anamay Narkar - 16010123040</w:t>
      </w:r>
    </w:p>
    <w:p>
      <w:pPr>
        <w:spacing w:after="80" w:before="0" w:line="276" w:lineRule="auto"/>
        <w:jc w:val="center"/>
      </w:pPr>
      <w:r>
        <w:rPr>
          <w:b/>
          <w:sz w:val="30"/>
        </w:rPr>
        <w:t>Ananya Dhiman - 16010123041</w:t>
      </w:r>
    </w:p>
    <w:p>
      <w:pPr>
        <w:spacing w:after="80" w:before="0" w:line="276" w:lineRule="auto"/>
        <w:jc w:val="center"/>
      </w:pPr>
      <w:r>
        <w:rPr>
          <w:b/>
          <w:sz w:val="30"/>
        </w:rPr>
        <w:t>Anoushka Nelson - 16010123049</w:t>
      </w:r>
    </w:p>
    <w:p>
      <w:pPr>
        <w:spacing w:after="600" w:before="0" w:line="340" w:lineRule="auto"/>
        <w:jc w:val="both"/>
      </w:pPr>
    </w:p>
    <w:p>
      <w:pPr>
        <w:spacing w:after="80" w:before="0" w:line="276" w:lineRule="auto"/>
        <w:jc w:val="center"/>
      </w:pPr>
      <w:r>
        <w:rPr/>
        <w:t>B.Tech Computer Engineering, Final Year</w:t>
      </w:r>
    </w:p>
    <w:p>
      <w:pPr>
        <w:spacing w:after="80" w:before="0" w:line="276" w:lineRule="auto"/>
        <w:jc w:val="center"/>
      </w:pPr>
      <w:r>
        <w:rPr/>
        <w:t>K.J. Somaiya School of Engineering, Mumbai</w:t>
      </w:r>
    </w:p>
    <w:p>
      <w:pPr>
        <w:spacing w:after="80" w:before="0" w:line="276" w:lineRule="auto"/>
        <w:jc w:val="center"/>
      </w:pPr>
      <w:r>
        <w:rPr/>
        <w:t>[TO FILL: course name] (cloud computing project)</w:t>
      </w:r>
    </w:p>
    <w:p>
      <w:pPr>
        <w:spacing w:after="600" w:before="0" w:line="276" w:lineRule="auto"/>
        <w:jc w:val="center"/>
      </w:pPr>
      <w:r>
        <w:rPr/>
        <w:t>October 2026</w:t>
      </w:r>
    </w:p>
    <w:p>
      <w:pPr>
        <w:spacing w:after="140" w:before="0" w:line="276" w:lineRule="auto"/>
        <w:jc w:val="center"/>
      </w:pPr>
      <w:r>
        <w:rPr>
          <w:sz w:val="22"/>
        </w:rPr>
        <w:t>Repository: [TO FILL]</w:t>
      </w:r>
    </w:p>
    <w:p>
      <w:pPr>
        <w:pStyle w:val="Heading1"/>
        <w:pageBreakBefore/>
        <w:jc w:val="center"/>
      </w:pPr>
      <w:r>
        <w:t>Abstract</w:t>
      </w:r>
    </w:p>
    <w:p>
      <w:pPr>
        <w:spacing w:after="140" w:before="0" w:line="340" w:lineRule="auto"/>
        <w:jc w:val="both"/>
      </w:pPr>
      <w:r>
        <w:rPr/>
        <w:t>Cloud providers sell computation both as cheap, slow-to-provision capacity (virtual machines and containers) and as expensive, instant, pay-per-use functions. Plain reactive autoscaling follows load with a delay and, without a fallback, drops or delays the load that arrives while capacity catches up. CostScale combines the two: a base of always-on EC2 capacity sized from an hourly quantile forecast of load, with everything above the base sent to AWS Lambda through an Application Load Balancer with weighted target groups.</w:t>
      </w:r>
    </w:p>
    <w:p>
      <w:pPr>
        <w:spacing w:after="140" w:before="0" w:line="340" w:lineRule="auto"/>
        <w:jc w:val="both"/>
      </w:pPr>
      <w:r>
        <w:rPr/>
        <w:t>The base size follows from the newsvendor problem: it is the q*-quantile of forecast load, with q* = 1 - f/L, where f is the container cost and L the Lambda cost of serving one unit of load for a minute. A trace-driven simulation over 101 heavy functions of the Azure Functions 2019 trace, priced with AWS ap-south-1 prices and the container capacity measured on AWS, finds that a hybrid with a rolling quantile base costs $32.2k per month against $54.6k for all-Lambda and $37.5k for the cheapest reactive setting, which also drops 9.2% of the load; the hybrids drop none. A LightGBM quantile forecaster is 0.25% cheaper than the rolling baseline on test, which is within noise, so most of the benefit comes from the newsvendor rule rather than from machine learning.</w:t>
      </w:r>
    </w:p>
    <w:p>
      <w:pPr>
        <w:spacing w:after="140" w:before="0" w:line="340" w:lineRule="auto"/>
        <w:jc w:val="both"/>
      </w:pPr>
      <w:r>
        <w:rPr/>
        <w:t>A live AWS deployment in ap-south-1 ran four time-compressed experiment arms against the same trace window and compared them with a simulator replay of each arm. On a smooth six-hour ramp, reactive scaling (arm A) and the ML hybrid (arm C) cost the same ($0.038 and $0.039) with p95 latencies of 566 ms and 585 ms, while a static base (arm B) cost 2.2 times as much. With an unseen 4x spike (arm D) no request failed and 48% of that hour's requests went to Lambda, but 20% of all requests exceeded the 800 ms target because the load balancer let EC2 run at its limit. The live runs therefore show that the mechanism works and expose its weak points, but do not show an advantage over reactive scaling on this window; the cost advantage appears in the simulation across bursty functions. Energy is only an estimate; storage and networking are out of scope.</w:t>
      </w:r>
    </w:p>
    <w:p>
      <w:pPr>
        <w:spacing w:after="140" w:before="0" w:line="340" w:lineRule="auto"/>
        <w:jc w:val="left"/>
      </w:pPr>
      <w:r>
        <w:rPr>
          <w:b/>
        </w:rPr>
        <w:t>Keywords:</w:t>
      </w:r>
      <w:r>
        <w:rPr/>
        <w:t xml:space="preserve"> cloud resource management, workload prediction, quantile forecasting, newsvendor, AWS Lambda, EC2 Auto Scaling, Application Load Balancer, LightGBM, serverless</w:t>
      </w:r>
    </w:p>
    <w:p>
      <w:pPr>
        <w:pStyle w:val="Heading1"/>
        <w:pageBreakBefore/>
        <w:jc w:val="center"/>
      </w:pPr>
      <w:r>
        <w:t>Table of contents</w:t>
      </w:r>
    </w:p>
    <w:p>
      <w:pPr>
        <w:tabs>
          <w:tab w:pos="9020" w:val="right" w:leader="dot"/>
        </w:tabs>
        <w:spacing w:after="40" w:line="276" w:lineRule="auto"/>
        <w:ind w:left="0"/>
      </w:pPr>
      <w:r>
        <w:rPr>
          <w:b/>
        </w:rPr>
        <w:t>1. Introduction</w:t>
        <w:tab/>
        <w:t>7</w:t>
      </w:r>
    </w:p>
    <w:p>
      <w:pPr>
        <w:tabs>
          <w:tab w:pos="9020" w:val="right" w:leader="dot"/>
        </w:tabs>
        <w:spacing w:after="40" w:line="276" w:lineRule="auto"/>
        <w:ind w:left="280"/>
      </w:pPr>
      <w:r>
        <w:rPr>
          <w:sz w:val="22"/>
        </w:rPr>
        <w:t>1.1 Background</w:t>
        <w:tab/>
        <w:t>7</w:t>
      </w:r>
    </w:p>
    <w:p>
      <w:pPr>
        <w:tabs>
          <w:tab w:pos="9020" w:val="right" w:leader="dot"/>
        </w:tabs>
        <w:spacing w:after="40" w:line="276" w:lineRule="auto"/>
        <w:ind w:left="280"/>
      </w:pPr>
      <w:r>
        <w:rPr>
          <w:sz w:val="22"/>
        </w:rPr>
        <w:t>1.2 Idea in one paragraph</w:t>
        <w:tab/>
        <w:t>7</w:t>
      </w:r>
    </w:p>
    <w:p>
      <w:pPr>
        <w:tabs>
          <w:tab w:pos="9020" w:val="right" w:leader="dot"/>
        </w:tabs>
        <w:spacing w:after="40" w:line="276" w:lineRule="auto"/>
        <w:ind w:left="280"/>
      </w:pPr>
      <w:r>
        <w:rPr>
          <w:sz w:val="22"/>
        </w:rPr>
        <w:t>1.3 Contributions</w:t>
        <w:tab/>
        <w:t>7</w:t>
      </w:r>
    </w:p>
    <w:p>
      <w:pPr>
        <w:tabs>
          <w:tab w:pos="9020" w:val="right" w:leader="dot"/>
        </w:tabs>
        <w:spacing w:after="40" w:line="276" w:lineRule="auto"/>
        <w:ind w:left="280"/>
      </w:pPr>
      <w:r>
        <w:rPr>
          <w:sz w:val="22"/>
        </w:rPr>
        <w:t>1.4 Scope</w:t>
        <w:tab/>
        <w:t>8</w:t>
      </w:r>
    </w:p>
    <w:p>
      <w:pPr>
        <w:tabs>
          <w:tab w:pos="9020" w:val="right" w:leader="dot"/>
        </w:tabs>
        <w:spacing w:after="40" w:line="276" w:lineRule="auto"/>
        <w:ind w:left="0"/>
      </w:pPr>
      <w:r>
        <w:rPr>
          <w:b/>
        </w:rPr>
        <w:t>2. Problem statement</w:t>
        <w:tab/>
        <w:t>9</w:t>
      </w:r>
    </w:p>
    <w:p>
      <w:pPr>
        <w:tabs>
          <w:tab w:pos="9020" w:val="right" w:leader="dot"/>
        </w:tabs>
        <w:spacing w:after="40" w:line="276" w:lineRule="auto"/>
        <w:ind w:left="280"/>
      </w:pPr>
      <w:r>
        <w:rPr>
          <w:sz w:val="22"/>
        </w:rPr>
        <w:t>2.1 What the system must decide</w:t>
        <w:tab/>
        <w:t>9</w:t>
      </w:r>
    </w:p>
    <w:p>
      <w:pPr>
        <w:tabs>
          <w:tab w:pos="9020" w:val="right" w:leader="dot"/>
        </w:tabs>
        <w:spacing w:after="40" w:line="276" w:lineRule="auto"/>
        <w:ind w:left="0"/>
      </w:pPr>
      <w:r>
        <w:rPr>
          <w:b/>
        </w:rPr>
        <w:t>3. Related work</w:t>
        <w:tab/>
        <w:t>10</w:t>
      </w:r>
    </w:p>
    <w:p>
      <w:pPr>
        <w:tabs>
          <w:tab w:pos="9020" w:val="right" w:leader="dot"/>
        </w:tabs>
        <w:spacing w:after="40" w:line="276" w:lineRule="auto"/>
        <w:ind w:left="0"/>
      </w:pPr>
      <w:r>
        <w:rPr>
          <w:b/>
        </w:rPr>
        <w:t>4. Data</w:t>
        <w:tab/>
        <w:t>11</w:t>
      </w:r>
    </w:p>
    <w:p>
      <w:pPr>
        <w:tabs>
          <w:tab w:pos="9020" w:val="right" w:leader="dot"/>
        </w:tabs>
        <w:spacing w:after="40" w:line="276" w:lineRule="auto"/>
        <w:ind w:left="280"/>
      </w:pPr>
      <w:r>
        <w:rPr>
          <w:sz w:val="22"/>
        </w:rPr>
        <w:t>4.1 Dataset</w:t>
        <w:tab/>
        <w:t>11</w:t>
      </w:r>
    </w:p>
    <w:p>
      <w:pPr>
        <w:tabs>
          <w:tab w:pos="9020" w:val="right" w:leader="dot"/>
        </w:tabs>
        <w:spacing w:after="40" w:line="276" w:lineRule="auto"/>
        <w:ind w:left="280"/>
      </w:pPr>
      <w:r>
        <w:rPr>
          <w:sz w:val="22"/>
        </w:rPr>
        <w:t>4.2 Filtering and joins</w:t>
        <w:tab/>
        <w:t>11</w:t>
      </w:r>
    </w:p>
    <w:p>
      <w:pPr>
        <w:tabs>
          <w:tab w:pos="9020" w:val="right" w:leader="dot"/>
        </w:tabs>
        <w:spacing w:after="40" w:line="276" w:lineRule="auto"/>
        <w:ind w:left="280"/>
      </w:pPr>
      <w:r>
        <w:rPr>
          <w:sz w:val="22"/>
        </w:rPr>
        <w:t>4.3 Load model and split</w:t>
        <w:tab/>
        <w:t>12</w:t>
      </w:r>
    </w:p>
    <w:p>
      <w:pPr>
        <w:tabs>
          <w:tab w:pos="9020" w:val="right" w:leader="dot"/>
        </w:tabs>
        <w:spacing w:after="40" w:line="276" w:lineRule="auto"/>
        <w:ind w:left="280"/>
      </w:pPr>
      <w:r>
        <w:rPr>
          <w:sz w:val="22"/>
        </w:rPr>
        <w:t>4.4 Heavy functions</w:t>
        <w:tab/>
        <w:t>12</w:t>
      </w:r>
    </w:p>
    <w:p>
      <w:pPr>
        <w:tabs>
          <w:tab w:pos="9020" w:val="right" w:leader="dot"/>
        </w:tabs>
        <w:spacing w:after="40" w:line="276" w:lineRule="auto"/>
        <w:ind w:left="0"/>
      </w:pPr>
      <w:r>
        <w:rPr>
          <w:b/>
        </w:rPr>
        <w:t>5. Methodology</w:t>
        <w:tab/>
        <w:t>13</w:t>
      </w:r>
    </w:p>
    <w:p>
      <w:pPr>
        <w:tabs>
          <w:tab w:pos="9020" w:val="right" w:leader="dot"/>
        </w:tabs>
        <w:spacing w:after="40" w:line="276" w:lineRule="auto"/>
        <w:ind w:left="280"/>
      </w:pPr>
      <w:r>
        <w:rPr>
          <w:sz w:val="22"/>
        </w:rPr>
        <w:t>5.1 Cost model</w:t>
        <w:tab/>
        <w:t>13</w:t>
      </w:r>
    </w:p>
    <w:p>
      <w:pPr>
        <w:tabs>
          <w:tab w:pos="9020" w:val="right" w:leader="dot"/>
        </w:tabs>
        <w:spacing w:after="40" w:line="276" w:lineRule="auto"/>
        <w:ind w:left="280"/>
      </w:pPr>
      <w:r>
        <w:rPr>
          <w:sz w:val="22"/>
        </w:rPr>
        <w:t>5.2 Newsvendor rule for the base</w:t>
        <w:tab/>
        <w:t>13</w:t>
      </w:r>
    </w:p>
    <w:p>
      <w:pPr>
        <w:tabs>
          <w:tab w:pos="9020" w:val="right" w:leader="dot"/>
        </w:tabs>
        <w:spacing w:after="40" w:line="276" w:lineRule="auto"/>
        <w:ind w:left="280"/>
      </w:pPr>
      <w:r>
        <w:rPr>
          <w:sz w:val="22"/>
        </w:rPr>
        <w:t>5.3 Forecaster</w:t>
        <w:tab/>
        <w:t>13</w:t>
      </w:r>
    </w:p>
    <w:p>
      <w:pPr>
        <w:tabs>
          <w:tab w:pos="9020" w:val="right" w:leader="dot"/>
        </w:tabs>
        <w:spacing w:after="40" w:line="276" w:lineRule="auto"/>
        <w:ind w:left="280"/>
      </w:pPr>
      <w:r>
        <w:rPr>
          <w:sz w:val="22"/>
        </w:rPr>
        <w:t>5.4 Strategies compared</w:t>
        <w:tab/>
        <w:t>14</w:t>
      </w:r>
    </w:p>
    <w:p>
      <w:pPr>
        <w:tabs>
          <w:tab w:pos="9020" w:val="right" w:leader="dot"/>
        </w:tabs>
        <w:spacing w:after="40" w:line="276" w:lineRule="auto"/>
        <w:ind w:left="0"/>
      </w:pPr>
      <w:r>
        <w:rPr>
          <w:b/>
        </w:rPr>
        <w:t>6. System design</w:t>
        <w:tab/>
        <w:t>15</w:t>
      </w:r>
    </w:p>
    <w:p>
      <w:pPr>
        <w:tabs>
          <w:tab w:pos="9020" w:val="right" w:leader="dot"/>
        </w:tabs>
        <w:spacing w:after="40" w:line="276" w:lineRule="auto"/>
        <w:ind w:left="280"/>
      </w:pPr>
      <w:r>
        <w:rPr>
          <w:sz w:val="22"/>
        </w:rPr>
        <w:t>6.1 Architecture</w:t>
        <w:tab/>
        <w:t>15</w:t>
      </w:r>
    </w:p>
    <w:p>
      <w:pPr>
        <w:tabs>
          <w:tab w:pos="9020" w:val="right" w:leader="dot"/>
        </w:tabs>
        <w:spacing w:after="40" w:line="276" w:lineRule="auto"/>
        <w:ind w:left="280"/>
      </w:pPr>
      <w:r>
        <w:rPr>
          <w:sz w:val="22"/>
        </w:rPr>
        <w:t>6.2 Two time scales</w:t>
        <w:tab/>
        <w:t>15</w:t>
      </w:r>
    </w:p>
    <w:p>
      <w:pPr>
        <w:tabs>
          <w:tab w:pos="9020" w:val="right" w:leader="dot"/>
        </w:tabs>
        <w:spacing w:after="40" w:line="276" w:lineRule="auto"/>
        <w:ind w:left="280"/>
      </w:pPr>
      <w:r>
        <w:rPr>
          <w:sz w:val="22"/>
        </w:rPr>
        <w:t>6.3 Controller algorithm</w:t>
        <w:tab/>
        <w:t>15</w:t>
      </w:r>
    </w:p>
    <w:p>
      <w:pPr>
        <w:tabs>
          <w:tab w:pos="9020" w:val="right" w:leader="dot"/>
        </w:tabs>
        <w:spacing w:after="40" w:line="276" w:lineRule="auto"/>
        <w:ind w:left="0"/>
      </w:pPr>
      <w:r>
        <w:rPr>
          <w:b/>
        </w:rPr>
        <w:t>7. Implementation</w:t>
        <w:tab/>
        <w:t>17</w:t>
      </w:r>
    </w:p>
    <w:p>
      <w:pPr>
        <w:tabs>
          <w:tab w:pos="9020" w:val="right" w:leader="dot"/>
        </w:tabs>
        <w:spacing w:after="40" w:line="276" w:lineRule="auto"/>
        <w:ind w:left="280"/>
      </w:pPr>
      <w:r>
        <w:rPr>
          <w:sz w:val="22"/>
        </w:rPr>
        <w:t>7.1 Repository and tooling</w:t>
        <w:tab/>
        <w:t>17</w:t>
      </w:r>
    </w:p>
    <w:p>
      <w:pPr>
        <w:tabs>
          <w:tab w:pos="9020" w:val="right" w:leader="dot"/>
        </w:tabs>
        <w:spacing w:after="40" w:line="276" w:lineRule="auto"/>
        <w:ind w:left="280"/>
      </w:pPr>
      <w:r>
        <w:rPr>
          <w:sz w:val="22"/>
        </w:rPr>
        <w:t>7.2 Application</w:t>
        <w:tab/>
        <w:t>17</w:t>
      </w:r>
    </w:p>
    <w:p>
      <w:pPr>
        <w:tabs>
          <w:tab w:pos="9020" w:val="right" w:leader="dot"/>
        </w:tabs>
        <w:spacing w:after="40" w:line="276" w:lineRule="auto"/>
        <w:ind w:left="280"/>
      </w:pPr>
      <w:r>
        <w:rPr>
          <w:sz w:val="22"/>
        </w:rPr>
        <w:t>7.3 Workload for the live demo</w:t>
        <w:tab/>
        <w:t>17</w:t>
      </w:r>
    </w:p>
    <w:p>
      <w:pPr>
        <w:tabs>
          <w:tab w:pos="9020" w:val="right" w:leader="dot"/>
        </w:tabs>
        <w:spacing w:after="40" w:line="276" w:lineRule="auto"/>
        <w:ind w:left="280"/>
      </w:pPr>
      <w:r>
        <w:rPr>
          <w:sz w:val="22"/>
        </w:rPr>
        <w:t>7.4 Calibration</w:t>
        <w:tab/>
        <w:t>18</w:t>
      </w:r>
    </w:p>
    <w:p>
      <w:pPr>
        <w:tabs>
          <w:tab w:pos="9020" w:val="right" w:leader="dot"/>
        </w:tabs>
        <w:spacing w:after="40" w:line="276" w:lineRule="auto"/>
        <w:ind w:left="280"/>
      </w:pPr>
      <w:r>
        <w:rPr>
          <w:sz w:val="22"/>
        </w:rPr>
        <w:t>7.5 What was not run live</w:t>
        <w:tab/>
        <w:t>18</w:t>
      </w:r>
    </w:p>
    <w:p>
      <w:pPr>
        <w:tabs>
          <w:tab w:pos="9020" w:val="right" w:leader="dot"/>
        </w:tabs>
        <w:spacing w:after="40" w:line="276" w:lineRule="auto"/>
        <w:ind w:left="0"/>
      </w:pPr>
      <w:r>
        <w:rPr>
          <w:b/>
        </w:rPr>
        <w:t>8. Evaluation</w:t>
        <w:tab/>
        <w:t>19</w:t>
      </w:r>
    </w:p>
    <w:p>
      <w:pPr>
        <w:tabs>
          <w:tab w:pos="9020" w:val="right" w:leader="dot"/>
        </w:tabs>
        <w:spacing w:after="40" w:line="276" w:lineRule="auto"/>
        <w:ind w:left="280"/>
      </w:pPr>
      <w:r>
        <w:rPr>
          <w:sz w:val="22"/>
        </w:rPr>
        <w:t>8.1 Set-up</w:t>
        <w:tab/>
        <w:t>19</w:t>
      </w:r>
    </w:p>
    <w:p>
      <w:pPr>
        <w:tabs>
          <w:tab w:pos="9020" w:val="right" w:leader="dot"/>
        </w:tabs>
        <w:spacing w:after="40" w:line="276" w:lineRule="auto"/>
        <w:ind w:left="280"/>
      </w:pPr>
      <w:r>
        <w:rPr>
          <w:sz w:val="22"/>
        </w:rPr>
        <w:t>8.2 Prediction accuracy</w:t>
        <w:tab/>
        <w:t>19</w:t>
      </w:r>
    </w:p>
    <w:p>
      <w:pPr>
        <w:tabs>
          <w:tab w:pos="9020" w:val="right" w:leader="dot"/>
        </w:tabs>
        <w:spacing w:after="40" w:line="276" w:lineRule="auto"/>
        <w:ind w:left="280"/>
      </w:pPr>
      <w:r>
        <w:rPr>
          <w:sz w:val="22"/>
        </w:rPr>
        <w:t>8.3 Decision cost, utilisation and unserved load</w:t>
        <w:tab/>
        <w:t>21</w:t>
      </w:r>
    </w:p>
    <w:p>
      <w:pPr>
        <w:tabs>
          <w:tab w:pos="9020" w:val="right" w:leader="dot"/>
        </w:tabs>
        <w:spacing w:after="40" w:line="276" w:lineRule="auto"/>
        <w:ind w:left="280"/>
      </w:pPr>
      <w:r>
        <w:rPr>
          <w:sz w:val="22"/>
        </w:rPr>
        <w:t>8.4 Does the ML forecaster help?</w:t>
        <w:tab/>
        <w:t>23</w:t>
      </w:r>
    </w:p>
    <w:p>
      <w:pPr>
        <w:tabs>
          <w:tab w:pos="9020" w:val="right" w:leader="dot"/>
        </w:tabs>
        <w:spacing w:after="40" w:line="276" w:lineRule="auto"/>
        <w:ind w:left="280"/>
      </w:pPr>
      <w:r>
        <w:rPr>
          <w:sz w:val="22"/>
        </w:rPr>
        <w:t>8.5 Latency</w:t>
        <w:tab/>
        <w:t>23</w:t>
      </w:r>
    </w:p>
    <w:p>
      <w:pPr>
        <w:tabs>
          <w:tab w:pos="9020" w:val="right" w:leader="dot"/>
        </w:tabs>
        <w:spacing w:after="40" w:line="276" w:lineRule="auto"/>
        <w:ind w:left="280"/>
      </w:pPr>
      <w:r>
        <w:rPr>
          <w:sz w:val="22"/>
        </w:rPr>
        <w:t>8.6 Energy (estimate)</w:t>
        <w:tab/>
        <w:t>24</w:t>
      </w:r>
    </w:p>
    <w:p>
      <w:pPr>
        <w:tabs>
          <w:tab w:pos="9020" w:val="right" w:leader="dot"/>
        </w:tabs>
        <w:spacing w:after="40" w:line="276" w:lineRule="auto"/>
        <w:ind w:left="280"/>
      </w:pPr>
      <w:r>
        <w:rPr>
          <w:sz w:val="22"/>
        </w:rPr>
        <w:t>8.7 Per-function distribution and sensitivity</w:t>
        <w:tab/>
        <w:t>24</w:t>
      </w:r>
    </w:p>
    <w:p>
      <w:pPr>
        <w:tabs>
          <w:tab w:pos="9020" w:val="right" w:leader="dot"/>
        </w:tabs>
        <w:spacing w:after="40" w:line="276" w:lineRule="auto"/>
        <w:ind w:left="280"/>
      </w:pPr>
      <w:r>
        <w:rPr>
          <w:sz w:val="22"/>
        </w:rPr>
        <w:t>8.8 Live results and sim-to-real gap</w:t>
        <w:tab/>
        <w:t>25</w:t>
      </w:r>
    </w:p>
    <w:p>
      <w:pPr>
        <w:tabs>
          <w:tab w:pos="9020" w:val="right" w:leader="dot"/>
        </w:tabs>
        <w:spacing w:after="40" w:line="276" w:lineRule="auto"/>
        <w:ind w:left="280"/>
      </w:pPr>
      <w:r>
        <w:rPr>
          <w:sz w:val="22"/>
        </w:rPr>
        <w:t>8.9 Validation of the newsvendor rule</w:t>
        <w:tab/>
        <w:t>29</w:t>
      </w:r>
    </w:p>
    <w:p>
      <w:pPr>
        <w:tabs>
          <w:tab w:pos="9020" w:val="right" w:leader="dot"/>
        </w:tabs>
        <w:spacing w:after="40" w:line="276" w:lineRule="auto"/>
        <w:ind w:left="0"/>
      </w:pPr>
      <w:r>
        <w:rPr>
          <w:b/>
        </w:rPr>
        <w:t>9. What happens when the prediction is wrong</w:t>
        <w:tab/>
        <w:t>30</w:t>
      </w:r>
    </w:p>
    <w:p>
      <w:pPr>
        <w:tabs>
          <w:tab w:pos="9020" w:val="right" w:leader="dot"/>
        </w:tabs>
        <w:spacing w:after="40" w:line="276" w:lineRule="auto"/>
        <w:ind w:left="0"/>
      </w:pPr>
      <w:r>
        <w:rPr>
          <w:b/>
        </w:rPr>
        <w:t>10. Limitations</w:t>
        <w:tab/>
        <w:t>32</w:t>
      </w:r>
    </w:p>
    <w:p>
      <w:pPr>
        <w:tabs>
          <w:tab w:pos="9020" w:val="right" w:leader="dot"/>
        </w:tabs>
        <w:spacing w:after="40" w:line="276" w:lineRule="auto"/>
        <w:ind w:left="0"/>
      </w:pPr>
      <w:r>
        <w:rPr>
          <w:b/>
        </w:rPr>
        <w:t>11. Conclusion</w:t>
        <w:tab/>
        <w:t>34</w:t>
      </w:r>
    </w:p>
    <w:p>
      <w:pPr>
        <w:tabs>
          <w:tab w:pos="9020" w:val="right" w:leader="dot"/>
        </w:tabs>
        <w:spacing w:after="40" w:line="276" w:lineRule="auto"/>
        <w:ind w:left="0"/>
      </w:pPr>
      <w:r>
        <w:rPr>
          <w:b/>
        </w:rPr>
        <w:t>12. Future work</w:t>
        <w:tab/>
        <w:t>35</w:t>
      </w:r>
    </w:p>
    <w:p>
      <w:pPr>
        <w:tabs>
          <w:tab w:pos="9020" w:val="right" w:leader="dot"/>
        </w:tabs>
        <w:spacing w:after="40" w:line="276" w:lineRule="auto"/>
        <w:ind w:left="0"/>
      </w:pPr>
      <w:r>
        <w:rPr>
          <w:b/>
        </w:rPr>
        <w:t>References</w:t>
        <w:tab/>
        <w:t>36</w:t>
      </w:r>
    </w:p>
    <w:p>
      <w:pPr>
        <w:tabs>
          <w:tab w:pos="9020" w:val="right" w:leader="dot"/>
        </w:tabs>
        <w:spacing w:after="40" w:line="276" w:lineRule="auto"/>
        <w:ind w:left="0"/>
      </w:pPr>
      <w:r>
        <w:rPr>
          <w:b/>
        </w:rPr>
        <w:t>Appendix A: Reproduction steps</w:t>
        <w:tab/>
        <w:t>37</w:t>
      </w:r>
    </w:p>
    <w:p>
      <w:pPr>
        <w:tabs>
          <w:tab w:pos="9020" w:val="right" w:leader="dot"/>
        </w:tabs>
        <w:spacing w:after="40" w:line="276" w:lineRule="auto"/>
        <w:ind w:left="280"/>
      </w:pPr>
      <w:r>
        <w:rPr>
          <w:sz w:val="22"/>
        </w:rPr>
        <w:t>A.1 Parameters</w:t>
        <w:tab/>
        <w:t>37</w:t>
      </w:r>
    </w:p>
    <w:p>
      <w:pPr>
        <w:pStyle w:val="Heading1"/>
        <w:pageBreakBefore/>
        <w:jc w:val="center"/>
      </w:pPr>
      <w:r>
        <w:t>List of figures</w:t>
      </w:r>
    </w:p>
    <w:p>
      <w:pPr>
        <w:spacing w:after="40" w:line="276" w:lineRule="auto"/>
        <w:ind w:left="0"/>
      </w:pPr>
      <w:r>
        <w:rPr/>
        <w:t>Figure 1: CostScale architecture</w:t>
      </w:r>
    </w:p>
    <w:p>
      <w:pPr>
        <w:spacing w:after="40" w:line="276" w:lineRule="auto"/>
        <w:ind w:left="0"/>
      </w:pPr>
      <w:r>
        <w:rPr/>
        <w:t>Figure 2: Observed coverage against nominal quantile on test days</w:t>
      </w:r>
    </w:p>
    <w:p>
      <w:pPr>
        <w:spacing w:after="40" w:line="276" w:lineRule="auto"/>
        <w:ind w:left="0"/>
      </w:pPr>
      <w:r>
        <w:rPr/>
        <w:t>Figure 3: Hourly base capacity for the live-demo function: forecasts against the realised hourly quantile</w:t>
      </w:r>
    </w:p>
    <w:p>
      <w:pPr>
        <w:spacing w:after="40" w:line="276" w:lineRule="auto"/>
        <w:ind w:left="0"/>
      </w:pPr>
      <w:r>
        <w:rPr/>
        <w:t>Figure 4: Monthly cost by strategy; hatching marks strategies that drop load</w:t>
      </w:r>
    </w:p>
    <w:p>
      <w:pPr>
        <w:spacing w:after="40" w:line="276" w:lineRule="auto"/>
        <w:ind w:left="0"/>
      </w:pPr>
      <w:r>
        <w:rPr/>
        <w:t>Figure 5: Cost against unserved load for the reactive and seasonal sweeps, and the hybrids</w:t>
      </w:r>
    </w:p>
    <w:p>
      <w:pPr>
        <w:spacing w:after="40" w:line="276" w:lineRule="auto"/>
        <w:ind w:left="0"/>
      </w:pPr>
      <w:r>
        <w:rPr/>
        <w:t>Figure 6: Hybrid-rolling cost relative to all-Lambda under each scenario</w:t>
      </w:r>
    </w:p>
    <w:p>
      <w:pPr>
        <w:spacing w:after="40" w:line="276" w:lineRule="auto"/>
        <w:ind w:left="0"/>
      </w:pPr>
      <w:r>
        <w:rPr/>
        <w:t>Figure 7: Live timelines: request rate, base capacity and EC2 share for each arm</w:t>
      </w:r>
    </w:p>
    <w:p>
      <w:pPr>
        <w:spacing w:after="40" w:line="276" w:lineRule="auto"/>
        <w:ind w:left="0"/>
      </w:pPr>
      <w:r>
        <w:rPr/>
        <w:t>Figure 8: Live p95 latency per window and cumulative cost for each arm</w:t>
      </w:r>
    </w:p>
    <w:p>
      <w:pPr>
        <w:spacing w:after="40" w:line="276" w:lineRule="auto"/>
        <w:ind w:left="0"/>
      </w:pPr>
      <w:r>
        <w:rPr/>
        <w:t>Figure 9: Effect of an unseen spike on cost and unserved load</w:t>
      </w:r>
    </w:p>
    <w:p>
      <w:pPr>
        <w:pStyle w:val="Heading1"/>
        <w:pageBreakBefore/>
        <w:jc w:val="center"/>
      </w:pPr>
      <w:r>
        <w:t>List of tables</w:t>
      </w:r>
    </w:p>
    <w:p>
      <w:pPr>
        <w:spacing w:after="40" w:line="276" w:lineRule="auto"/>
        <w:ind w:left="0"/>
      </w:pPr>
      <w:r>
        <w:rPr/>
        <w:t>Table 1: Decisions the resource manager makes</w:t>
      </w:r>
    </w:p>
    <w:p>
      <w:pPr>
        <w:spacing w:after="40" w:line="276" w:lineRule="auto"/>
        <w:ind w:left="0"/>
      </w:pPr>
      <w:r>
        <w:rPr/>
        <w:t>Table 2: Dataset funnel</w:t>
      </w:r>
    </w:p>
    <w:p>
      <w:pPr>
        <w:spacing w:after="40" w:line="276" w:lineRule="auto"/>
        <w:ind w:left="0"/>
      </w:pPr>
      <w:r>
        <w:rPr/>
        <w:t>Table 3: Strategies in the simulator</w:t>
      </w:r>
    </w:p>
    <w:p>
      <w:pPr>
        <w:spacing w:after="40" w:line="276" w:lineRule="auto"/>
        <w:ind w:left="0"/>
      </w:pPr>
      <w:r>
        <w:rPr/>
        <w:t>Table 4: Repository layout</w:t>
      </w:r>
    </w:p>
    <w:p>
      <w:pPr>
        <w:spacing w:after="40" w:line="276" w:lineRule="auto"/>
        <w:ind w:left="0"/>
      </w:pPr>
      <w:r>
        <w:rPr/>
        <w:t>Table 5: Calibration results</w:t>
      </w:r>
    </w:p>
    <w:p>
      <w:pPr>
        <w:spacing w:after="40" w:line="276" w:lineRule="auto"/>
        <w:ind w:left="0"/>
      </w:pPr>
      <w:r>
        <w:rPr/>
        <w:t>Table 6: Pinball loss on test (normalised; lower is better)</w:t>
      </w:r>
    </w:p>
    <w:p>
      <w:pPr>
        <w:spacing w:after="40" w:line="276" w:lineRule="auto"/>
        <w:ind w:left="0"/>
      </w:pPr>
      <w:r>
        <w:rPr/>
        <w:t>Table 7: Coverage on test (ideal equals q)</w:t>
      </w:r>
    </w:p>
    <w:p>
      <w:pPr>
        <w:spacing w:after="40" w:line="276" w:lineRule="auto"/>
        <w:ind w:left="0"/>
      </w:pPr>
      <w:r>
        <w:rPr/>
        <w:t>Table 8: Mean absolute error of the forecast against the realised hourly quantile (test, normalised)</w:t>
      </w:r>
    </w:p>
    <w:p>
      <w:pPr>
        <w:spacing w:after="40" w:line="276" w:lineRule="auto"/>
        <w:ind w:left="0"/>
      </w:pPr>
      <w:r>
        <w:rPr/>
        <w:t>Table 9: Test results, EC2 base (measured capacity)</w:t>
      </w:r>
    </w:p>
    <w:p>
      <w:pPr>
        <w:spacing w:after="40" w:line="276" w:lineRule="auto"/>
        <w:ind w:left="0"/>
      </w:pPr>
      <w:r>
        <w:rPr/>
        <w:t>Table 10: Decision cost of the hybrid base policies</w:t>
      </w:r>
    </w:p>
    <w:p>
      <w:pPr>
        <w:spacing w:after="40" w:line="276" w:lineRule="auto"/>
        <w:ind w:left="0"/>
      </w:pPr>
      <w:r>
        <w:rPr/>
        <w:t>Table 11: Sensitivity of cost to assumptions</w:t>
      </w:r>
    </w:p>
    <w:p>
      <w:pPr>
        <w:spacing w:after="40" w:line="276" w:lineRule="auto"/>
        <w:ind w:left="0"/>
      </w:pPr>
      <w:r>
        <w:rPr/>
        <w:t>Table 12: Quantile-level sweep for hybrid-rolling on validation (offset 0 = theoretical q*)</w:t>
      </w:r>
    </w:p>
    <w:p>
      <w:pPr>
        <w:spacing w:after="40" w:line="276" w:lineRule="auto"/>
        <w:ind w:left="0"/>
      </w:pPr>
      <w:r>
        <w:rPr/>
        <w:t>Table 13: Live results: latency, errors and routing</w:t>
      </w:r>
    </w:p>
    <w:p>
      <w:pPr>
        <w:spacing w:after="40" w:line="276" w:lineRule="auto"/>
        <w:ind w:left="0"/>
      </w:pPr>
      <w:r>
        <w:rPr/>
        <w:t>Table 14: Live results: backend latency, resources, cost and energy estimate</w:t>
      </w:r>
    </w:p>
    <w:p>
      <w:pPr>
        <w:spacing w:after="40" w:line="276" w:lineRule="auto"/>
        <w:ind w:left="0"/>
      </w:pPr>
      <w:r>
        <w:rPr/>
        <w:t>Table 15: Reconciliation: live arms against a simulator replay of the same arm</w:t>
      </w:r>
    </w:p>
    <w:p>
      <w:pPr>
        <w:spacing w:after="40" w:line="276" w:lineRule="auto"/>
        <w:ind w:left="0"/>
      </w:pPr>
      <w:r>
        <w:rPr/>
        <w:t>Table 16: Simulated spike results (monthly cost, test)</w:t>
      </w:r>
    </w:p>
    <w:p>
      <w:pPr>
        <w:spacing w:after="40" w:line="276" w:lineRule="auto"/>
        <w:ind w:left="0"/>
      </w:pPr>
      <w:r>
        <w:rPr/>
        <w:t>Table 17: Key parameters</w:t>
      </w:r>
    </w:p>
    <w:p>
      <w:pPr>
        <w:pStyle w:val="Heading1"/>
        <w:pageBreakBefore/>
      </w:pPr>
      <w:r>
        <w:t>1. Introduction</w:t>
      </w:r>
    </w:p>
    <w:p>
      <w:pPr>
        <w:pStyle w:val="Heading2"/>
      </w:pPr>
      <w:r>
        <w:t>1.1 Background</w:t>
      </w:r>
    </w:p>
    <w:p>
      <w:pPr>
        <w:spacing w:after="140" w:before="0" w:line="340" w:lineRule="auto"/>
        <w:jc w:val="both"/>
      </w:pPr>
      <w:r>
        <w:rPr/>
        <w:t>Cloud providers sell the same computation in two very different ways. Containers and virtual machines are cheap per unit of work but must be provisioned ahead of demand: a new EC2 instance takes tens of seconds to minutes to become useful. Function-as-a-Service platforms such as AWS Lambda react instantly and bill only for the milliseconds used, but each unit of work costs several times more. Production traffic is rarely flat, so an operator who sizes capacity for the peak pays for idle machines, and an operator who relies on pure reactive scaling suffers while capacity catches up with the load.</w:t>
      </w:r>
    </w:p>
    <w:p>
      <w:pPr>
        <w:spacing w:after="140" w:before="0" w:line="340" w:lineRule="auto"/>
        <w:jc w:val="both"/>
      </w:pPr>
      <w:r>
        <w:rPr/>
        <w:t>Workload studies of a large public FaaS platform show why this matters. Shahrad et al. characterise the full Azure Functions workload and report that invocation rates vary across roughly eight orders of magnitude and that most functions are invoked rarely [1]. A small number of busy functions therefore dominate cost, and these are exactly the functions where the choice between a reserved base and pay-per-use matters.</w:t>
      </w:r>
    </w:p>
    <w:p>
      <w:pPr>
        <w:pStyle w:val="Heading2"/>
      </w:pPr>
      <w:r>
        <w:t>1.2 Idea in one paragraph</w:t>
      </w:r>
    </w:p>
    <w:p>
      <w:pPr>
        <w:spacing w:after="140" w:before="0" w:line="340" w:lineRule="auto"/>
        <w:jc w:val="both"/>
      </w:pPr>
      <w:r>
        <w:rPr/>
        <w:t xml:space="preserve">CostScale keeps a </w:t>
      </w:r>
      <w:r>
        <w:rPr>
          <w:b/>
        </w:rPr>
        <w:t>base</w:t>
      </w:r>
      <w:r>
        <w:rPr/>
        <w:t xml:space="preserve"> of cheap always-on capacity (an EC2 Auto Scaling Group) sized from an hourly </w:t>
      </w:r>
      <w:r>
        <w:rPr>
          <w:b/>
        </w:rPr>
        <w:t>quantile forecast</w:t>
      </w:r>
      <w:r>
        <w:rPr/>
        <w:t xml:space="preserve"> of load, and sends everything above the base to AWS Lambda. An Application Load Balancer with two weighted target groups splits traffic between the two. Forecasting decides the slow thing (how many instances to run, which needs lead time); a fast per-minute loop only moves routing weights. The size of the base is not a guess: it follows from the newsvendor problem, so the optimal base is a specific quantile of the forecast load whose level depends only on the price ratio between the two platforms.</w:t>
      </w:r>
    </w:p>
    <w:p>
      <w:pPr>
        <w:pStyle w:val="Heading2"/>
      </w:pPr>
      <w:r>
        <w:t>1.3 Contributions</w:t>
      </w:r>
    </w:p>
    <w:p>
      <w:pPr>
        <w:pStyle w:val="ListParagraph"/>
        <w:spacing w:after="80" w:line="340" w:lineRule="auto"/>
        <w:ind w:left="567" w:hanging="340"/>
        <w:jc w:val="both"/>
      </w:pPr>
      <w:r>
        <w:rPr/>
        <w:t>•  A cost model and a closed-form rule for the base size (Section 5.2), checked against brute-force search (Section 8.9).</w:t>
      </w:r>
    </w:p>
    <w:p>
      <w:pPr>
        <w:pStyle w:val="ListParagraph"/>
        <w:spacing w:after="80" w:line="340" w:lineRule="auto"/>
        <w:ind w:left="567" w:hanging="340"/>
        <w:jc w:val="both"/>
      </w:pPr>
      <w:r>
        <w:rPr/>
        <w:t>•  A trace-driven simulator that replays the Azure Functions 2019 trace [8] with AWS ap-south-1 prices over 101 heavy functions, comparing eight strategies on cost, unserved load, utilisation and an energy estimate.</w:t>
      </w:r>
    </w:p>
    <w:p>
      <w:pPr>
        <w:pStyle w:val="ListParagraph"/>
        <w:spacing w:after="80" w:line="340" w:lineRule="auto"/>
        <w:ind w:left="567" w:hanging="340"/>
        <w:jc w:val="both"/>
      </w:pPr>
      <w:r>
        <w:rPr/>
        <w:t>•  A global LightGBM quantile forecaster [7] with honest baselines, including a plain statement of how much it does and does not help (Section 8.2).</w:t>
      </w:r>
    </w:p>
    <w:p>
      <w:pPr>
        <w:pStyle w:val="ListParagraph"/>
        <w:spacing w:after="80" w:line="340" w:lineRule="auto"/>
        <w:ind w:left="567" w:hanging="340"/>
        <w:jc w:val="both"/>
      </w:pPr>
      <w:r>
        <w:rPr/>
        <w:t>•  A live AWS implementation with a calibration campaign and four experiment arms, reconciled against a simulator replay of the same arms (Section 8.8).</w:t>
      </w:r>
    </w:p>
    <w:p>
      <w:pPr>
        <w:pStyle w:val="Heading2"/>
      </w:pPr>
      <w:r>
        <w:t>1.4 Scope</w:t>
      </w:r>
    </w:p>
    <w:p>
      <w:pPr>
        <w:spacing w:after="140" w:before="0" w:line="340" w:lineRule="auto"/>
        <w:jc w:val="both"/>
      </w:pPr>
      <w:r>
        <w:rPr/>
        <w:t xml:space="preserve">The project covers compute only. Storage and networking costs are out of scope because the public trace contains no usable data for them; they appear as future work. Azure traffic is replayed against </w:t>
      </w:r>
      <w:r>
        <w:rPr>
          <w:b/>
        </w:rPr>
        <w:t>AWS prices</w:t>
      </w:r>
      <w:r>
        <w:rPr/>
        <w:t>: the Azure trace supplies the shape and size of demand, AWS supplies the price list and the platform on which the live system runs. This is a modelling choice and is stated wherever cost numbers appear.</w:t>
      </w:r>
    </w:p>
    <w:p>
      <w:pPr>
        <w:pStyle w:val="Heading1"/>
        <w:pageBreakBefore/>
      </w:pPr>
      <w:r>
        <w:t>2. Problem statement</w:t>
      </w:r>
    </w:p>
    <w:p>
      <w:pPr>
        <w:spacing w:after="140" w:before="0" w:line="340" w:lineRule="auto"/>
        <w:jc w:val="both"/>
      </w:pPr>
      <w:r>
        <w:rPr/>
        <w:t>Given a stream of requests whose rate varies over time, choose at every moment how much capacity to hold in cheap-but-slow-to-provision form (the base) and how much load to send to expensive-but-instant form (overflow), so that total cost is minimised while every request is served within a latency target. Two kinds of error are possible, and they are not symmetric: a base that is too large wastes money continuously, while a base that is too small sends extra load to the costlier platform but does not drop it.</w:t>
      </w:r>
    </w:p>
    <w:p>
      <w:pPr>
        <w:pStyle w:val="Heading2"/>
      </w:pPr>
      <w:r>
        <w:t>2.1 What the system must decide</w:t>
      </w:r>
    </w:p>
    <w:p>
      <w:pPr>
        <w:keepNext/>
        <w:spacing w:after="80" w:before="120" w:line="276" w:lineRule="auto"/>
        <w:jc w:val="center"/>
      </w:pPr>
      <w:r>
        <w:rPr>
          <w:sz w:val="22"/>
        </w:rPr>
        <w:t>Table 1: Decisions the resource manager makes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blHeader/>
        </w:trPr>
        <w:tc>
          <w:tcPr>
            <w:tcW w:type="dxa" w:w="2268"/>
            <w:tcMar>
              <w:top w:w="60" w:type="dxa"/>
              <w:left w:w="100" w:type="dxa"/>
              <w:bottom w:w="60" w:type="dxa"/>
              <w:right w:w="100" w:type="dxa"/>
            </w:tcMar>
            <w:shd w:val="clear" w:color="auto" w:fill="D9D9D9"/>
          </w:tcPr>
          <w:p>
            <w:pPr>
              <w:spacing w:after="0" w:line="240" w:lineRule="auto"/>
            </w:pPr>
            <w:r>
              <w:rPr>
                <w:b/>
                <w:sz w:val="20"/>
              </w:rPr>
              <w:t>Question</w:t>
            </w:r>
          </w:p>
        </w:tc>
        <w:tc>
          <w:tcPr>
            <w:tcW w:type="dxa" w:w="5102"/>
            <w:tcMar>
              <w:top w:w="60" w:type="dxa"/>
              <w:left w:w="100" w:type="dxa"/>
              <w:bottom w:w="60" w:type="dxa"/>
              <w:right w:w="100" w:type="dxa"/>
            </w:tcMar>
            <w:shd w:val="clear" w:color="auto" w:fill="D9D9D9"/>
          </w:tcPr>
          <w:p>
            <w:pPr>
              <w:spacing w:after="0" w:line="240" w:lineRule="auto"/>
            </w:pPr>
            <w:r>
              <w:rPr>
                <w:b/>
                <w:sz w:val="20"/>
              </w:rPr>
              <w:t>CostScale answer</w:t>
            </w:r>
          </w:p>
        </w:tc>
        <w:tc>
          <w:tcPr>
            <w:tcW w:type="dxa" w:w="1701"/>
            <w:tcMar>
              <w:top w:w="60" w:type="dxa"/>
              <w:left w:w="100" w:type="dxa"/>
              <w:bottom w:w="60" w:type="dxa"/>
              <w:right w:w="100" w:type="dxa"/>
            </w:tcMar>
            <w:shd w:val="clear" w:color="auto" w:fill="D9D9D9"/>
          </w:tcPr>
          <w:p>
            <w:pPr>
              <w:spacing w:after="0" w:line="240" w:lineRule="auto"/>
            </w:pPr>
            <w:r>
              <w:rPr>
                <w:b/>
                <w:sz w:val="20"/>
              </w:rPr>
              <w:t>Where</w:t>
            </w:r>
          </w:p>
        </w:tc>
      </w:tr>
      <w:tr>
        <w:trPr>
          <w:cantSplit/>
        </w:trPr>
        <w:tc>
          <w:tcPr>
            <w:tcW w:type="dxa" w:w="2268"/>
            <w:tcMar>
              <w:top w:w="60" w:type="dxa"/>
              <w:left w:w="100" w:type="dxa"/>
              <w:bottom w:w="60" w:type="dxa"/>
              <w:right w:w="100" w:type="dxa"/>
            </w:tcMar>
          </w:tcPr>
          <w:p>
            <w:pPr>
              <w:spacing w:after="0" w:line="240" w:lineRule="auto"/>
            </w:pPr>
            <w:r>
              <w:rPr>
                <w:sz w:val="20"/>
              </w:rPr>
              <w:t>Input data and features</w:t>
            </w:r>
          </w:p>
        </w:tc>
        <w:tc>
          <w:tcPr>
            <w:tcW w:type="dxa" w:w="5102"/>
            <w:tcMar>
              <w:top w:w="60" w:type="dxa"/>
              <w:left w:w="100" w:type="dxa"/>
              <w:bottom w:w="60" w:type="dxa"/>
              <w:right w:w="100" w:type="dxa"/>
            </w:tcMar>
          </w:tcPr>
          <w:p>
            <w:pPr>
              <w:spacing w:after="0" w:line="240" w:lineRule="auto"/>
            </w:pPr>
            <w:r>
              <w:rPr>
                <w:sz w:val="20"/>
              </w:rPr>
              <w:t>Per-minute invocations, average duration and memory of Azure Functions; last-hour and last-6-hour statistics, same hour yesterday, hour of day, trigger, app level</w:t>
            </w:r>
          </w:p>
        </w:tc>
        <w:tc>
          <w:tcPr>
            <w:tcW w:type="dxa" w:w="1701"/>
            <w:tcMar>
              <w:top w:w="60" w:type="dxa"/>
              <w:left w:w="100" w:type="dxa"/>
              <w:bottom w:w="60" w:type="dxa"/>
              <w:right w:w="100" w:type="dxa"/>
            </w:tcMar>
          </w:tcPr>
          <w:p>
            <w:pPr>
              <w:spacing w:after="0" w:line="240" w:lineRule="auto"/>
            </w:pPr>
            <w:r>
              <w:rPr>
                <w:sz w:val="20"/>
              </w:rPr>
              <w:t>Sections 4, 5.3</w:t>
            </w:r>
          </w:p>
        </w:tc>
      </w:tr>
      <w:tr>
        <w:trPr>
          <w:cantSplit/>
        </w:trPr>
        <w:tc>
          <w:tcPr>
            <w:tcW w:type="dxa" w:w="2268"/>
            <w:tcMar>
              <w:top w:w="60" w:type="dxa"/>
              <w:left w:w="100" w:type="dxa"/>
              <w:bottom w:w="60" w:type="dxa"/>
              <w:right w:w="100" w:type="dxa"/>
            </w:tcMar>
          </w:tcPr>
          <w:p>
            <w:pPr>
              <w:spacing w:after="0" w:line="240" w:lineRule="auto"/>
            </w:pPr>
            <w:r>
              <w:rPr>
                <w:sz w:val="20"/>
              </w:rPr>
              <w:t>ML algorithm</w:t>
            </w:r>
          </w:p>
        </w:tc>
        <w:tc>
          <w:tcPr>
            <w:tcW w:type="dxa" w:w="5102"/>
            <w:tcMar>
              <w:top w:w="60" w:type="dxa"/>
              <w:left w:w="100" w:type="dxa"/>
              <w:bottom w:w="60" w:type="dxa"/>
              <w:right w:w="100" w:type="dxa"/>
            </w:tcMar>
          </w:tcPr>
          <w:p>
            <w:pPr>
              <w:spacing w:after="0" w:line="240" w:lineRule="auto"/>
            </w:pPr>
            <w:r>
              <w:rPr>
                <w:sz w:val="20"/>
              </w:rPr>
              <w:t>Global LightGBM quantile regression, one model per quantile</w:t>
            </w:r>
          </w:p>
        </w:tc>
        <w:tc>
          <w:tcPr>
            <w:tcW w:type="dxa" w:w="1701"/>
            <w:tcMar>
              <w:top w:w="60" w:type="dxa"/>
              <w:left w:w="100" w:type="dxa"/>
              <w:bottom w:w="60" w:type="dxa"/>
              <w:right w:w="100" w:type="dxa"/>
            </w:tcMar>
          </w:tcPr>
          <w:p>
            <w:pPr>
              <w:spacing w:after="0" w:line="240" w:lineRule="auto"/>
            </w:pPr>
            <w:r>
              <w:rPr>
                <w:sz w:val="20"/>
              </w:rPr>
              <w:t>Section 5.3</w:t>
            </w:r>
          </w:p>
        </w:tc>
      </w:tr>
      <w:tr>
        <w:trPr>
          <w:cantSplit/>
        </w:trPr>
        <w:tc>
          <w:tcPr>
            <w:tcW w:type="dxa" w:w="2268"/>
            <w:tcMar>
              <w:top w:w="60" w:type="dxa"/>
              <w:left w:w="100" w:type="dxa"/>
              <w:bottom w:w="60" w:type="dxa"/>
              <w:right w:w="100" w:type="dxa"/>
            </w:tcMar>
          </w:tcPr>
          <w:p>
            <w:pPr>
              <w:spacing w:after="0" w:line="240" w:lineRule="auto"/>
            </w:pPr>
            <w:r>
              <w:rPr>
                <w:sz w:val="20"/>
              </w:rPr>
              <w:t>Prediction horizon</w:t>
            </w:r>
          </w:p>
        </w:tc>
        <w:tc>
          <w:tcPr>
            <w:tcW w:type="dxa" w:w="5102"/>
            <w:tcMar>
              <w:top w:w="60" w:type="dxa"/>
              <w:left w:w="100" w:type="dxa"/>
              <w:bottom w:w="60" w:type="dxa"/>
              <w:right w:w="100" w:type="dxa"/>
            </w:tcMar>
          </w:tcPr>
          <w:p>
            <w:pPr>
              <w:spacing w:after="0" w:line="240" w:lineRule="auto"/>
            </w:pPr>
            <w:r>
              <w:rPr>
                <w:sz w:val="20"/>
              </w:rPr>
              <w:t>Next hour, decided at the start of each hour</w:t>
            </w:r>
          </w:p>
        </w:tc>
        <w:tc>
          <w:tcPr>
            <w:tcW w:type="dxa" w:w="1701"/>
            <w:tcMar>
              <w:top w:w="60" w:type="dxa"/>
              <w:left w:w="100" w:type="dxa"/>
              <w:bottom w:w="60" w:type="dxa"/>
              <w:right w:w="100" w:type="dxa"/>
            </w:tcMar>
          </w:tcPr>
          <w:p>
            <w:pPr>
              <w:spacing w:after="0" w:line="240" w:lineRule="auto"/>
            </w:pPr>
            <w:r>
              <w:rPr>
                <w:sz w:val="20"/>
              </w:rPr>
              <w:t>Section 5.3</w:t>
            </w:r>
          </w:p>
        </w:tc>
      </w:tr>
      <w:tr>
        <w:trPr>
          <w:cantSplit/>
        </w:trPr>
        <w:tc>
          <w:tcPr>
            <w:tcW w:type="dxa" w:w="2268"/>
            <w:tcMar>
              <w:top w:w="60" w:type="dxa"/>
              <w:left w:w="100" w:type="dxa"/>
              <w:bottom w:w="60" w:type="dxa"/>
              <w:right w:w="100" w:type="dxa"/>
            </w:tcMar>
          </w:tcPr>
          <w:p>
            <w:pPr>
              <w:spacing w:after="0" w:line="240" w:lineRule="auto"/>
            </w:pPr>
            <w:r>
              <w:rPr>
                <w:sz w:val="20"/>
              </w:rPr>
              <w:t>Allocation mechanism</w:t>
            </w:r>
          </w:p>
        </w:tc>
        <w:tc>
          <w:tcPr>
            <w:tcW w:type="dxa" w:w="5102"/>
            <w:tcMar>
              <w:top w:w="60" w:type="dxa"/>
              <w:left w:w="100" w:type="dxa"/>
              <w:bottom w:w="60" w:type="dxa"/>
              <w:right w:w="100" w:type="dxa"/>
            </w:tcMar>
          </w:tcPr>
          <w:p>
            <w:pPr>
              <w:spacing w:after="0" w:line="240" w:lineRule="auto"/>
            </w:pPr>
            <w:r>
              <w:rPr>
                <w:sz w:val="20"/>
              </w:rPr>
              <w:t>ASG desired capacity from forecast (hourly); ALB weights from observed rate (per minute)</w:t>
            </w:r>
          </w:p>
        </w:tc>
        <w:tc>
          <w:tcPr>
            <w:tcW w:type="dxa" w:w="1701"/>
            <w:tcMar>
              <w:top w:w="60" w:type="dxa"/>
              <w:left w:w="100" w:type="dxa"/>
              <w:bottom w:w="60" w:type="dxa"/>
              <w:right w:w="100" w:type="dxa"/>
            </w:tcMar>
          </w:tcPr>
          <w:p>
            <w:pPr>
              <w:spacing w:after="0" w:line="240" w:lineRule="auto"/>
            </w:pPr>
            <w:r>
              <w:rPr>
                <w:sz w:val="20"/>
              </w:rPr>
              <w:t>Section 6</w:t>
            </w:r>
          </w:p>
        </w:tc>
      </w:tr>
      <w:tr>
        <w:trPr>
          <w:cantSplit/>
        </w:trPr>
        <w:tc>
          <w:tcPr>
            <w:tcW w:type="dxa" w:w="2268"/>
            <w:tcMar>
              <w:top w:w="60" w:type="dxa"/>
              <w:left w:w="100" w:type="dxa"/>
              <w:bottom w:w="60" w:type="dxa"/>
              <w:right w:w="100" w:type="dxa"/>
            </w:tcMar>
          </w:tcPr>
          <w:p>
            <w:pPr>
              <w:spacing w:after="0" w:line="240" w:lineRule="auto"/>
            </w:pPr>
            <w:r>
              <w:rPr>
                <w:sz w:val="20"/>
              </w:rPr>
              <w:t>Evaluation</w:t>
            </w:r>
          </w:p>
        </w:tc>
        <w:tc>
          <w:tcPr>
            <w:tcW w:type="dxa" w:w="5102"/>
            <w:tcMar>
              <w:top w:w="60" w:type="dxa"/>
              <w:left w:w="100" w:type="dxa"/>
              <w:bottom w:w="60" w:type="dxa"/>
              <w:right w:w="100" w:type="dxa"/>
            </w:tcMar>
          </w:tcPr>
          <w:p>
            <w:pPr>
              <w:spacing w:after="0" w:line="240" w:lineRule="auto"/>
            </w:pPr>
            <w:r>
              <w:rPr>
                <w:sz w:val="20"/>
              </w:rPr>
              <w:t>Accuracy, utilisation, latency, cost, energy estimate</w:t>
            </w:r>
          </w:p>
        </w:tc>
        <w:tc>
          <w:tcPr>
            <w:tcW w:type="dxa" w:w="1701"/>
            <w:tcMar>
              <w:top w:w="60" w:type="dxa"/>
              <w:left w:w="100" w:type="dxa"/>
              <w:bottom w:w="60" w:type="dxa"/>
              <w:right w:w="100" w:type="dxa"/>
            </w:tcMar>
          </w:tcPr>
          <w:p>
            <w:pPr>
              <w:spacing w:after="0" w:line="240" w:lineRule="auto"/>
            </w:pPr>
            <w:r>
              <w:rPr>
                <w:sz w:val="20"/>
              </w:rPr>
              <w:t>Section 8</w:t>
            </w:r>
          </w:p>
        </w:tc>
      </w:tr>
      <w:tr>
        <w:trPr>
          <w:cantSplit/>
        </w:trPr>
        <w:tc>
          <w:tcPr>
            <w:tcW w:type="dxa" w:w="2268"/>
            <w:tcMar>
              <w:top w:w="60" w:type="dxa"/>
              <w:left w:w="100" w:type="dxa"/>
              <w:bottom w:w="60" w:type="dxa"/>
              <w:right w:w="100" w:type="dxa"/>
            </w:tcMar>
          </w:tcPr>
          <w:p>
            <w:pPr>
              <w:spacing w:after="0" w:line="240" w:lineRule="auto"/>
            </w:pPr>
            <w:r>
              <w:rPr>
                <w:sz w:val="20"/>
              </w:rPr>
              <w:t>Wrong prediction</w:t>
            </w:r>
          </w:p>
        </w:tc>
        <w:tc>
          <w:tcPr>
            <w:tcW w:type="dxa" w:w="5102"/>
            <w:tcMar>
              <w:top w:w="60" w:type="dxa"/>
              <w:left w:w="100" w:type="dxa"/>
              <w:bottom w:w="60" w:type="dxa"/>
              <w:right w:w="100" w:type="dxa"/>
            </w:tcMar>
          </w:tcPr>
          <w:p>
            <w:pPr>
              <w:spacing w:after="0" w:line="240" w:lineRule="auto"/>
            </w:pPr>
            <w:r>
              <w:rPr>
                <w:sz w:val="20"/>
              </w:rPr>
              <w:t>Spike injection in simulation and a live arm; asymmetric error discussion</w:t>
            </w:r>
          </w:p>
        </w:tc>
        <w:tc>
          <w:tcPr>
            <w:tcW w:type="dxa" w:w="1701"/>
            <w:tcMar>
              <w:top w:w="60" w:type="dxa"/>
              <w:left w:w="100" w:type="dxa"/>
              <w:bottom w:w="60" w:type="dxa"/>
              <w:right w:w="100" w:type="dxa"/>
            </w:tcMar>
          </w:tcPr>
          <w:p>
            <w:pPr>
              <w:spacing w:after="0" w:line="240" w:lineRule="auto"/>
            </w:pPr>
            <w:r>
              <w:rPr>
                <w:sz w:val="20"/>
              </w:rPr>
              <w:t>Section 9</w:t>
            </w:r>
          </w:p>
        </w:tc>
      </w:tr>
    </w:tbl>
    <w:p>
      <w:pPr>
        <w:spacing w:after="120"/>
      </w:pPr>
    </w:p>
    <w:p>
      <w:pPr>
        <w:pStyle w:val="Heading1"/>
        <w:pageBreakBefore/>
      </w:pPr>
      <w:r>
        <w:t>3. Related work</w:t>
      </w:r>
    </w:p>
    <w:p>
      <w:pPr>
        <w:spacing w:after="140" w:before="0" w:line="340" w:lineRule="auto"/>
        <w:jc w:val="both"/>
      </w:pPr>
      <w:r>
        <w:rPr/>
        <w:t>Only sources that were opened and read while preparing this report are cited.</w:t>
      </w:r>
    </w:p>
    <w:p>
      <w:pPr>
        <w:spacing w:after="140" w:before="0" w:line="340" w:lineRule="auto"/>
        <w:jc w:val="both"/>
      </w:pPr>
      <w:r>
        <w:rPr>
          <w:b/>
        </w:rPr>
        <w:t>Serverless workloads.</w:t>
      </w:r>
      <w:r>
        <w:rPr/>
        <w:t xml:space="preserve"> Shahrad et al. [1] analyse the production Azure Functions workload, find extreme variation in invocation rates, and propose a policy that reduces cold starts while using fewer resources than common industry approaches. Their trace is the data source for this work [8]. Their focus is the keep-alive and pre-warming of functions inside a serverless platform, whereas CostScale asks the inverse question: when is it cheaper to leave serverless for provisioned capacity, and how much?</w:t>
      </w:r>
    </w:p>
    <w:p>
      <w:pPr>
        <w:spacing w:after="140" w:before="0" w:line="340" w:lineRule="auto"/>
        <w:jc w:val="both"/>
      </w:pPr>
      <w:r>
        <w:rPr>
          <w:b/>
        </w:rPr>
        <w:t>Predictive autoscaling with serverless overflow.</w:t>
      </w:r>
      <w:r>
        <w:rPr/>
        <w:t xml:space="preserve"> MArk [2] is a machine-learning inference serving system built on AWS. According to the paper's abstract it uses predictive autoscaling to hide provisioning latency at low cost, and uses more flexible but pricier serverless instances to absorb occasional spikes that are hard to predict. That is the closest design to CostScale. CostScale differs in being workload-agnostic, in deriving the base size from a price-ratio quantile rather than a heuristic, and in comparing against reactive scaling on a public production trace.</w:t>
      </w:r>
    </w:p>
    <w:p>
      <w:pPr>
        <w:spacing w:after="140" w:before="0" w:line="340" w:lineRule="auto"/>
        <w:jc w:val="both"/>
      </w:pPr>
      <w:r>
        <w:rPr>
          <w:b/>
        </w:rPr>
        <w:t>Provider predictive scaling.</w:t>
      </w:r>
      <w:r>
        <w:rPr/>
        <w:t xml:space="preserve"> Amazon EC2 Auto Scaling offers predictive scaling [3]. The documentation states that the monitored metric needs at least 24 hours of data, that the service analyses up to 14 days of history, generates an hourly forecast of capacity for the next 48 hours updated every 6 hours, and by default scales at the start of each hour. It forecasts capacity from a utilisation target and does not consider a pay-per-use overflow tier. We did not run it live because it needs 24 hours of history before it forecasts (Section 7.5); the simulator contains an emulation in the same spirit, which is explicitly </w:t>
      </w:r>
      <w:r>
        <w:rPr>
          <w:b/>
        </w:rPr>
        <w:t>not</w:t>
      </w:r>
      <w:r>
        <w:rPr/>
        <w:t xml:space="preserve"> the AWS algorithm.</w:t>
      </w:r>
    </w:p>
    <w:p>
      <w:pPr>
        <w:spacing w:after="140" w:before="0" w:line="340" w:lineRule="auto"/>
        <w:jc w:val="both"/>
      </w:pPr>
      <w:r>
        <w:rPr>
          <w:b/>
        </w:rPr>
        <w:t>Newsvendor theory.</w:t>
      </w:r>
      <w:r>
        <w:rPr/>
        <w:t xml:space="preserve"> The newsvendor model chooses an order quantity before demand is known. In critical-fractile form the optimum is a quantile of the demand distribution whose level balances the cost of too little against the cost of too much [6]. We apply it per minute of load: the base is bought in advance, the overflow is bought on demand at a higher price.</w:t>
      </w:r>
    </w:p>
    <w:p>
      <w:pPr>
        <w:spacing w:after="140" w:before="0" w:line="340" w:lineRule="auto"/>
        <w:jc w:val="both"/>
      </w:pPr>
      <w:r>
        <w:rPr>
          <w:b/>
        </w:rPr>
        <w:t>Forecasting and energy.</w:t>
      </w:r>
      <w:r>
        <w:rPr/>
        <w:t xml:space="preserve"> LightGBM [7] is a gradient-boosted decision tree implementation; its quantile objective gives one conditional quantile per model. For the energy estimate we follow the Cloud Carbon Footprint methodology [9], which converts vCPU-hours and utilisation into watt-hours and treats Lambda through allocated memory.</w:t>
      </w:r>
    </w:p>
    <w:p>
      <w:pPr>
        <w:pStyle w:val="Heading1"/>
        <w:pageBreakBefore/>
      </w:pPr>
      <w:r>
        <w:t>4. Data</w:t>
      </w:r>
    </w:p>
    <w:p>
      <w:pPr>
        <w:pStyle w:val="Heading2"/>
      </w:pPr>
      <w:r>
        <w:t>4.1 Dataset</w:t>
      </w:r>
    </w:p>
    <w:p>
      <w:pPr>
        <w:spacing w:after="140" w:before="0" w:line="340" w:lineRule="auto"/>
        <w:jc w:val="both"/>
      </w:pPr>
      <w:r>
        <w:rPr/>
        <w:t>We use the Azure Functions 2019 trace [8], released under CC-BY, which accompanies [1]. It contains 14 days of per-minute invocation counts per function with trigger type, per-function execution-time statistics (excluding cold starts) and per-application allocated memory for 12 of the 14 days. The trace covers 72,359 distinct functions in total; day 1 alone has 46,412, and 28,859 appear on all 14 days. The median function receives only 32 invocations per day on day 1, so most of the data is unusable for forecasting and must be filtered.</w:t>
      </w:r>
    </w:p>
    <w:p>
      <w:pPr>
        <w:pStyle w:val="Heading2"/>
      </w:pPr>
      <w:r>
        <w:t>4.2 Filtering and joins</w:t>
      </w:r>
    </w:p>
    <w:p>
      <w:pPr>
        <w:spacing w:after="140" w:before="0" w:line="340" w:lineRule="auto"/>
        <w:jc w:val="both"/>
      </w:pPr>
      <w:r>
        <w:rPr/>
        <w:t>Loading all 14 days of all functions at once exhausts memory on the development machine, so the pipeline works in two passes: the first streams every file and computes per-function totals; the second loads only the selected functions as 32-bit integers. A function is selected when it is present on all 14 days (required for a chronological split) and averages at least 5 requests per minute over the 14 days. This gives 2,127 functions; 2,066 also have duration and memory data. Duration is the Count-weighted mean over days and memory is the SampleCount-weighted mean per application.</w:t>
      </w:r>
    </w:p>
    <w:p>
      <w:pPr>
        <w:spacing w:after="140" w:before="0" w:line="340" w:lineRule="auto"/>
        <w:jc w:val="both"/>
      </w:pPr>
      <w:r>
        <w:rPr/>
        <w:t>One difference from the preliminary exploration is documented here for transparency. Applying the 5 requests per minute rule alone gives 2,594 functions; the 2,127 and 2,066 figures are reproduced exactly only when presence on all 14 days is also required, so that is the rule used.</w:t>
      </w:r>
    </w:p>
    <w:p>
      <w:pPr>
        <w:keepNext/>
        <w:spacing w:after="80" w:before="120" w:line="276" w:lineRule="auto"/>
        <w:jc w:val="center"/>
      </w:pPr>
      <w:r>
        <w:rPr>
          <w:sz w:val="22"/>
        </w:rPr>
        <w:t>Table 2: Dataset funnel</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rPr>
          <w:cantSplit/>
          <w:tblHeader/>
        </w:trPr>
        <w:tc>
          <w:tcPr>
            <w:tcW w:type="dxa" w:w="5386"/>
            <w:tcMar>
              <w:top w:w="60" w:type="dxa"/>
              <w:left w:w="100" w:type="dxa"/>
              <w:bottom w:w="60" w:type="dxa"/>
              <w:right w:w="100" w:type="dxa"/>
            </w:tcMar>
            <w:shd w:val="clear" w:color="auto" w:fill="D9D9D9"/>
          </w:tcPr>
          <w:p>
            <w:pPr>
              <w:spacing w:after="0" w:line="240" w:lineRule="auto"/>
            </w:pPr>
            <w:r>
              <w:rPr>
                <w:b/>
                <w:sz w:val="20"/>
              </w:rPr>
              <w:t>Quantity</w:t>
            </w:r>
          </w:p>
        </w:tc>
        <w:tc>
          <w:tcPr>
            <w:tcW w:type="dxa" w:w="3685"/>
            <w:tcMar>
              <w:top w:w="60" w:type="dxa"/>
              <w:left w:w="100" w:type="dxa"/>
              <w:bottom w:w="60" w:type="dxa"/>
              <w:right w:w="100" w:type="dxa"/>
            </w:tcMar>
            <w:shd w:val="clear" w:color="auto" w:fill="D9D9D9"/>
          </w:tcPr>
          <w:p>
            <w:pPr>
              <w:spacing w:after="0" w:line="240" w:lineRule="auto"/>
            </w:pPr>
            <w:r>
              <w:rPr>
                <w:b/>
                <w:sz w:val="20"/>
              </w:rPr>
              <w:t>Value</w:t>
            </w:r>
          </w:p>
        </w:tc>
      </w:tr>
      <w:tr>
        <w:trPr>
          <w:cantSplit/>
        </w:trPr>
        <w:tc>
          <w:tcPr>
            <w:tcW w:type="dxa" w:w="5386"/>
            <w:tcMar>
              <w:top w:w="60" w:type="dxa"/>
              <w:left w:w="100" w:type="dxa"/>
              <w:bottom w:w="60" w:type="dxa"/>
              <w:right w:w="100" w:type="dxa"/>
            </w:tcMar>
          </w:tcPr>
          <w:p>
            <w:pPr>
              <w:spacing w:after="0" w:line="240" w:lineRule="auto"/>
            </w:pPr>
            <w:r>
              <w:rPr>
                <w:sz w:val="20"/>
              </w:rPr>
              <w:t>Distinct functions in 14 days</w:t>
            </w:r>
          </w:p>
        </w:tc>
        <w:tc>
          <w:tcPr>
            <w:tcW w:type="dxa" w:w="3685"/>
            <w:tcMar>
              <w:top w:w="60" w:type="dxa"/>
              <w:left w:w="100" w:type="dxa"/>
              <w:bottom w:w="60" w:type="dxa"/>
              <w:right w:w="100" w:type="dxa"/>
            </w:tcMar>
          </w:tcPr>
          <w:p>
            <w:pPr>
              <w:spacing w:after="0" w:line="240" w:lineRule="auto"/>
              <w:jc w:val="right"/>
            </w:pPr>
            <w:r>
              <w:rPr>
                <w:sz w:val="20"/>
              </w:rPr>
              <w:t>72,359</w:t>
            </w:r>
          </w:p>
        </w:tc>
      </w:tr>
      <w:tr>
        <w:trPr>
          <w:cantSplit/>
        </w:trPr>
        <w:tc>
          <w:tcPr>
            <w:tcW w:type="dxa" w:w="5386"/>
            <w:tcMar>
              <w:top w:w="60" w:type="dxa"/>
              <w:left w:w="100" w:type="dxa"/>
              <w:bottom w:w="60" w:type="dxa"/>
              <w:right w:w="100" w:type="dxa"/>
            </w:tcMar>
          </w:tcPr>
          <w:p>
            <w:pPr>
              <w:spacing w:after="0" w:line="240" w:lineRule="auto"/>
            </w:pPr>
            <w:r>
              <w:rPr>
                <w:sz w:val="20"/>
              </w:rPr>
              <w:t>Functions on day 1</w:t>
            </w:r>
          </w:p>
        </w:tc>
        <w:tc>
          <w:tcPr>
            <w:tcW w:type="dxa" w:w="3685"/>
            <w:tcMar>
              <w:top w:w="60" w:type="dxa"/>
              <w:left w:w="100" w:type="dxa"/>
              <w:bottom w:w="60" w:type="dxa"/>
              <w:right w:w="100" w:type="dxa"/>
            </w:tcMar>
          </w:tcPr>
          <w:p>
            <w:pPr>
              <w:spacing w:after="0" w:line="240" w:lineRule="auto"/>
              <w:jc w:val="right"/>
            </w:pPr>
            <w:r>
              <w:rPr>
                <w:sz w:val="20"/>
              </w:rPr>
              <w:t>46,412</w:t>
            </w:r>
          </w:p>
        </w:tc>
      </w:tr>
      <w:tr>
        <w:trPr>
          <w:cantSplit/>
        </w:trPr>
        <w:tc>
          <w:tcPr>
            <w:tcW w:type="dxa" w:w="5386"/>
            <w:tcMar>
              <w:top w:w="60" w:type="dxa"/>
              <w:left w:w="100" w:type="dxa"/>
              <w:bottom w:w="60" w:type="dxa"/>
              <w:right w:w="100" w:type="dxa"/>
            </w:tcMar>
          </w:tcPr>
          <w:p>
            <w:pPr>
              <w:spacing w:after="0" w:line="240" w:lineRule="auto"/>
            </w:pPr>
            <w:r>
              <w:rPr>
                <w:sz w:val="20"/>
              </w:rPr>
              <w:t>Functions present on all 14 days</w:t>
            </w:r>
          </w:p>
        </w:tc>
        <w:tc>
          <w:tcPr>
            <w:tcW w:type="dxa" w:w="3685"/>
            <w:tcMar>
              <w:top w:w="60" w:type="dxa"/>
              <w:left w:w="100" w:type="dxa"/>
              <w:bottom w:w="60" w:type="dxa"/>
              <w:right w:w="100" w:type="dxa"/>
            </w:tcMar>
          </w:tcPr>
          <w:p>
            <w:pPr>
              <w:spacing w:after="0" w:line="240" w:lineRule="auto"/>
              <w:jc w:val="right"/>
            </w:pPr>
            <w:r>
              <w:rPr>
                <w:sz w:val="20"/>
              </w:rPr>
              <w:t>28,859</w:t>
            </w:r>
          </w:p>
        </w:tc>
      </w:tr>
      <w:tr>
        <w:trPr>
          <w:cantSplit/>
        </w:trPr>
        <w:tc>
          <w:tcPr>
            <w:tcW w:type="dxa" w:w="5386"/>
            <w:tcMar>
              <w:top w:w="60" w:type="dxa"/>
              <w:left w:w="100" w:type="dxa"/>
              <w:bottom w:w="60" w:type="dxa"/>
              <w:right w:w="100" w:type="dxa"/>
            </w:tcMar>
          </w:tcPr>
          <w:p>
            <w:pPr>
              <w:spacing w:after="0" w:line="240" w:lineRule="auto"/>
            </w:pPr>
            <w:r>
              <w:rPr>
                <w:sz w:val="20"/>
              </w:rPr>
              <w:t>Median invocations/day (day 1)</w:t>
            </w:r>
          </w:p>
        </w:tc>
        <w:tc>
          <w:tcPr>
            <w:tcW w:type="dxa" w:w="3685"/>
            <w:tcMar>
              <w:top w:w="60" w:type="dxa"/>
              <w:left w:w="100" w:type="dxa"/>
              <w:bottom w:w="60" w:type="dxa"/>
              <w:right w:w="100" w:type="dxa"/>
            </w:tcMar>
          </w:tcPr>
          <w:p>
            <w:pPr>
              <w:spacing w:after="0" w:line="240" w:lineRule="auto"/>
              <w:jc w:val="right"/>
            </w:pPr>
            <w:r>
              <w:rPr>
                <w:sz w:val="20"/>
              </w:rPr>
              <w:t>32</w:t>
            </w:r>
          </w:p>
        </w:tc>
      </w:tr>
      <w:tr>
        <w:trPr>
          <w:cantSplit/>
        </w:trPr>
        <w:tc>
          <w:tcPr>
            <w:tcW w:type="dxa" w:w="5386"/>
            <w:tcMar>
              <w:top w:w="60" w:type="dxa"/>
              <w:left w:w="100" w:type="dxa"/>
              <w:bottom w:w="60" w:type="dxa"/>
              <w:right w:w="100" w:type="dxa"/>
            </w:tcMar>
          </w:tcPr>
          <w:p>
            <w:pPr>
              <w:spacing w:after="0" w:line="240" w:lineRule="auto"/>
            </w:pPr>
            <w:r>
              <w:rPr>
                <w:sz w:val="20"/>
              </w:rPr>
              <w:t>Average &gt;= 5 req/min, present all 14 days</w:t>
            </w:r>
          </w:p>
        </w:tc>
        <w:tc>
          <w:tcPr>
            <w:tcW w:type="dxa" w:w="3685"/>
            <w:tcMar>
              <w:top w:w="60" w:type="dxa"/>
              <w:left w:w="100" w:type="dxa"/>
              <w:bottom w:w="60" w:type="dxa"/>
              <w:right w:w="100" w:type="dxa"/>
            </w:tcMar>
          </w:tcPr>
          <w:p>
            <w:pPr>
              <w:spacing w:after="0" w:line="240" w:lineRule="auto"/>
              <w:jc w:val="right"/>
            </w:pPr>
            <w:r>
              <w:rPr>
                <w:sz w:val="20"/>
              </w:rPr>
              <w:t>2,127</w:t>
            </w:r>
          </w:p>
        </w:tc>
      </w:tr>
      <w:tr>
        <w:trPr>
          <w:cantSplit/>
        </w:trPr>
        <w:tc>
          <w:tcPr>
            <w:tcW w:type="dxa" w:w="5386"/>
            <w:tcMar>
              <w:top w:w="60" w:type="dxa"/>
              <w:left w:w="100" w:type="dxa"/>
              <w:bottom w:w="60" w:type="dxa"/>
              <w:right w:w="100" w:type="dxa"/>
            </w:tcMar>
          </w:tcPr>
          <w:p>
            <w:pPr>
              <w:spacing w:after="0" w:line="240" w:lineRule="auto"/>
            </w:pPr>
            <w:r>
              <w:rPr>
                <w:sz w:val="20"/>
              </w:rPr>
              <w:t>... with traffic + duration + memory</w:t>
            </w:r>
          </w:p>
        </w:tc>
        <w:tc>
          <w:tcPr>
            <w:tcW w:type="dxa" w:w="3685"/>
            <w:tcMar>
              <w:top w:w="60" w:type="dxa"/>
              <w:left w:w="100" w:type="dxa"/>
              <w:bottom w:w="60" w:type="dxa"/>
              <w:right w:w="100" w:type="dxa"/>
            </w:tcMar>
          </w:tcPr>
          <w:p>
            <w:pPr>
              <w:spacing w:after="0" w:line="240" w:lineRule="auto"/>
              <w:jc w:val="right"/>
            </w:pPr>
            <w:r>
              <w:rPr>
                <w:sz w:val="20"/>
              </w:rPr>
              <w:t>2,066</w:t>
            </w:r>
          </w:p>
        </w:tc>
      </w:tr>
      <w:tr>
        <w:trPr>
          <w:cantSplit/>
        </w:trPr>
        <w:tc>
          <w:tcPr>
            <w:tcW w:type="dxa" w:w="5386"/>
            <w:tcMar>
              <w:top w:w="60" w:type="dxa"/>
              <w:left w:w="100" w:type="dxa"/>
              <w:bottom w:w="60" w:type="dxa"/>
              <w:right w:w="100" w:type="dxa"/>
            </w:tcMar>
          </w:tcPr>
          <w:p>
            <w:pPr>
              <w:spacing w:after="0" w:line="240" w:lineRule="auto"/>
            </w:pPr>
            <w:r>
              <w:rPr>
                <w:sz w:val="20"/>
              </w:rPr>
              <w:t>Heavy functions (Section 4.4, measured capacity)</w:t>
            </w:r>
          </w:p>
        </w:tc>
        <w:tc>
          <w:tcPr>
            <w:tcW w:type="dxa" w:w="3685"/>
            <w:tcMar>
              <w:top w:w="60" w:type="dxa"/>
              <w:left w:w="100" w:type="dxa"/>
              <w:bottom w:w="60" w:type="dxa"/>
              <w:right w:w="100" w:type="dxa"/>
            </w:tcMar>
          </w:tcPr>
          <w:p>
            <w:pPr>
              <w:spacing w:after="0" w:line="240" w:lineRule="auto"/>
              <w:jc w:val="right"/>
            </w:pPr>
            <w:r>
              <w:rPr>
                <w:sz w:val="20"/>
              </w:rPr>
              <w:t>101</w:t>
            </w:r>
          </w:p>
        </w:tc>
      </w:tr>
      <w:tr>
        <w:trPr>
          <w:cantSplit/>
        </w:trPr>
        <w:tc>
          <w:tcPr>
            <w:tcW w:type="dxa" w:w="5386"/>
            <w:tcMar>
              <w:top w:w="60" w:type="dxa"/>
              <w:left w:w="100" w:type="dxa"/>
              <w:bottom w:w="60" w:type="dxa"/>
              <w:right w:w="100" w:type="dxa"/>
            </w:tcMar>
          </w:tcPr>
          <w:p>
            <w:pPr>
              <w:spacing w:after="0" w:line="240" w:lineRule="auto"/>
            </w:pPr>
            <w:r>
              <w:rPr>
                <w:sz w:val="20"/>
              </w:rPr>
              <w:t>Heavy by trigger</w:t>
            </w:r>
          </w:p>
        </w:tc>
        <w:tc>
          <w:tcPr>
            <w:tcW w:type="dxa" w:w="3685"/>
            <w:tcMar>
              <w:top w:w="60" w:type="dxa"/>
              <w:left w:w="100" w:type="dxa"/>
              <w:bottom w:w="60" w:type="dxa"/>
              <w:right w:w="100" w:type="dxa"/>
            </w:tcMar>
          </w:tcPr>
          <w:p>
            <w:pPr>
              <w:spacing w:after="0" w:line="240" w:lineRule="auto"/>
            </w:pPr>
            <w:r>
              <w:rPr>
                <w:sz w:val="20"/>
              </w:rPr>
              <w:t>event 20, http 16, orchestration 8, queue 52, storage 5</w:t>
            </w:r>
          </w:p>
        </w:tc>
      </w:tr>
    </w:tbl>
    <w:p>
      <w:pPr>
        <w:spacing w:after="120"/>
      </w:pPr>
    </w:p>
    <w:p>
      <w:pPr>
        <w:pStyle w:val="Heading2"/>
      </w:pPr>
      <w:r>
        <w:t>4.3 Load model and split</w:t>
      </w:r>
    </w:p>
    <w:p>
      <w:pPr>
        <w:spacing w:after="140" w:before="0" w:line="340" w:lineRule="auto"/>
        <w:jc w:val="both"/>
      </w:pPr>
      <w:r>
        <w:rPr/>
        <w:t>Offered load is expressed as concurrency: c(t) = invocations per minute / 60 x average duration in seconds. Timer-triggered functions are periodic rather than diurnal and are excluded from forecasting. The split is chronological per function: days 1-10 train, days 11-12 validation, days 13-14 test. All thresholds and hyperparameters are chosen on validation only, and the test period is evaluated once at the end.</w:t>
      </w:r>
    </w:p>
    <w:p>
      <w:pPr>
        <w:pStyle w:val="Heading2"/>
      </w:pPr>
      <w:r>
        <w:t>4.4 Heavy functions</w:t>
      </w:r>
    </w:p>
    <w:p>
      <w:pPr>
        <w:spacing w:after="140" w:before="0" w:line="340" w:lineRule="auto"/>
        <w:jc w:val="both"/>
      </w:pPr>
      <w:r>
        <w:rPr/>
        <w:t xml:space="preserve">A function is heavy when the cheaper of its two single-platform options costs at least $50 per month on the </w:t>
      </w:r>
      <w:r>
        <w:rPr>
          <w:b/>
        </w:rPr>
        <w:t>training</w:t>
      </w:r>
      <w:r>
        <w:rPr/>
        <w:t xml:space="preserve"> days: min(all-Lambda, containers sized to the training peak x 1.2). Using only training days avoids selection leakage. With the measured container capacity this yields 101 functions, all non-timer, and these form the simulated population (101 functions). The preliminary exploration, run with the assumed capacity, found 96; the count depends on the capacity per container, and the earlier assumed-capacity run of this pipeline gave 94.</w:t>
      </w:r>
    </w:p>
    <w:p>
      <w:pPr>
        <w:pStyle w:val="Heading1"/>
        <w:pageBreakBefore/>
      </w:pPr>
      <w:r>
        <w:t>5. Methodology</w:t>
      </w:r>
    </w:p>
    <w:p>
      <w:pPr>
        <w:pStyle w:val="Heading2"/>
      </w:pPr>
      <w:r>
        <w:t>5.1 Cost model</w:t>
      </w:r>
    </w:p>
    <w:p>
      <w:pPr>
        <w:spacing w:after="140" w:before="0" w:line="340" w:lineRule="auto"/>
        <w:jc w:val="both"/>
      </w:pPr>
      <w:r>
        <w:rPr/>
        <w:t xml:space="preserve">Prices were retrieved from the AWS Price List API for ap-south-1 on 2026-10-24: Lambda $0.0000167 per GB-second (tier 1) and $0.0000002 per request; EC2 t3.medium $0.0448 per hour; Fargate $0.04256 per vCPU-hour and $0.004655 per GB-hour. </w:t>
      </w:r>
      <w:r>
        <w:rPr>
          <w:b/>
        </w:rPr>
        <w:t>Azure traffic is priced with AWS prices.</w:t>
      </w:r>
      <w:r>
        <w:rPr/>
        <w:t xml:space="preserve"> Lambda memory is max(128 MB, application memory). The Lambda cost of one concurrent second is GB x price per GB-second + price per request / average duration in seconds.</w:t>
      </w:r>
    </w:p>
    <w:p>
      <w:pPr>
        <w:spacing w:after="140" w:before="0" w:line="340" w:lineRule="auto"/>
        <w:jc w:val="both"/>
      </w:pPr>
      <w:r>
        <w:rPr/>
        <w:t>Container capacity: the measured capacity of one t3.medium is 16 requests per second at the latency target (Section 7.4), which at the live service time of 0.4 s is 6.4 concurrent requests. The initial assumption was 16, so the simulator was re-run with the measured value; the Fargate figure (4 concurrent requests per 0.5 vCPU / 1 GB task) is still the assumed one because Fargate was not run live. Container cost per capacity-unit-minute is f; Lambda cost to serve one unit of load for one minute is L.</w:t>
      </w:r>
    </w:p>
    <w:p>
      <w:pPr>
        <w:pStyle w:val="Heading2"/>
      </w:pPr>
      <w:r>
        <w:t>5.2 Newsvendor rule for the base</w:t>
      </w:r>
    </w:p>
    <w:p>
      <w:pPr>
        <w:spacing w:after="140" w:before="0" w:line="340" w:lineRule="auto"/>
        <w:jc w:val="both"/>
      </w:pPr>
      <w:r>
        <w:rPr/>
        <w:t xml:space="preserve">In every minute the load c is random. A base of b capacity units costs f per unit-minute whether used or not; load above b is served by Lambda at L per unit-minute. The expected cost f b + L E[(c - b)+] is convex in b. Setting its derivative to zero gives f - L P(c &gt; b) = 0, so the optimal base is </w:t>
      </w:r>
      <w:r>
        <w:rPr>
          <w:b/>
        </w:rPr>
        <w:t>b* = F^-1(q*) with q* = 1 - f / L</w:t>
      </w:r>
      <w:r>
        <w:rPr/>
        <w:t>, the q*-quantile of the load distribution. If L &lt;= f the base is zero, because containers are never cheaper than overflow. The cost ratio therefore fixes the quantile and the forecaster only needs to supply that quantile of the next hour. This is the critical-fractile result of the newsvendor model [6].</w:t>
      </w:r>
    </w:p>
    <w:p>
      <w:pPr>
        <w:spacing w:after="140" w:before="0" w:line="340" w:lineRule="auto"/>
        <w:jc w:val="both"/>
      </w:pPr>
      <w:r>
        <w:rPr/>
        <w:t>With the measured capacity the median q* across the simulated functions is 0.49 and no function has q* = 0. A direct sweep of the quantile level on validation (Table 12) shows that the theoretical level is the cheapest of the levels tried.</w:t>
      </w:r>
    </w:p>
    <w:p>
      <w:pPr>
        <w:pStyle w:val="Heading2"/>
      </w:pPr>
      <w:r>
        <w:t>5.3 Forecaster</w:t>
      </w:r>
    </w:p>
    <w:p>
      <w:pPr>
        <w:pStyle w:val="ListParagraph"/>
        <w:spacing w:after="80" w:line="340" w:lineRule="auto"/>
        <w:ind w:left="567" w:hanging="340"/>
        <w:jc w:val="both"/>
      </w:pPr>
      <w:r>
        <w:rPr/>
        <w:t xml:space="preserve">•  </w:t>
      </w:r>
      <w:r>
        <w:rPr>
          <w:b/>
        </w:rPr>
        <w:t>Target.</w:t>
      </w:r>
      <w:r>
        <w:rPr/>
        <w:t xml:space="preserve"> At the start of each hour, for each function, the q-quantile of per-minute concurrency over the next hour, for q in {0.5, 0.7, 0.8, 0.9, 0.95, 0.99}. The base uses q* by linear interpolation between these anchors (with 0 anchored at 0).</w:t>
      </w:r>
    </w:p>
    <w:p>
      <w:pPr>
        <w:pStyle w:val="ListParagraph"/>
        <w:spacing w:after="80" w:line="340" w:lineRule="auto"/>
        <w:ind w:left="567" w:hanging="340"/>
        <w:jc w:val="both"/>
      </w:pPr>
      <w:r>
        <w:rPr/>
        <w:t xml:space="preserve">•  </w:t>
      </w:r>
      <w:r>
        <w:rPr>
          <w:b/>
        </w:rPr>
        <w:t>Model.</w:t>
      </w:r>
      <w:r>
        <w:rPr/>
        <w:t xml:space="preserve"> One global LightGBM model per quantile [7], objective quantile, trained across all simulated functions with load normalised by each function's training-period mean. Trigger type is a categorical feature. The model trains on ten sampled minutes per hour and sees training days 2-10.</w:t>
      </w:r>
    </w:p>
    <w:p>
      <w:pPr>
        <w:pStyle w:val="ListParagraph"/>
        <w:spacing w:after="80" w:line="340" w:lineRule="auto"/>
        <w:ind w:left="567" w:hanging="340"/>
        <w:jc w:val="both"/>
      </w:pPr>
      <w:r>
        <w:rPr/>
        <w:t xml:space="preserve">•  </w:t>
      </w:r>
      <w:r>
        <w:rPr>
          <w:b/>
        </w:rPr>
        <w:t>Features</w:t>
      </w:r>
      <w:r>
        <w:rPr/>
        <w:t xml:space="preserve"> (all from minutes before the decision time): mean, maximum and 90th percentile of the last 60 and last 360 minutes; mean and 90th percentile of the same hour yesterday; sine and cosine of hour of day; trigger type; log of the function's mean level.</w:t>
      </w:r>
    </w:p>
    <w:p>
      <w:pPr>
        <w:pStyle w:val="ListParagraph"/>
        <w:spacing w:after="80" w:line="340" w:lineRule="auto"/>
        <w:ind w:left="567" w:hanging="340"/>
        <w:jc w:val="both"/>
      </w:pPr>
      <w:r>
        <w:rPr/>
        <w:t xml:space="preserve">•  </w:t>
      </w:r>
      <w:r>
        <w:rPr>
          <w:b/>
        </w:rPr>
        <w:t>Safety margin.</w:t>
      </w:r>
      <w:r>
        <w:rPr/>
        <w:t xml:space="preserve"> A multiplier on the base, chosen on validation by minimising decision cost rather than error. The chosen value is 1.0, i.e. no extra margin.</w:t>
      </w:r>
    </w:p>
    <w:p>
      <w:pPr>
        <w:pStyle w:val="ListParagraph"/>
        <w:spacing w:after="80" w:line="340" w:lineRule="auto"/>
        <w:ind w:left="567" w:hanging="340"/>
        <w:jc w:val="both"/>
      </w:pPr>
      <w:r>
        <w:rPr/>
        <w:t xml:space="preserve">•  </w:t>
      </w:r>
      <w:r>
        <w:rPr>
          <w:b/>
        </w:rPr>
        <w:t>Baselines.</w:t>
      </w:r>
      <w:r>
        <w:rPr/>
        <w:t xml:space="preserve"> Persistence (quantile of the last hour), rolling 6 hours (quantile of the previous 360 minutes), seasonal naive (same hour yesterday), and a static quantile of the training period.</w:t>
      </w:r>
    </w:p>
    <w:p>
      <w:pPr>
        <w:pStyle w:val="Heading2"/>
      </w:pPr>
      <w:r>
        <w:t>5.4 Strategies compared</w:t>
      </w:r>
    </w:p>
    <w:p>
      <w:pPr>
        <w:keepNext/>
        <w:spacing w:after="80" w:before="120" w:line="276" w:lineRule="auto"/>
        <w:jc w:val="center"/>
      </w:pPr>
      <w:r>
        <w:rPr>
          <w:sz w:val="22"/>
        </w:rPr>
        <w:t>Table 3: Strategies in the simulator</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blHeader/>
        </w:trPr>
        <w:tc>
          <w:tcPr>
            <w:tcW w:type="dxa" w:w="567"/>
            <w:tcMar>
              <w:top w:w="60" w:type="dxa"/>
              <w:left w:w="100" w:type="dxa"/>
              <w:bottom w:w="60" w:type="dxa"/>
              <w:right w:w="100" w:type="dxa"/>
            </w:tcMar>
            <w:shd w:val="clear" w:color="auto" w:fill="D9D9D9"/>
          </w:tcPr>
          <w:p>
            <w:pPr>
              <w:spacing w:after="0" w:line="240" w:lineRule="auto"/>
            </w:pPr>
            <w:r>
              <w:rPr>
                <w:b/>
                <w:sz w:val="20"/>
              </w:rPr>
              <w:t>#</w:t>
            </w:r>
          </w:p>
        </w:tc>
        <w:tc>
          <w:tcPr>
            <w:tcW w:type="dxa" w:w="2268"/>
            <w:tcMar>
              <w:top w:w="60" w:type="dxa"/>
              <w:left w:w="100" w:type="dxa"/>
              <w:bottom w:w="60" w:type="dxa"/>
              <w:right w:w="100" w:type="dxa"/>
            </w:tcMar>
            <w:shd w:val="clear" w:color="auto" w:fill="D9D9D9"/>
          </w:tcPr>
          <w:p>
            <w:pPr>
              <w:spacing w:after="0" w:line="240" w:lineRule="auto"/>
            </w:pPr>
            <w:r>
              <w:rPr>
                <w:b/>
                <w:sz w:val="20"/>
              </w:rPr>
              <w:t>Strategy</w:t>
            </w:r>
          </w:p>
        </w:tc>
        <w:tc>
          <w:tcPr>
            <w:tcW w:type="dxa" w:w="6236"/>
            <w:tcMar>
              <w:top w:w="60" w:type="dxa"/>
              <w:left w:w="100" w:type="dxa"/>
              <w:bottom w:w="60" w:type="dxa"/>
              <w:right w:w="100" w:type="dxa"/>
            </w:tcMar>
            <w:shd w:val="clear" w:color="auto" w:fill="D9D9D9"/>
          </w:tcPr>
          <w:p>
            <w:pPr>
              <w:spacing w:after="0" w:line="240" w:lineRule="auto"/>
            </w:pPr>
            <w:r>
              <w:rPr>
                <w:b/>
                <w:sz w:val="20"/>
              </w:rPr>
              <w:t>Definition</w:t>
            </w:r>
          </w:p>
        </w:tc>
      </w:tr>
      <w:tr>
        <w:trPr>
          <w:cantSplit/>
        </w:trPr>
        <w:tc>
          <w:tcPr>
            <w:tcW w:type="dxa" w:w="567"/>
            <w:tcMar>
              <w:top w:w="60" w:type="dxa"/>
              <w:left w:w="100" w:type="dxa"/>
              <w:bottom w:w="60" w:type="dxa"/>
              <w:right w:w="100" w:type="dxa"/>
            </w:tcMar>
          </w:tcPr>
          <w:p>
            <w:pPr>
              <w:spacing w:after="0" w:line="240" w:lineRule="auto"/>
            </w:pPr>
            <w:r>
              <w:rPr>
                <w:sz w:val="20"/>
              </w:rPr>
              <w:t>1</w:t>
            </w:r>
          </w:p>
        </w:tc>
        <w:tc>
          <w:tcPr>
            <w:tcW w:type="dxa" w:w="2268"/>
            <w:tcMar>
              <w:top w:w="60" w:type="dxa"/>
              <w:left w:w="100" w:type="dxa"/>
              <w:bottom w:w="60" w:type="dxa"/>
              <w:right w:w="100" w:type="dxa"/>
            </w:tcMar>
          </w:tcPr>
          <w:p>
            <w:pPr>
              <w:spacing w:after="0" w:line="240" w:lineRule="auto"/>
            </w:pPr>
            <w:r>
              <w:rPr>
                <w:sz w:val="20"/>
              </w:rPr>
              <w:t>All-Lambda</w:t>
            </w:r>
          </w:p>
        </w:tc>
        <w:tc>
          <w:tcPr>
            <w:tcW w:type="dxa" w:w="6236"/>
            <w:tcMar>
              <w:top w:w="60" w:type="dxa"/>
              <w:left w:w="100" w:type="dxa"/>
              <w:bottom w:w="60" w:type="dxa"/>
              <w:right w:w="100" w:type="dxa"/>
            </w:tcMar>
          </w:tcPr>
          <w:p>
            <w:pPr>
              <w:spacing w:after="0" w:line="240" w:lineRule="auto"/>
            </w:pPr>
            <w:r>
              <w:rPr>
                <w:sz w:val="20"/>
              </w:rPr>
              <w:t>Everything on Lambda</w:t>
            </w:r>
          </w:p>
        </w:tc>
      </w:tr>
      <w:tr>
        <w:trPr>
          <w:cantSplit/>
        </w:trPr>
        <w:tc>
          <w:tcPr>
            <w:tcW w:type="dxa" w:w="567"/>
            <w:tcMar>
              <w:top w:w="60" w:type="dxa"/>
              <w:left w:w="100" w:type="dxa"/>
              <w:bottom w:w="60" w:type="dxa"/>
              <w:right w:w="100" w:type="dxa"/>
            </w:tcMar>
          </w:tcPr>
          <w:p>
            <w:pPr>
              <w:spacing w:after="0" w:line="240" w:lineRule="auto"/>
            </w:pPr>
            <w:r>
              <w:rPr>
                <w:sz w:val="20"/>
              </w:rPr>
              <w:t>2</w:t>
            </w:r>
          </w:p>
        </w:tc>
        <w:tc>
          <w:tcPr>
            <w:tcW w:type="dxa" w:w="2268"/>
            <w:tcMar>
              <w:top w:w="60" w:type="dxa"/>
              <w:left w:w="100" w:type="dxa"/>
              <w:bottom w:w="60" w:type="dxa"/>
              <w:right w:w="100" w:type="dxa"/>
            </w:tcMar>
          </w:tcPr>
          <w:p>
            <w:pPr>
              <w:spacing w:after="0" w:line="240" w:lineRule="auto"/>
            </w:pPr>
            <w:r>
              <w:rPr>
                <w:sz w:val="20"/>
              </w:rPr>
              <w:t>Peak-sized</w:t>
            </w:r>
          </w:p>
        </w:tc>
        <w:tc>
          <w:tcPr>
            <w:tcW w:type="dxa" w:w="6236"/>
            <w:tcMar>
              <w:top w:w="60" w:type="dxa"/>
              <w:left w:w="100" w:type="dxa"/>
              <w:bottom w:w="60" w:type="dxa"/>
              <w:right w:w="100" w:type="dxa"/>
            </w:tcMar>
          </w:tcPr>
          <w:p>
            <w:pPr>
              <w:spacing w:after="0" w:line="240" w:lineRule="auto"/>
            </w:pPr>
            <w:r>
              <w:rPr>
                <w:sz w:val="20"/>
              </w:rPr>
              <w:t>Containers sized to training peak x 1.2; no fallback</w:t>
            </w:r>
          </w:p>
        </w:tc>
      </w:tr>
      <w:tr>
        <w:trPr>
          <w:cantSplit/>
        </w:trPr>
        <w:tc>
          <w:tcPr>
            <w:tcW w:type="dxa" w:w="567"/>
            <w:tcMar>
              <w:top w:w="60" w:type="dxa"/>
              <w:left w:w="100" w:type="dxa"/>
              <w:bottom w:w="60" w:type="dxa"/>
              <w:right w:w="100" w:type="dxa"/>
            </w:tcMar>
          </w:tcPr>
          <w:p>
            <w:pPr>
              <w:spacing w:after="0" w:line="240" w:lineRule="auto"/>
            </w:pPr>
            <w:r>
              <w:rPr>
                <w:sz w:val="20"/>
              </w:rPr>
              <w:t>3</w:t>
            </w:r>
          </w:p>
        </w:tc>
        <w:tc>
          <w:tcPr>
            <w:tcW w:type="dxa" w:w="2268"/>
            <w:tcMar>
              <w:top w:w="60" w:type="dxa"/>
              <w:left w:w="100" w:type="dxa"/>
              <w:bottom w:w="60" w:type="dxa"/>
              <w:right w:w="100" w:type="dxa"/>
            </w:tcMar>
          </w:tcPr>
          <w:p>
            <w:pPr>
              <w:spacing w:after="0" w:line="240" w:lineRule="auto"/>
            </w:pPr>
            <w:r>
              <w:rPr>
                <w:sz w:val="20"/>
              </w:rPr>
              <w:t>Reactive</w:t>
            </w:r>
          </w:p>
        </w:tc>
        <w:tc>
          <w:tcPr>
            <w:tcW w:type="dxa" w:w="6236"/>
            <w:tcMar>
              <w:top w:w="60" w:type="dxa"/>
              <w:left w:w="100" w:type="dxa"/>
              <w:bottom w:w="60" w:type="dxa"/>
              <w:right w:w="100" w:type="dxa"/>
            </w:tcMar>
          </w:tcPr>
          <w:p>
            <w:pPr>
              <w:spacing w:after="0" w:line="240" w:lineRule="auto"/>
            </w:pPr>
            <w:r>
              <w:rPr>
                <w:sz w:val="20"/>
              </w:rPr>
              <w:t>Capacity = load seen 5 min ago / target utilisation u; u in {0.7, 0.5, 0.3, 0.2, 0.1}; no fallback</w:t>
            </w:r>
          </w:p>
        </w:tc>
      </w:tr>
      <w:tr>
        <w:trPr>
          <w:cantSplit/>
        </w:trPr>
        <w:tc>
          <w:tcPr>
            <w:tcW w:type="dxa" w:w="567"/>
            <w:tcMar>
              <w:top w:w="60" w:type="dxa"/>
              <w:left w:w="100" w:type="dxa"/>
              <w:bottom w:w="60" w:type="dxa"/>
              <w:right w:w="100" w:type="dxa"/>
            </w:tcMar>
          </w:tcPr>
          <w:p>
            <w:pPr>
              <w:spacing w:after="0" w:line="240" w:lineRule="auto"/>
            </w:pPr>
            <w:r>
              <w:rPr>
                <w:sz w:val="20"/>
              </w:rPr>
              <w:t>4</w:t>
            </w:r>
          </w:p>
        </w:tc>
        <w:tc>
          <w:tcPr>
            <w:tcW w:type="dxa" w:w="2268"/>
            <w:tcMar>
              <w:top w:w="60" w:type="dxa"/>
              <w:left w:w="100" w:type="dxa"/>
              <w:bottom w:w="60" w:type="dxa"/>
              <w:right w:w="100" w:type="dxa"/>
            </w:tcMar>
          </w:tcPr>
          <w:p>
            <w:pPr>
              <w:spacing w:after="0" w:line="240" w:lineRule="auto"/>
            </w:pPr>
            <w:r>
              <w:rPr>
                <w:sz w:val="20"/>
              </w:rPr>
              <w:t>Seasonal (emulation)</w:t>
            </w:r>
          </w:p>
        </w:tc>
        <w:tc>
          <w:tcPr>
            <w:tcW w:type="dxa" w:w="6236"/>
            <w:tcMar>
              <w:top w:w="60" w:type="dxa"/>
              <w:left w:w="100" w:type="dxa"/>
              <w:bottom w:w="60" w:type="dxa"/>
              <w:right w:w="100" w:type="dxa"/>
            </w:tcMar>
          </w:tcPr>
          <w:p>
            <w:pPr>
              <w:spacing w:after="0" w:line="240" w:lineRule="auto"/>
            </w:pPr>
            <w:r>
              <w:rPr>
                <w:sz w:val="20"/>
              </w:rPr>
              <w:t>Capacity from the same hour on the previous 3 days / u. An emulation in the style of predictive scaling, not the AWS algorithm</w:t>
            </w:r>
          </w:p>
        </w:tc>
      </w:tr>
      <w:tr>
        <w:trPr>
          <w:cantSplit/>
        </w:trPr>
        <w:tc>
          <w:tcPr>
            <w:tcW w:type="dxa" w:w="567"/>
            <w:tcMar>
              <w:top w:w="60" w:type="dxa"/>
              <w:left w:w="100" w:type="dxa"/>
              <w:bottom w:w="60" w:type="dxa"/>
              <w:right w:w="100" w:type="dxa"/>
            </w:tcMar>
          </w:tcPr>
          <w:p>
            <w:pPr>
              <w:spacing w:after="0" w:line="240" w:lineRule="auto"/>
            </w:pPr>
            <w:r>
              <w:rPr>
                <w:sz w:val="20"/>
              </w:rPr>
              <w:t>5</w:t>
            </w:r>
          </w:p>
        </w:tc>
        <w:tc>
          <w:tcPr>
            <w:tcW w:type="dxa" w:w="2268"/>
            <w:tcMar>
              <w:top w:w="60" w:type="dxa"/>
              <w:left w:w="100" w:type="dxa"/>
              <w:bottom w:w="60" w:type="dxa"/>
              <w:right w:w="100" w:type="dxa"/>
            </w:tcMar>
          </w:tcPr>
          <w:p>
            <w:pPr>
              <w:spacing w:after="0" w:line="240" w:lineRule="auto"/>
            </w:pPr>
            <w:r>
              <w:rPr>
                <w:sz w:val="20"/>
              </w:rPr>
              <w:t>Hybrid-static</w:t>
            </w:r>
          </w:p>
        </w:tc>
        <w:tc>
          <w:tcPr>
            <w:tcW w:type="dxa" w:w="6236"/>
            <w:tcMar>
              <w:top w:w="60" w:type="dxa"/>
              <w:left w:w="100" w:type="dxa"/>
              <w:bottom w:w="60" w:type="dxa"/>
              <w:right w:w="100" w:type="dxa"/>
            </w:tcMar>
          </w:tcPr>
          <w:p>
            <w:pPr>
              <w:spacing w:after="0" w:line="240" w:lineRule="auto"/>
            </w:pPr>
            <w:r>
              <w:rPr>
                <w:sz w:val="20"/>
              </w:rPr>
              <w:t>Base = q* quantile of training load, constant</w:t>
            </w:r>
          </w:p>
        </w:tc>
      </w:tr>
      <w:tr>
        <w:trPr>
          <w:cantSplit/>
        </w:trPr>
        <w:tc>
          <w:tcPr>
            <w:tcW w:type="dxa" w:w="567"/>
            <w:tcMar>
              <w:top w:w="60" w:type="dxa"/>
              <w:left w:w="100" w:type="dxa"/>
              <w:bottom w:w="60" w:type="dxa"/>
              <w:right w:w="100" w:type="dxa"/>
            </w:tcMar>
          </w:tcPr>
          <w:p>
            <w:pPr>
              <w:spacing w:after="0" w:line="240" w:lineRule="auto"/>
            </w:pPr>
            <w:r>
              <w:rPr>
                <w:sz w:val="20"/>
              </w:rPr>
              <w:t>6</w:t>
            </w:r>
          </w:p>
        </w:tc>
        <w:tc>
          <w:tcPr>
            <w:tcW w:type="dxa" w:w="2268"/>
            <w:tcMar>
              <w:top w:w="60" w:type="dxa"/>
              <w:left w:w="100" w:type="dxa"/>
              <w:bottom w:w="60" w:type="dxa"/>
              <w:right w:w="100" w:type="dxa"/>
            </w:tcMar>
          </w:tcPr>
          <w:p>
            <w:pPr>
              <w:spacing w:after="0" w:line="240" w:lineRule="auto"/>
            </w:pPr>
            <w:r>
              <w:rPr>
                <w:sz w:val="20"/>
              </w:rPr>
              <w:t>Hybrid-rolling</w:t>
            </w:r>
          </w:p>
        </w:tc>
        <w:tc>
          <w:tcPr>
            <w:tcW w:type="dxa" w:w="6236"/>
            <w:tcMar>
              <w:top w:w="60" w:type="dxa"/>
              <w:left w:w="100" w:type="dxa"/>
              <w:bottom w:w="60" w:type="dxa"/>
              <w:right w:w="100" w:type="dxa"/>
            </w:tcMar>
          </w:tcPr>
          <w:p>
            <w:pPr>
              <w:spacing w:after="0" w:line="240" w:lineRule="auto"/>
            </w:pPr>
            <w:r>
              <w:rPr>
                <w:sz w:val="20"/>
              </w:rPr>
              <w:t>Base = q* quantile of previous 6 h, reset hourly</w:t>
            </w:r>
          </w:p>
        </w:tc>
      </w:tr>
      <w:tr>
        <w:trPr>
          <w:cantSplit/>
        </w:trPr>
        <w:tc>
          <w:tcPr>
            <w:tcW w:type="dxa" w:w="567"/>
            <w:tcMar>
              <w:top w:w="60" w:type="dxa"/>
              <w:left w:w="100" w:type="dxa"/>
              <w:bottom w:w="60" w:type="dxa"/>
              <w:right w:w="100" w:type="dxa"/>
            </w:tcMar>
          </w:tcPr>
          <w:p>
            <w:pPr>
              <w:spacing w:after="0" w:line="240" w:lineRule="auto"/>
            </w:pPr>
            <w:r>
              <w:rPr>
                <w:sz w:val="20"/>
              </w:rPr>
              <w:t>7</w:t>
            </w:r>
          </w:p>
        </w:tc>
        <w:tc>
          <w:tcPr>
            <w:tcW w:type="dxa" w:w="2268"/>
            <w:tcMar>
              <w:top w:w="60" w:type="dxa"/>
              <w:left w:w="100" w:type="dxa"/>
              <w:bottom w:w="60" w:type="dxa"/>
              <w:right w:w="100" w:type="dxa"/>
            </w:tcMar>
          </w:tcPr>
          <w:p>
            <w:pPr>
              <w:spacing w:after="0" w:line="240" w:lineRule="auto"/>
            </w:pPr>
            <w:r>
              <w:rPr>
                <w:sz w:val="20"/>
              </w:rPr>
              <w:t>Hybrid-ML</w:t>
            </w:r>
          </w:p>
        </w:tc>
        <w:tc>
          <w:tcPr>
            <w:tcW w:type="dxa" w:w="6236"/>
            <w:tcMar>
              <w:top w:w="60" w:type="dxa"/>
              <w:left w:w="100" w:type="dxa"/>
              <w:bottom w:w="60" w:type="dxa"/>
              <w:right w:w="100" w:type="dxa"/>
            </w:tcMar>
          </w:tcPr>
          <w:p>
            <w:pPr>
              <w:spacing w:after="0" w:line="240" w:lineRule="auto"/>
            </w:pPr>
            <w:r>
              <w:rPr>
                <w:sz w:val="20"/>
              </w:rPr>
              <w:t>Base = LightGBM forecast at q*</w:t>
            </w:r>
          </w:p>
        </w:tc>
      </w:tr>
      <w:tr>
        <w:trPr>
          <w:cantSplit/>
        </w:trPr>
        <w:tc>
          <w:tcPr>
            <w:tcW w:type="dxa" w:w="567"/>
            <w:tcMar>
              <w:top w:w="60" w:type="dxa"/>
              <w:left w:w="100" w:type="dxa"/>
              <w:bottom w:w="60" w:type="dxa"/>
              <w:right w:w="100" w:type="dxa"/>
            </w:tcMar>
          </w:tcPr>
          <w:p>
            <w:pPr>
              <w:spacing w:after="0" w:line="240" w:lineRule="auto"/>
            </w:pPr>
            <w:r>
              <w:rPr>
                <w:sz w:val="20"/>
              </w:rPr>
              <w:t>8</w:t>
            </w:r>
          </w:p>
        </w:tc>
        <w:tc>
          <w:tcPr>
            <w:tcW w:type="dxa" w:w="2268"/>
            <w:tcMar>
              <w:top w:w="60" w:type="dxa"/>
              <w:left w:w="100" w:type="dxa"/>
              <w:bottom w:w="60" w:type="dxa"/>
              <w:right w:w="100" w:type="dxa"/>
            </w:tcMar>
          </w:tcPr>
          <w:p>
            <w:pPr>
              <w:spacing w:after="0" w:line="240" w:lineRule="auto"/>
            </w:pPr>
            <w:r>
              <w:rPr>
                <w:sz w:val="20"/>
              </w:rPr>
              <w:t>Hybrid-oracle</w:t>
            </w:r>
          </w:p>
        </w:tc>
        <w:tc>
          <w:tcPr>
            <w:tcW w:type="dxa" w:w="6236"/>
            <w:tcMar>
              <w:top w:w="60" w:type="dxa"/>
              <w:left w:w="100" w:type="dxa"/>
              <w:bottom w:w="60" w:type="dxa"/>
              <w:right w:w="100" w:type="dxa"/>
            </w:tcMar>
          </w:tcPr>
          <w:p>
            <w:pPr>
              <w:spacing w:after="0" w:line="240" w:lineRule="auto"/>
            </w:pPr>
            <w:r>
              <w:rPr>
                <w:sz w:val="20"/>
              </w:rPr>
              <w:t>Base = q* quantile of the actual hour (lower bound)</w:t>
            </w:r>
          </w:p>
        </w:tc>
      </w:tr>
    </w:tbl>
    <w:p>
      <w:pPr>
        <w:spacing w:after="120"/>
      </w:pPr>
    </w:p>
    <w:p>
      <w:pPr>
        <w:spacing w:after="140" w:before="0" w:line="340" w:lineRule="auto"/>
        <w:jc w:val="both"/>
      </w:pPr>
      <w:r>
        <w:rPr/>
        <w:t xml:space="preserve">In a hybrid, </w:t>
      </w:r>
      <w:r>
        <w:rPr>
          <w:b/>
        </w:rPr>
        <w:t>overflow</w:t>
      </w:r>
      <w:r>
        <w:rPr/>
        <w:t xml:space="preserve"> is load above base capacity and is billed on Lambda. </w:t>
      </w:r>
      <w:r>
        <w:rPr>
          <w:b/>
        </w:rPr>
        <w:t>Unserved load</w:t>
      </w:r>
      <w:r>
        <w:rPr/>
        <w:t xml:space="preserve"> is load above container capacity with no Lambda fallback; it is non-zero only for strategies 2, 3 and 4. Each strategy is priced with an EC2 base and, as an alternative, with a Fargate base.</w:t>
      </w:r>
    </w:p>
    <w:p>
      <w:pPr>
        <w:pStyle w:val="Heading1"/>
        <w:pageBreakBefore/>
      </w:pPr>
      <w:r>
        <w:t>6. System design</w:t>
      </w:r>
    </w:p>
    <w:p>
      <w:pPr>
        <w:pStyle w:val="Heading2"/>
      </w:pPr>
      <w:r>
        <w:t>6.1 Architecture</w:t>
      </w:r>
    </w:p>
    <w:p>
      <w:pPr>
        <w:spacing w:after="140" w:before="0" w:line="340" w:lineRule="auto"/>
        <w:jc w:val="both"/>
      </w:pPr>
      <w:r>
        <w:rPr/>
        <w:t>Clients send HTTP requests to an internet-facing Application Load Balancer. Its listener forwards to two target groups with weights between 0 and 999: requests are distributed in proportion to the weights [5]. tg-ec2 contains an Auto Scaling Group of t3.medium instances (the base); tg-lambda contains one Lambda function (the overflow). A local controller reads forecasts and observed load and drives both the ASG and the weights; custom metrics go to CloudWatch (Figure 1).</w:t>
      </w:r>
    </w:p>
    <w:p>
      <w:pPr>
        <w:keepNext/>
        <w:spacing w:after="80"/>
        <w:jc w:val="center"/>
      </w:pPr>
      <w:r>
        <w:drawing>
          <wp:inline xmlns:a="http://schemas.openxmlformats.org/drawingml/2006/main" xmlns:pic="http://schemas.openxmlformats.org/drawingml/2006/picture">
            <wp:extent cx="5220000" cy="2910954"/>
            <wp:docPr id="1" name="Picture 1"/>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220000" cy="2910954"/>
                    </a:xfrm>
                    <a:prstGeom prst="rect"/>
                  </pic:spPr>
                </pic:pic>
              </a:graphicData>
            </a:graphic>
          </wp:inline>
        </w:drawing>
      </w:r>
    </w:p>
    <w:p>
      <w:pPr>
        <w:spacing w:after="200" w:before="0" w:line="276" w:lineRule="auto"/>
        <w:jc w:val="center"/>
      </w:pPr>
      <w:r>
        <w:rPr>
          <w:sz w:val="22"/>
        </w:rPr>
        <w:t>Figure 1: CostScale architecture</w:t>
      </w:r>
    </w:p>
    <w:p>
      <w:pPr>
        <w:pStyle w:val="Heading2"/>
      </w:pPr>
      <w:r>
        <w:t>6.2 Two time scales</w:t>
      </w:r>
    </w:p>
    <w:p>
      <w:pPr>
        <w:spacing w:after="140" w:before="0" w:line="340" w:lineRule="auto"/>
        <w:jc w:val="both"/>
      </w:pPr>
      <w:r>
        <w:rPr/>
        <w:t>Instances need lead time, so instance count is set from a forecast, once per decision interval. Routing weights are cheap to change, so they are recomputed every minute from the observed request rate: the EC2 share is w = min(1, base capacity / observed rate), with integer weights 0-999 and the Lambda weight equal to 999 minus the EC2 weight. The base capacity used in this formula is the capacity of instances that are healthy in the target group, so traffic is never sent to an instance that is still booting.</w:t>
      </w:r>
    </w:p>
    <w:p>
      <w:pPr>
        <w:pStyle w:val="Heading2"/>
      </w:pPr>
      <w:r>
        <w:t>6.3 Controller algorithm</w:t>
      </w:r>
    </w:p>
    <w:p>
      <w:pPr>
        <w:spacing w:after="0"/>
        <w:ind w:left="340"/>
      </w:pPr>
      <w:r>
        <w:rPr>
          <w:rFonts w:ascii="Courier New" w:hAnsi="Courier New"/>
          <w:sz w:val="18"/>
        </w:rPr>
        <w:t>every decision interval (start of trace hour h):</w:t>
      </w:r>
    </w:p>
    <w:p>
      <w:pPr>
        <w:spacing w:after="0"/>
        <w:ind w:left="340"/>
      </w:pPr>
      <w:r>
        <w:rPr>
          <w:rFonts w:ascii="Courier New" w:hAnsi="Courier New"/>
          <w:sz w:val="18"/>
        </w:rPr>
        <w:t xml:space="preserve">    Q &lt;- forecast quantiles of next hour (LightGBM) ; q* &lt;- 1 - f/L</w:t>
      </w:r>
    </w:p>
    <w:p>
      <w:pPr>
        <w:spacing w:after="0"/>
        <w:ind w:left="340"/>
      </w:pPr>
      <w:r>
        <w:rPr>
          <w:rFonts w:ascii="Courier New" w:hAnsi="Courier New"/>
          <w:sz w:val="18"/>
        </w:rPr>
        <w:t xml:space="preserve">    base_rps &lt;- interp(q*, Q) ; n &lt;- ceil(base_rps / cap_per_instance)</w:t>
      </w:r>
    </w:p>
    <w:p>
      <w:pPr>
        <w:spacing w:after="0"/>
        <w:ind w:left="340"/>
      </w:pPr>
      <w:r>
        <w:rPr>
          <w:rFonts w:ascii="Courier New" w:hAnsi="Courier New"/>
          <w:sz w:val="18"/>
        </w:rPr>
        <w:t xml:space="preserve">    ASG.set_desired_capacity(n)</w:t>
      </w:r>
    </w:p>
    <w:p>
      <w:pPr>
        <w:spacing w:after="0"/>
        <w:ind w:left="340"/>
      </w:pPr>
      <w:r>
        <w:rPr>
          <w:rFonts w:ascii="Courier New" w:hAnsi="Courier New"/>
          <w:sz w:val="18"/>
        </w:rPr>
        <w:t>every tick (one trace minute):</w:t>
      </w:r>
    </w:p>
    <w:p>
      <w:pPr>
        <w:spacing w:after="0"/>
        <w:ind w:left="340"/>
      </w:pPr>
      <w:r>
        <w:rPr>
          <w:rFonts w:ascii="Courier New" w:hAnsi="Courier New"/>
          <w:sz w:val="18"/>
        </w:rPr>
        <w:t xml:space="preserve">    obs &lt;- observed request rate ; cap &lt;- healthy_instances * cap_per_instance</w:t>
      </w:r>
    </w:p>
    <w:p>
      <w:pPr>
        <w:spacing w:after="0"/>
        <w:ind w:left="340"/>
      </w:pPr>
      <w:r>
        <w:rPr>
          <w:rFonts w:ascii="Courier New" w:hAnsi="Courier New"/>
          <w:sz w:val="18"/>
        </w:rPr>
        <w:t xml:space="preserve">    w_ec2 &lt;- round(999 * min(1, cap / obs)) ; w_lambda &lt;- 999 - w_ec2</w:t>
      </w:r>
    </w:p>
    <w:p>
      <w:pPr>
        <w:spacing w:after="0"/>
        <w:ind w:left="340"/>
      </w:pPr>
      <w:r>
        <w:rPr>
          <w:rFonts w:ascii="Courier New" w:hAnsi="Courier New"/>
          <w:sz w:val="18"/>
        </w:rPr>
        <w:t xml:space="preserve">    ALB.modify_listener(weights) ; publish Forecast, Actual, BaseCapacity, Weight, RunningCost</w:t>
      </w:r>
    </w:p>
    <w:p>
      <w:pPr>
        <w:spacing w:after="80"/>
      </w:pPr>
    </w:p>
    <w:p>
      <w:pPr>
        <w:spacing w:after="140" w:before="0" w:line="340" w:lineRule="auto"/>
        <w:jc w:val="both"/>
      </w:pPr>
      <w:r>
        <w:rPr/>
        <w:t>The ALB splits by percentage and cannot send only the overflow to Lambda, so with random arrivals some requests go to EC2 when EC2 is already full and some go to Lambda when EC2 has room. The live system therefore leaks relative to the simulator; the size of this sim-to-real gap is measured in Section 8.8.</w:t>
      </w:r>
    </w:p>
    <w:p>
      <w:pPr>
        <w:pStyle w:val="Heading1"/>
        <w:pageBreakBefore/>
      </w:pPr>
      <w:r>
        <w:t>7. Implementation</w:t>
      </w:r>
    </w:p>
    <w:p>
      <w:pPr>
        <w:pStyle w:val="Heading2"/>
      </w:pPr>
      <w:r>
        <w:t>7.1 Repository and tooling</w:t>
      </w:r>
    </w:p>
    <w:p>
      <w:pPr>
        <w:spacing w:after="140" w:before="0" w:line="340" w:lineRule="auto"/>
        <w:jc w:val="both"/>
      </w:pPr>
      <w:r>
        <w:rPr/>
        <w:t xml:space="preserve">Python 3 with a virtual environment; boto3 for AWS (OpenTofu was not installed and installing it was declined, so infrastructure is created and destroyed by </w:t>
      </w:r>
      <w:r>
        <w:rPr>
          <w:rFonts w:ascii="Courier New" w:hAnsi="Courier New"/>
          <w:sz w:val="20"/>
        </w:rPr>
        <w:t>infra/up.py</w:t>
      </w:r>
      <w:r>
        <w:rPr/>
        <w:t xml:space="preserve"> and </w:t>
      </w:r>
      <w:r>
        <w:rPr>
          <w:rFonts w:ascii="Courier New" w:hAnsi="Courier New"/>
          <w:sz w:val="20"/>
        </w:rPr>
        <w:t>infra/down.py</w:t>
      </w:r>
      <w:r>
        <w:rPr/>
        <w:t xml:space="preserve">). Every AWS resource is tagged </w:t>
      </w:r>
      <w:r>
        <w:rPr>
          <w:rFonts w:ascii="Courier New" w:hAnsi="Courier New"/>
          <w:sz w:val="20"/>
        </w:rPr>
        <w:t>project=costscale</w:t>
      </w:r>
      <w:r>
        <w:rPr/>
        <w:t>; the default VPC is used; there is no NAT gateway and no RDS. AWS Budgets alerts are set at $30, $60 and $80.</w:t>
      </w:r>
    </w:p>
    <w:p>
      <w:pPr>
        <w:keepNext/>
        <w:spacing w:after="80" w:before="120" w:line="276" w:lineRule="auto"/>
        <w:jc w:val="center"/>
      </w:pPr>
      <w:r>
        <w:rPr>
          <w:sz w:val="22"/>
        </w:rPr>
        <w:t>Table 4: Repository layout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rPr>
          <w:cantSplit/>
          <w:tblHeader/>
        </w:trPr>
        <w:tc>
          <w:tcPr>
            <w:tcW w:type="dxa" w:w="2551"/>
            <w:tcMar>
              <w:top w:w="60" w:type="dxa"/>
              <w:left w:w="100" w:type="dxa"/>
              <w:bottom w:w="60" w:type="dxa"/>
              <w:right w:w="100" w:type="dxa"/>
            </w:tcMar>
            <w:shd w:val="clear" w:color="auto" w:fill="D9D9D9"/>
          </w:tcPr>
          <w:p>
            <w:pPr>
              <w:spacing w:after="0" w:line="240" w:lineRule="auto"/>
            </w:pPr>
            <w:r>
              <w:rPr>
                <w:b/>
                <w:sz w:val="20"/>
              </w:rPr>
              <w:t>Directory</w:t>
            </w:r>
          </w:p>
        </w:tc>
        <w:tc>
          <w:tcPr>
            <w:tcW w:type="dxa" w:w="6520"/>
            <w:tcMar>
              <w:top w:w="60" w:type="dxa"/>
              <w:left w:w="100" w:type="dxa"/>
              <w:bottom w:w="60" w:type="dxa"/>
              <w:right w:w="100" w:type="dxa"/>
            </w:tcMar>
            <w:shd w:val="clear" w:color="auto" w:fill="D9D9D9"/>
          </w:tcPr>
          <w:p>
            <w:pPr>
              <w:spacing w:after="0" w:line="240" w:lineRule="auto"/>
            </w:pPr>
            <w:r>
              <w:rPr>
                <w:b/>
                <w:sz w:val="20"/>
              </w:rPr>
              <w:t>Content</w:t>
            </w:r>
          </w:p>
        </w:tc>
      </w:tr>
      <w:tr>
        <w:trPr>
          <w:cantSplit/>
        </w:trPr>
        <w:tc>
          <w:tcPr>
            <w:tcW w:type="dxa" w:w="2551"/>
            <w:tcMar>
              <w:top w:w="60" w:type="dxa"/>
              <w:left w:w="100" w:type="dxa"/>
              <w:bottom w:w="60" w:type="dxa"/>
              <w:right w:w="100" w:type="dxa"/>
            </w:tcMar>
          </w:tcPr>
          <w:p>
            <w:pPr>
              <w:spacing w:after="0" w:line="240" w:lineRule="auto"/>
            </w:pPr>
            <w:r>
              <w:rPr>
                <w:sz w:val="20"/>
              </w:rPr>
              <w:t>data/</w:t>
            </w:r>
          </w:p>
        </w:tc>
        <w:tc>
          <w:tcPr>
            <w:tcW w:type="dxa" w:w="6520"/>
            <w:tcMar>
              <w:top w:w="60" w:type="dxa"/>
              <w:left w:w="100" w:type="dxa"/>
              <w:bottom w:w="60" w:type="dxa"/>
              <w:right w:w="100" w:type="dxa"/>
            </w:tcMar>
          </w:tcPr>
          <w:p>
            <w:pPr>
              <w:spacing w:after="0" w:line="240" w:lineRule="auto"/>
            </w:pPr>
            <w:r>
              <w:rPr>
                <w:sz w:val="20"/>
              </w:rPr>
              <w:t>two-pass pipeline (</w:t>
            </w:r>
            <w:r>
              <w:rPr>
                <w:rFonts w:ascii="Courier New" w:hAnsi="Courier New"/>
                <w:sz w:val="20"/>
              </w:rPr>
              <w:t>pipeline.py</w:t>
            </w:r>
            <w:r>
              <w:rPr>
                <w:sz w:val="20"/>
              </w:rPr>
              <w:t>), processed arrays (not committed)</w:t>
            </w:r>
          </w:p>
        </w:tc>
      </w:tr>
      <w:tr>
        <w:trPr>
          <w:cantSplit/>
        </w:trPr>
        <w:tc>
          <w:tcPr>
            <w:tcW w:type="dxa" w:w="2551"/>
            <w:tcMar>
              <w:top w:w="60" w:type="dxa"/>
              <w:left w:w="100" w:type="dxa"/>
              <w:bottom w:w="60" w:type="dxa"/>
              <w:right w:w="100" w:type="dxa"/>
            </w:tcMar>
          </w:tcPr>
          <w:p>
            <w:pPr>
              <w:spacing w:after="0" w:line="240" w:lineRule="auto"/>
            </w:pPr>
            <w:r>
              <w:rPr>
                <w:sz w:val="20"/>
              </w:rPr>
              <w:t>sim/</w:t>
            </w:r>
          </w:p>
        </w:tc>
        <w:tc>
          <w:tcPr>
            <w:tcW w:type="dxa" w:w="6520"/>
            <w:tcMar>
              <w:top w:w="60" w:type="dxa"/>
              <w:left w:w="100" w:type="dxa"/>
              <w:bottom w:w="60" w:type="dxa"/>
              <w:right w:w="100" w:type="dxa"/>
            </w:tcMar>
          </w:tcPr>
          <w:p>
            <w:pPr>
              <w:spacing w:after="0" w:line="240" w:lineRule="auto"/>
            </w:pPr>
            <w:r>
              <w:rPr>
                <w:sz w:val="20"/>
              </w:rPr>
              <w:t>cost model, strategies, sensitivity, newsvendor check</w:t>
            </w:r>
          </w:p>
        </w:tc>
      </w:tr>
      <w:tr>
        <w:trPr>
          <w:cantSplit/>
        </w:trPr>
        <w:tc>
          <w:tcPr>
            <w:tcW w:type="dxa" w:w="2551"/>
            <w:tcMar>
              <w:top w:w="60" w:type="dxa"/>
              <w:left w:w="100" w:type="dxa"/>
              <w:bottom w:w="60" w:type="dxa"/>
              <w:right w:w="100" w:type="dxa"/>
            </w:tcMar>
          </w:tcPr>
          <w:p>
            <w:pPr>
              <w:spacing w:after="0" w:line="240" w:lineRule="auto"/>
            </w:pPr>
            <w:r>
              <w:rPr>
                <w:sz w:val="20"/>
              </w:rPr>
              <w:t>forecast/</w:t>
            </w:r>
          </w:p>
        </w:tc>
        <w:tc>
          <w:tcPr>
            <w:tcW w:type="dxa" w:w="6520"/>
            <w:tcMar>
              <w:top w:w="60" w:type="dxa"/>
              <w:left w:w="100" w:type="dxa"/>
              <w:bottom w:w="60" w:type="dxa"/>
              <w:right w:w="100" w:type="dxa"/>
            </w:tcMar>
          </w:tcPr>
          <w:p>
            <w:pPr>
              <w:spacing w:after="0" w:line="240" w:lineRule="auto"/>
            </w:pPr>
            <w:r>
              <w:rPr>
                <w:sz w:val="20"/>
              </w:rPr>
              <w:t>features and LightGBM training, baselines, spike test</w:t>
            </w:r>
          </w:p>
        </w:tc>
      </w:tr>
      <w:tr>
        <w:trPr>
          <w:cantSplit/>
        </w:trPr>
        <w:tc>
          <w:tcPr>
            <w:tcW w:type="dxa" w:w="2551"/>
            <w:tcMar>
              <w:top w:w="60" w:type="dxa"/>
              <w:left w:w="100" w:type="dxa"/>
              <w:bottom w:w="60" w:type="dxa"/>
              <w:right w:w="100" w:type="dxa"/>
            </w:tcMar>
          </w:tcPr>
          <w:p>
            <w:pPr>
              <w:spacing w:after="0" w:line="240" w:lineRule="auto"/>
            </w:pPr>
            <w:r>
              <w:rPr>
                <w:sz w:val="20"/>
              </w:rPr>
              <w:t>infra/</w:t>
            </w:r>
          </w:p>
        </w:tc>
        <w:tc>
          <w:tcPr>
            <w:tcW w:type="dxa" w:w="6520"/>
            <w:tcMar>
              <w:top w:w="60" w:type="dxa"/>
              <w:left w:w="100" w:type="dxa"/>
              <w:bottom w:w="60" w:type="dxa"/>
              <w:right w:w="100" w:type="dxa"/>
            </w:tcMar>
          </w:tcPr>
          <w:p>
            <w:pPr>
              <w:spacing w:after="0" w:line="240" w:lineRule="auto"/>
            </w:pPr>
            <w:r>
              <w:rPr>
                <w:sz w:val="20"/>
              </w:rPr>
              <w:t>boto3 create/destroy, tag verification, spend report</w:t>
            </w:r>
          </w:p>
        </w:tc>
      </w:tr>
      <w:tr>
        <w:trPr>
          <w:cantSplit/>
        </w:trPr>
        <w:tc>
          <w:tcPr>
            <w:tcW w:type="dxa" w:w="2551"/>
            <w:tcMar>
              <w:top w:w="60" w:type="dxa"/>
              <w:left w:w="100" w:type="dxa"/>
              <w:bottom w:w="60" w:type="dxa"/>
              <w:right w:w="100" w:type="dxa"/>
            </w:tcMar>
          </w:tcPr>
          <w:p>
            <w:pPr>
              <w:spacing w:after="0" w:line="240" w:lineRule="auto"/>
            </w:pPr>
            <w:r>
              <w:rPr>
                <w:sz w:val="20"/>
              </w:rPr>
              <w:t>app/</w:t>
            </w:r>
          </w:p>
        </w:tc>
        <w:tc>
          <w:tcPr>
            <w:tcW w:type="dxa" w:w="6520"/>
            <w:tcMar>
              <w:top w:w="60" w:type="dxa"/>
              <w:left w:w="100" w:type="dxa"/>
              <w:bottom w:w="60" w:type="dxa"/>
              <w:right w:w="100" w:type="dxa"/>
            </w:tcMar>
          </w:tcPr>
          <w:p>
            <w:pPr>
              <w:spacing w:after="0" w:line="240" w:lineRule="auto"/>
            </w:pPr>
            <w:r>
              <w:rPr>
                <w:sz w:val="20"/>
              </w:rPr>
              <w:t>HTTP service and Lambda handler sharing one work module</w:t>
            </w:r>
          </w:p>
        </w:tc>
      </w:tr>
      <w:tr>
        <w:trPr>
          <w:cantSplit/>
        </w:trPr>
        <w:tc>
          <w:tcPr>
            <w:tcW w:type="dxa" w:w="2551"/>
            <w:tcMar>
              <w:top w:w="60" w:type="dxa"/>
              <w:left w:w="100" w:type="dxa"/>
              <w:bottom w:w="60" w:type="dxa"/>
              <w:right w:w="100" w:type="dxa"/>
            </w:tcMar>
          </w:tcPr>
          <w:p>
            <w:pPr>
              <w:spacing w:after="0" w:line="240" w:lineRule="auto"/>
            </w:pPr>
            <w:r>
              <w:rPr>
                <w:sz w:val="20"/>
              </w:rPr>
              <w:t>loadgen/</w:t>
            </w:r>
          </w:p>
        </w:tc>
        <w:tc>
          <w:tcPr>
            <w:tcW w:type="dxa" w:w="6520"/>
            <w:tcMar>
              <w:top w:w="60" w:type="dxa"/>
              <w:left w:w="100" w:type="dxa"/>
              <w:bottom w:w="60" w:type="dxa"/>
              <w:right w:w="100" w:type="dxa"/>
            </w:tcMar>
          </w:tcPr>
          <w:p>
            <w:pPr>
              <w:spacing w:after="0" w:line="240" w:lineRule="auto"/>
            </w:pPr>
            <w:r>
              <w:rPr>
                <w:sz w:val="20"/>
              </w:rPr>
              <w:t>calibration, workload selection, Locust file</w:t>
            </w:r>
          </w:p>
        </w:tc>
      </w:tr>
      <w:tr>
        <w:trPr>
          <w:cantSplit/>
        </w:trPr>
        <w:tc>
          <w:tcPr>
            <w:tcW w:type="dxa" w:w="2551"/>
            <w:tcMar>
              <w:top w:w="60" w:type="dxa"/>
              <w:left w:w="100" w:type="dxa"/>
              <w:bottom w:w="60" w:type="dxa"/>
              <w:right w:w="100" w:type="dxa"/>
            </w:tcMar>
          </w:tcPr>
          <w:p>
            <w:pPr>
              <w:spacing w:after="0" w:line="240" w:lineRule="auto"/>
            </w:pPr>
            <w:r>
              <w:rPr>
                <w:sz w:val="20"/>
              </w:rPr>
              <w:t>controller/</w:t>
            </w:r>
          </w:p>
        </w:tc>
        <w:tc>
          <w:tcPr>
            <w:tcW w:type="dxa" w:w="6520"/>
            <w:tcMar>
              <w:top w:w="60" w:type="dxa"/>
              <w:left w:w="100" w:type="dxa"/>
              <w:bottom w:w="60" w:type="dxa"/>
              <w:right w:w="100" w:type="dxa"/>
            </w:tcMar>
          </w:tcPr>
          <w:p>
            <w:pPr>
              <w:spacing w:after="0" w:line="240" w:lineRule="auto"/>
            </w:pPr>
            <w:r>
              <w:rPr>
                <w:sz w:val="20"/>
              </w:rPr>
              <w:t>forecast-driven controller, experiment runner, analysis</w:t>
            </w:r>
          </w:p>
        </w:tc>
      </w:tr>
      <w:tr>
        <w:trPr>
          <w:cantSplit/>
        </w:trPr>
        <w:tc>
          <w:tcPr>
            <w:tcW w:type="dxa" w:w="2551"/>
            <w:tcMar>
              <w:top w:w="60" w:type="dxa"/>
              <w:left w:w="100" w:type="dxa"/>
              <w:bottom w:w="60" w:type="dxa"/>
              <w:right w:w="100" w:type="dxa"/>
            </w:tcMar>
          </w:tcPr>
          <w:p>
            <w:pPr>
              <w:spacing w:after="0" w:line="240" w:lineRule="auto"/>
            </w:pPr>
            <w:r>
              <w:rPr>
                <w:sz w:val="20"/>
              </w:rPr>
              <w:t>results/, report/, ppt/, demo/</w:t>
            </w:r>
          </w:p>
        </w:tc>
        <w:tc>
          <w:tcPr>
            <w:tcW w:type="dxa" w:w="6520"/>
            <w:tcMar>
              <w:top w:w="60" w:type="dxa"/>
              <w:left w:w="100" w:type="dxa"/>
              <w:bottom w:w="60" w:type="dxa"/>
              <w:right w:w="100" w:type="dxa"/>
            </w:tcMar>
          </w:tcPr>
          <w:p>
            <w:pPr>
              <w:spacing w:after="0" w:line="240" w:lineRule="auto"/>
            </w:pPr>
            <w:r>
              <w:rPr>
                <w:sz w:val="20"/>
              </w:rPr>
              <w:t>outputs and deliverables</w:t>
            </w:r>
          </w:p>
        </w:tc>
      </w:tr>
    </w:tbl>
    <w:p>
      <w:pPr>
        <w:spacing w:after="120"/>
      </w:pPr>
    </w:p>
    <w:p>
      <w:pPr>
        <w:pStyle w:val="Heading2"/>
      </w:pPr>
      <w:r>
        <w:t>7.2 Application</w:t>
      </w:r>
    </w:p>
    <w:p>
      <w:pPr>
        <w:spacing w:after="140" w:before="0" w:line="340" w:lineRule="auto"/>
        <w:jc w:val="both"/>
      </w:pPr>
      <w:r>
        <w:rPr/>
        <w:t xml:space="preserve">The service exposes </w:t>
      </w:r>
      <w:r>
        <w:rPr>
          <w:rFonts w:ascii="Courier New" w:hAnsi="Courier New"/>
          <w:sz w:val="20"/>
        </w:rPr>
        <w:t>/work?ms=N&amp;cpu=C</w:t>
      </w:r>
      <w:r>
        <w:rPr/>
        <w:t>: it burns C milliseconds of calibrated single-core CPU and waits for the rest of N milliseconds, and returns the name of the backend that served it. The EC2 version is a pre-forking standard-library HTTP server with one worker per vCPU, started by user-data; the Lambda version is the same module behind an ALB handler, configured with 1769 MB. At that size a function has the equivalent of one vCPU [4]. The live request uses N = 400 ms with C = 80 ms. This is a fixed service time chosen for cost, not the trace's own average duration; the trace is replayed in rate only.</w:t>
      </w:r>
    </w:p>
    <w:p>
      <w:pPr>
        <w:pStyle w:val="Heading2"/>
      </w:pPr>
      <w:r>
        <w:t>7.3 Workload for the live demo</w:t>
      </w:r>
    </w:p>
    <w:p>
      <w:pPr>
        <w:spacing w:after="140" w:before="0" w:line="340" w:lineRule="auto"/>
        <w:jc w:val="both"/>
      </w:pPr>
      <w:r>
        <w:rPr/>
        <w:t>One heavy HTTP function with a clear daily pattern and moderate burstiness was chosen by score: the highest day-to-day correlation of its hourly profile among the heavy HTTP functions (r = 0.91) with a minute-level coefficient of variation between 0.1 and 0.6 (here 0.21). A six-hour window on day 14 with the largest rise in load was selected; the rate was scaled by a factor of 6.83 so that the peak is 28 requests per second. The window is time-compressed so that one trace hour lasts 375 seconds, which is four times the longest measured instance launch time (93.8 s); an arm therefore lasts 37.5 minutes.</w:t>
      </w:r>
    </w:p>
    <w:p>
      <w:pPr>
        <w:pStyle w:val="Heading2"/>
      </w:pPr>
      <w:r>
        <w:t>7.4 Calibration</w:t>
      </w:r>
    </w:p>
    <w:p>
      <w:pPr>
        <w:keepNext/>
        <w:spacing w:after="80" w:before="120" w:line="276" w:lineRule="auto"/>
        <w:jc w:val="center"/>
      </w:pPr>
      <w:r>
        <w:rPr>
          <w:sz w:val="22"/>
        </w:rPr>
        <w:t>Table 5: Calibration results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rPr>
          <w:cantSplit/>
          <w:tblHeader/>
        </w:trPr>
        <w:tc>
          <w:tcPr>
            <w:tcW w:type="dxa" w:w="4535"/>
            <w:tcMar>
              <w:top w:w="60" w:type="dxa"/>
              <w:left w:w="100" w:type="dxa"/>
              <w:bottom w:w="60" w:type="dxa"/>
              <w:right w:w="100" w:type="dxa"/>
            </w:tcMar>
            <w:shd w:val="clear" w:color="auto" w:fill="D9D9D9"/>
          </w:tcPr>
          <w:p>
            <w:pPr>
              <w:spacing w:after="0" w:line="240" w:lineRule="auto"/>
            </w:pPr>
            <w:r>
              <w:rPr>
                <w:b/>
                <w:sz w:val="20"/>
              </w:rPr>
              <w:t>Quantity</w:t>
            </w:r>
          </w:p>
        </w:tc>
        <w:tc>
          <w:tcPr>
            <w:tcW w:type="dxa" w:w="4535"/>
            <w:tcMar>
              <w:top w:w="60" w:type="dxa"/>
              <w:left w:w="100" w:type="dxa"/>
              <w:bottom w:w="60" w:type="dxa"/>
              <w:right w:w="100" w:type="dxa"/>
            </w:tcMar>
            <w:shd w:val="clear" w:color="auto" w:fill="D9D9D9"/>
          </w:tcPr>
          <w:p>
            <w:pPr>
              <w:spacing w:after="0" w:line="240" w:lineRule="auto"/>
            </w:pPr>
            <w:r>
              <w:rPr>
                <w:b/>
                <w:sz w:val="20"/>
              </w:rPr>
              <w:t>Measured value</w:t>
            </w:r>
          </w:p>
        </w:tc>
      </w:tr>
      <w:tr>
        <w:trPr>
          <w:cantSplit/>
        </w:trPr>
        <w:tc>
          <w:tcPr>
            <w:tcW w:type="dxa" w:w="4535"/>
            <w:tcMar>
              <w:top w:w="60" w:type="dxa"/>
              <w:left w:w="100" w:type="dxa"/>
              <w:bottom w:w="60" w:type="dxa"/>
              <w:right w:w="100" w:type="dxa"/>
            </w:tcMar>
          </w:tcPr>
          <w:p>
            <w:pPr>
              <w:spacing w:after="0" w:line="240" w:lineRule="auto"/>
            </w:pPr>
            <w:r>
              <w:rPr>
                <w:sz w:val="20"/>
              </w:rPr>
              <w:t>Sustainable rate per t3.medium (p95 &lt;= 800 ms, no errors)</w:t>
            </w:r>
          </w:p>
        </w:tc>
        <w:tc>
          <w:tcPr>
            <w:tcW w:type="dxa" w:w="4535"/>
            <w:tcMar>
              <w:top w:w="60" w:type="dxa"/>
              <w:left w:w="100" w:type="dxa"/>
              <w:bottom w:w="60" w:type="dxa"/>
              <w:right w:w="100" w:type="dxa"/>
            </w:tcMar>
          </w:tcPr>
          <w:p>
            <w:pPr>
              <w:spacing w:after="0" w:line="240" w:lineRule="auto"/>
            </w:pPr>
            <w:r>
              <w:rPr>
                <w:sz w:val="20"/>
              </w:rPr>
              <w:t>16 req/s (6.4 concurrent requests)</w:t>
            </w:r>
          </w:p>
        </w:tc>
      </w:tr>
      <w:tr>
        <w:trPr>
          <w:cantSplit/>
        </w:trPr>
        <w:tc>
          <w:tcPr>
            <w:tcW w:type="dxa" w:w="4535"/>
            <w:tcMar>
              <w:top w:w="60" w:type="dxa"/>
              <w:left w:w="100" w:type="dxa"/>
              <w:bottom w:w="60" w:type="dxa"/>
              <w:right w:w="100" w:type="dxa"/>
            </w:tcMar>
          </w:tcPr>
          <w:p>
            <w:pPr>
              <w:spacing w:after="0" w:line="240" w:lineRule="auto"/>
            </w:pPr>
            <w:r>
              <w:rPr>
                <w:sz w:val="20"/>
              </w:rPr>
              <w:t>Capacity sweep (rps: p95 ms, error rate)</w:t>
            </w:r>
          </w:p>
        </w:tc>
        <w:tc>
          <w:tcPr>
            <w:tcW w:type="dxa" w:w="4535"/>
            <w:tcMar>
              <w:top w:w="60" w:type="dxa"/>
              <w:left w:w="100" w:type="dxa"/>
              <w:bottom w:w="60" w:type="dxa"/>
              <w:right w:w="100" w:type="dxa"/>
            </w:tcMar>
          </w:tcPr>
          <w:p>
            <w:pPr>
              <w:spacing w:after="0" w:line="240" w:lineRule="auto"/>
            </w:pPr>
            <w:r>
              <w:rPr>
                <w:sz w:val="20"/>
              </w:rPr>
              <w:t>4: 543, 0%; 8: 501, 0%; 12: 480, 0%; 16: 480, 0%; 20: 9048, 15%</w:t>
            </w:r>
          </w:p>
        </w:tc>
      </w:tr>
      <w:tr>
        <w:trPr>
          <w:cantSplit/>
        </w:trPr>
        <w:tc>
          <w:tcPr>
            <w:tcW w:type="dxa" w:w="4535"/>
            <w:tcMar>
              <w:top w:w="60" w:type="dxa"/>
              <w:left w:w="100" w:type="dxa"/>
              <w:bottom w:w="60" w:type="dxa"/>
              <w:right w:w="100" w:type="dxa"/>
            </w:tcMar>
          </w:tcPr>
          <w:p>
            <w:pPr>
              <w:spacing w:after="0" w:line="240" w:lineRule="auto"/>
            </w:pPr>
            <w:r>
              <w:rPr>
                <w:sz w:val="20"/>
              </w:rPr>
              <w:t>ASG launch to healthy</w:t>
            </w:r>
          </w:p>
        </w:tc>
        <w:tc>
          <w:tcPr>
            <w:tcW w:type="dxa" w:w="4535"/>
            <w:tcMar>
              <w:top w:w="60" w:type="dxa"/>
              <w:left w:w="100" w:type="dxa"/>
              <w:bottom w:w="60" w:type="dxa"/>
              <w:right w:w="100" w:type="dxa"/>
            </w:tcMar>
          </w:tcPr>
          <w:p>
            <w:pPr>
              <w:spacing w:after="0" w:line="240" w:lineRule="auto"/>
            </w:pPr>
            <w:r>
              <w:rPr>
                <w:sz w:val="20"/>
              </w:rPr>
              <w:t>28.5 s and 31.4 s from an empty group; 93.8 s on the very first launch of an earlier run</w:t>
            </w:r>
          </w:p>
        </w:tc>
      </w:tr>
      <w:tr>
        <w:trPr>
          <w:cantSplit/>
        </w:trPr>
        <w:tc>
          <w:tcPr>
            <w:tcW w:type="dxa" w:w="4535"/>
            <w:tcMar>
              <w:top w:w="60" w:type="dxa"/>
              <w:left w:w="100" w:type="dxa"/>
              <w:bottom w:w="60" w:type="dxa"/>
              <w:right w:w="100" w:type="dxa"/>
            </w:tcMar>
          </w:tcPr>
          <w:p>
            <w:pPr>
              <w:spacing w:after="0" w:line="240" w:lineRule="auto"/>
            </w:pPr>
            <w:r>
              <w:rPr>
                <w:sz w:val="20"/>
              </w:rPr>
              <w:t>Lambda cold vs warm latency (median)</w:t>
            </w:r>
          </w:p>
        </w:tc>
        <w:tc>
          <w:tcPr>
            <w:tcW w:type="dxa" w:w="4535"/>
            <w:tcMar>
              <w:top w:w="60" w:type="dxa"/>
              <w:left w:w="100" w:type="dxa"/>
              <w:bottom w:w="60" w:type="dxa"/>
              <w:right w:w="100" w:type="dxa"/>
            </w:tcMar>
          </w:tcPr>
          <w:p>
            <w:pPr>
              <w:spacing w:after="0" w:line="240" w:lineRule="auto"/>
            </w:pPr>
            <w:r>
              <w:rPr>
                <w:sz w:val="20"/>
              </w:rPr>
              <w:t>814 ms vs 610 ms (+205 ms); n = 24 cold, 48 warm, Lambda-served only</w:t>
            </w:r>
          </w:p>
        </w:tc>
      </w:tr>
      <w:tr>
        <w:trPr>
          <w:cantSplit/>
        </w:trPr>
        <w:tc>
          <w:tcPr>
            <w:tcW w:type="dxa" w:w="4535"/>
            <w:tcMar>
              <w:top w:w="60" w:type="dxa"/>
              <w:left w:w="100" w:type="dxa"/>
              <w:bottom w:w="60" w:type="dxa"/>
              <w:right w:w="100" w:type="dxa"/>
            </w:tcMar>
          </w:tcPr>
          <w:p>
            <w:pPr>
              <w:spacing w:after="0" w:line="240" w:lineRule="auto"/>
            </w:pPr>
            <w:r>
              <w:rPr>
                <w:sz w:val="20"/>
              </w:rPr>
              <w:t>ALB weight-update propagation</w:t>
            </w:r>
          </w:p>
        </w:tc>
        <w:tc>
          <w:tcPr>
            <w:tcW w:type="dxa" w:w="4535"/>
            <w:tcMar>
              <w:top w:w="60" w:type="dxa"/>
              <w:left w:w="100" w:type="dxa"/>
              <w:bottom w:w="60" w:type="dxa"/>
              <w:right w:w="100" w:type="dxa"/>
            </w:tcMar>
          </w:tcPr>
          <w:p>
            <w:pPr>
              <w:spacing w:after="0" w:line="240" w:lineRule="auto"/>
            </w:pPr>
            <w:r>
              <w:rPr>
                <w:sz w:val="20"/>
              </w:rPr>
              <w:t>12.1, 12.9, 11.8 s (three trials)</w:t>
            </w:r>
          </w:p>
        </w:tc>
      </w:tr>
    </w:tbl>
    <w:p>
      <w:pPr>
        <w:spacing w:after="120"/>
      </w:pPr>
    </w:p>
    <w:p>
      <w:pPr>
        <w:spacing w:after="140" w:before="0" w:line="340" w:lineRule="auto"/>
        <w:jc w:val="both"/>
      </w:pPr>
      <w:r>
        <w:rPr/>
        <w:t>Two measurement problems were found and fixed during calibration, and are noted because they affect how far the numbers can be trusted. First, an initial capacity sweep showed errors at 12 requests per second that were really connection time-outs: the laptop's network address changed during the run and the load balancer's security group no longer matched it. A watchdog now keeps the security group pointed at the current address. Second, the first Lambda cold-start measurement did not wait for the load balancer's weight change to propagate (about 12 s), so cold and warm samples were mixed with EC2 responses; it was repeated with a 25 s wait and a filter that keeps only Lambda-served responses. The capacity figure comes from a coarse 4 requests-per-second grid: it is a lower bound between 16 and 20 requests per second.</w:t>
      </w:r>
    </w:p>
    <w:p>
      <w:pPr>
        <w:pStyle w:val="Heading2"/>
      </w:pPr>
      <w:r>
        <w:t>7.5 What was not run live</w:t>
      </w:r>
    </w:p>
    <w:p>
      <w:pPr>
        <w:spacing w:after="140" w:before="0" w:line="340" w:lineRule="auto"/>
        <w:jc w:val="both"/>
      </w:pPr>
      <w:r>
        <w:rPr/>
        <w:t>AWS predictive scaling [3] was not run, because it needs 24 hours of metric history before it forecasts and each experiment arm lasts under 40 minutes. The seasonal strategy in the simulator is an emulation of that style of policy, not the AWS algorithm. Fargate was priced in the simulator only.</w:t>
      </w:r>
    </w:p>
    <w:p>
      <w:pPr>
        <w:pStyle w:val="Heading1"/>
        <w:pageBreakBefore/>
      </w:pPr>
      <w:r>
        <w:t>8. Evaluation</w:t>
      </w:r>
    </w:p>
    <w:p>
      <w:pPr>
        <w:pStyle w:val="Heading2"/>
      </w:pPr>
      <w:r>
        <w:t>8.1 Set-up</w:t>
      </w:r>
    </w:p>
    <w:p>
      <w:pPr>
        <w:spacing w:after="140" w:before="0" w:line="340" w:lineRule="auto"/>
        <w:jc w:val="both"/>
      </w:pPr>
      <w:r>
        <w:rPr/>
        <w:t>Simulation results are for the 101 heavy functions, test days 13-14 scaled to 30 days, with the EC2 base and the measured capacity, unless stated. Costs are in US dollars at AWS ap-south-1 prices with Azure traffic. Test data were touched once for the final comparison; the quantile level, margin and all strategy parameters were chosen or fixed on validation. The sweeps over u for strategies 3 and 4 are reported in full rather than selecting one value.</w:t>
      </w:r>
    </w:p>
    <w:p>
      <w:pPr>
        <w:pStyle w:val="Heading2"/>
      </w:pPr>
      <w:r>
        <w:t>8.2 Prediction accuracy</w:t>
      </w:r>
    </w:p>
    <w:p>
      <w:pPr>
        <w:spacing w:after="140" w:before="0" w:line="340" w:lineRule="auto"/>
        <w:jc w:val="both"/>
      </w:pPr>
      <w:r>
        <w:rPr/>
        <w:t>Accuracy is reported on test days, normalised by each function's training mean. Pinball loss is computed against the 60 per-minute values of each forecast hour; coverage is the share of minutes at or below the forecast.</w:t>
      </w:r>
    </w:p>
    <w:p>
      <w:pPr>
        <w:keepNext/>
        <w:spacing w:after="80" w:before="120" w:line="276" w:lineRule="auto"/>
        <w:jc w:val="center"/>
      </w:pPr>
      <w:r>
        <w:rPr>
          <w:sz w:val="22"/>
        </w:rPr>
        <w:t>Table 6: Pinball loss on test (normalised; lower is better)</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4"/>
        <w:gridCol w:w="1504"/>
        <w:gridCol w:w="1504"/>
        <w:gridCol w:w="1504"/>
        <w:gridCol w:w="1504"/>
        <w:gridCol w:w="1504"/>
      </w:tblGrid>
      <w:tr>
        <w:trPr>
          <w:cantSplit/>
          <w:tblHeader/>
        </w:trPr>
        <w:tc>
          <w:tcPr>
            <w:tcW w:type="dxa" w:w="907"/>
            <w:tcMar>
              <w:top w:w="60" w:type="dxa"/>
              <w:left w:w="100" w:type="dxa"/>
              <w:bottom w:w="60" w:type="dxa"/>
              <w:right w:w="100" w:type="dxa"/>
            </w:tcMar>
            <w:shd w:val="clear" w:color="auto" w:fill="D9D9D9"/>
          </w:tcPr>
          <w:p>
            <w:pPr>
              <w:spacing w:after="0" w:line="240" w:lineRule="auto"/>
            </w:pPr>
            <w:r>
              <w:rPr>
                <w:b/>
                <w:sz w:val="20"/>
              </w:rPr>
              <w:t>q</w:t>
            </w:r>
          </w:p>
        </w:tc>
        <w:tc>
          <w:tcPr>
            <w:tcW w:type="dxa" w:w="1587"/>
            <w:tcMar>
              <w:top w:w="60" w:type="dxa"/>
              <w:left w:w="100" w:type="dxa"/>
              <w:bottom w:w="60" w:type="dxa"/>
              <w:right w:w="100" w:type="dxa"/>
            </w:tcMar>
            <w:shd w:val="clear" w:color="auto" w:fill="D9D9D9"/>
          </w:tcPr>
          <w:p>
            <w:pPr>
              <w:spacing w:after="0" w:line="240" w:lineRule="auto"/>
            </w:pPr>
            <w:r>
              <w:rPr>
                <w:b/>
                <w:sz w:val="20"/>
              </w:rPr>
              <w:t>LightGBM</w:t>
            </w:r>
          </w:p>
        </w:tc>
        <w:tc>
          <w:tcPr>
            <w:tcW w:type="dxa" w:w="1587"/>
            <w:tcMar>
              <w:top w:w="60" w:type="dxa"/>
              <w:left w:w="100" w:type="dxa"/>
              <w:bottom w:w="60" w:type="dxa"/>
              <w:right w:w="100" w:type="dxa"/>
            </w:tcMar>
            <w:shd w:val="clear" w:color="auto" w:fill="D9D9D9"/>
          </w:tcPr>
          <w:p>
            <w:pPr>
              <w:spacing w:after="0" w:line="240" w:lineRule="auto"/>
            </w:pPr>
            <w:r>
              <w:rPr>
                <w:b/>
                <w:sz w:val="20"/>
              </w:rPr>
              <w:t>Persistence</w:t>
            </w:r>
          </w:p>
        </w:tc>
        <w:tc>
          <w:tcPr>
            <w:tcW w:type="dxa" w:w="1587"/>
            <w:tcMar>
              <w:top w:w="60" w:type="dxa"/>
              <w:left w:w="100" w:type="dxa"/>
              <w:bottom w:w="60" w:type="dxa"/>
              <w:right w:w="100" w:type="dxa"/>
            </w:tcMar>
            <w:shd w:val="clear" w:color="auto" w:fill="D9D9D9"/>
          </w:tcPr>
          <w:p>
            <w:pPr>
              <w:spacing w:after="0" w:line="240" w:lineRule="auto"/>
            </w:pPr>
            <w:r>
              <w:rPr>
                <w:b/>
                <w:sz w:val="20"/>
              </w:rPr>
              <w:t>Rolling 6 h</w:t>
            </w:r>
          </w:p>
        </w:tc>
        <w:tc>
          <w:tcPr>
            <w:tcW w:type="dxa" w:w="1701"/>
            <w:tcMar>
              <w:top w:w="60" w:type="dxa"/>
              <w:left w:w="100" w:type="dxa"/>
              <w:bottom w:w="60" w:type="dxa"/>
              <w:right w:w="100" w:type="dxa"/>
            </w:tcMar>
            <w:shd w:val="clear" w:color="auto" w:fill="D9D9D9"/>
          </w:tcPr>
          <w:p>
            <w:pPr>
              <w:spacing w:after="0" w:line="240" w:lineRule="auto"/>
            </w:pPr>
            <w:r>
              <w:rPr>
                <w:b/>
                <w:sz w:val="20"/>
              </w:rPr>
              <w:t>Seasonal naive</w:t>
            </w:r>
          </w:p>
        </w:tc>
        <w:tc>
          <w:tcPr>
            <w:tcW w:type="dxa" w:w="1587"/>
            <w:tcMar>
              <w:top w:w="60" w:type="dxa"/>
              <w:left w:w="100" w:type="dxa"/>
              <w:bottom w:w="60" w:type="dxa"/>
              <w:right w:w="100" w:type="dxa"/>
            </w:tcMar>
            <w:shd w:val="clear" w:color="auto" w:fill="D9D9D9"/>
          </w:tcPr>
          <w:p>
            <w:pPr>
              <w:spacing w:after="0" w:line="240" w:lineRule="auto"/>
            </w:pPr>
            <w:r>
              <w:rPr>
                <w:b/>
                <w:sz w:val="20"/>
              </w:rPr>
              <w:t>Static train</w:t>
            </w:r>
          </w:p>
        </w:tc>
      </w:tr>
      <w:tr>
        <w:trPr>
          <w:cantSplit/>
        </w:trPr>
        <w:tc>
          <w:tcPr>
            <w:tcW w:type="dxa" w:w="907"/>
            <w:tcMar>
              <w:top w:w="60" w:type="dxa"/>
              <w:left w:w="100" w:type="dxa"/>
              <w:bottom w:w="60" w:type="dxa"/>
              <w:right w:w="100" w:type="dxa"/>
            </w:tcMar>
          </w:tcPr>
          <w:p>
            <w:pPr>
              <w:spacing w:after="0" w:line="240" w:lineRule="auto"/>
            </w:pPr>
            <w:r>
              <w:rPr>
                <w:sz w:val="20"/>
              </w:rPr>
              <w:t>0.5</w:t>
            </w:r>
          </w:p>
        </w:tc>
        <w:tc>
          <w:tcPr>
            <w:tcW w:type="dxa" w:w="1587"/>
            <w:tcMar>
              <w:top w:w="60" w:type="dxa"/>
              <w:left w:w="100" w:type="dxa"/>
              <w:bottom w:w="60" w:type="dxa"/>
              <w:right w:w="100" w:type="dxa"/>
            </w:tcMar>
          </w:tcPr>
          <w:p>
            <w:pPr>
              <w:spacing w:after="0" w:line="240" w:lineRule="auto"/>
              <w:jc w:val="right"/>
            </w:pPr>
            <w:r>
              <w:rPr>
                <w:sz w:val="20"/>
              </w:rPr>
              <w:t>0.231</w:t>
            </w:r>
          </w:p>
        </w:tc>
        <w:tc>
          <w:tcPr>
            <w:tcW w:type="dxa" w:w="1587"/>
            <w:tcMar>
              <w:top w:w="60" w:type="dxa"/>
              <w:left w:w="100" w:type="dxa"/>
              <w:bottom w:w="60" w:type="dxa"/>
              <w:right w:w="100" w:type="dxa"/>
            </w:tcMar>
          </w:tcPr>
          <w:p>
            <w:pPr>
              <w:spacing w:after="0" w:line="240" w:lineRule="auto"/>
              <w:jc w:val="right"/>
            </w:pPr>
            <w:r>
              <w:rPr>
                <w:sz w:val="20"/>
              </w:rPr>
              <w:t>0.211</w:t>
            </w:r>
          </w:p>
        </w:tc>
        <w:tc>
          <w:tcPr>
            <w:tcW w:type="dxa" w:w="1587"/>
            <w:tcMar>
              <w:top w:w="60" w:type="dxa"/>
              <w:left w:w="100" w:type="dxa"/>
              <w:bottom w:w="60" w:type="dxa"/>
              <w:right w:w="100" w:type="dxa"/>
            </w:tcMar>
          </w:tcPr>
          <w:p>
            <w:pPr>
              <w:spacing w:after="0" w:line="240" w:lineRule="auto"/>
              <w:jc w:val="right"/>
            </w:pPr>
            <w:r>
              <w:rPr>
                <w:sz w:val="20"/>
              </w:rPr>
              <w:t>0.248</w:t>
            </w:r>
          </w:p>
        </w:tc>
        <w:tc>
          <w:tcPr>
            <w:tcW w:type="dxa" w:w="1701"/>
            <w:tcMar>
              <w:top w:w="60" w:type="dxa"/>
              <w:left w:w="100" w:type="dxa"/>
              <w:bottom w:w="60" w:type="dxa"/>
              <w:right w:w="100" w:type="dxa"/>
            </w:tcMar>
          </w:tcPr>
          <w:p>
            <w:pPr>
              <w:spacing w:after="0" w:line="240" w:lineRule="auto"/>
              <w:jc w:val="right"/>
            </w:pPr>
            <w:r>
              <w:rPr>
                <w:sz w:val="20"/>
              </w:rPr>
              <w:t>0.277</w:t>
            </w:r>
          </w:p>
        </w:tc>
        <w:tc>
          <w:tcPr>
            <w:tcW w:type="dxa" w:w="1587"/>
            <w:tcMar>
              <w:top w:w="60" w:type="dxa"/>
              <w:left w:w="100" w:type="dxa"/>
              <w:bottom w:w="60" w:type="dxa"/>
              <w:right w:w="100" w:type="dxa"/>
            </w:tcMar>
          </w:tcPr>
          <w:p>
            <w:pPr>
              <w:spacing w:after="0" w:line="240" w:lineRule="auto"/>
              <w:jc w:val="right"/>
            </w:pPr>
            <w:r>
              <w:rPr>
                <w:sz w:val="20"/>
              </w:rPr>
              <w:t>0.323</w:t>
            </w:r>
          </w:p>
        </w:tc>
      </w:tr>
      <w:tr>
        <w:trPr>
          <w:cantSplit/>
        </w:trPr>
        <w:tc>
          <w:tcPr>
            <w:tcW w:type="dxa" w:w="907"/>
            <w:tcMar>
              <w:top w:w="60" w:type="dxa"/>
              <w:left w:w="100" w:type="dxa"/>
              <w:bottom w:w="60" w:type="dxa"/>
              <w:right w:w="100" w:type="dxa"/>
            </w:tcMar>
          </w:tcPr>
          <w:p>
            <w:pPr>
              <w:spacing w:after="0" w:line="240" w:lineRule="auto"/>
            </w:pPr>
            <w:r>
              <w:rPr>
                <w:sz w:val="20"/>
              </w:rPr>
              <w:t>0.7</w:t>
            </w:r>
          </w:p>
        </w:tc>
        <w:tc>
          <w:tcPr>
            <w:tcW w:type="dxa" w:w="1587"/>
            <w:tcMar>
              <w:top w:w="60" w:type="dxa"/>
              <w:left w:w="100" w:type="dxa"/>
              <w:bottom w:w="60" w:type="dxa"/>
              <w:right w:w="100" w:type="dxa"/>
            </w:tcMar>
          </w:tcPr>
          <w:p>
            <w:pPr>
              <w:spacing w:after="0" w:line="240" w:lineRule="auto"/>
              <w:jc w:val="right"/>
            </w:pPr>
            <w:r>
              <w:rPr>
                <w:sz w:val="20"/>
              </w:rPr>
              <w:t>0.244</w:t>
            </w:r>
          </w:p>
        </w:tc>
        <w:tc>
          <w:tcPr>
            <w:tcW w:type="dxa" w:w="1587"/>
            <w:tcMar>
              <w:top w:w="60" w:type="dxa"/>
              <w:left w:w="100" w:type="dxa"/>
              <w:bottom w:w="60" w:type="dxa"/>
              <w:right w:w="100" w:type="dxa"/>
            </w:tcMar>
          </w:tcPr>
          <w:p>
            <w:pPr>
              <w:spacing w:after="0" w:line="240" w:lineRule="auto"/>
              <w:jc w:val="right"/>
            </w:pPr>
            <w:r>
              <w:rPr>
                <w:sz w:val="20"/>
              </w:rPr>
              <w:t>0.246</w:t>
            </w:r>
          </w:p>
        </w:tc>
        <w:tc>
          <w:tcPr>
            <w:tcW w:type="dxa" w:w="1587"/>
            <w:tcMar>
              <w:top w:w="60" w:type="dxa"/>
              <w:left w:w="100" w:type="dxa"/>
              <w:bottom w:w="60" w:type="dxa"/>
              <w:right w:w="100" w:type="dxa"/>
            </w:tcMar>
          </w:tcPr>
          <w:p>
            <w:pPr>
              <w:spacing w:after="0" w:line="240" w:lineRule="auto"/>
              <w:jc w:val="right"/>
            </w:pPr>
            <w:r>
              <w:rPr>
                <w:sz w:val="20"/>
              </w:rPr>
              <w:t>0.274</w:t>
            </w:r>
          </w:p>
        </w:tc>
        <w:tc>
          <w:tcPr>
            <w:tcW w:type="dxa" w:w="1701"/>
            <w:tcMar>
              <w:top w:w="60" w:type="dxa"/>
              <w:left w:w="100" w:type="dxa"/>
              <w:bottom w:w="60" w:type="dxa"/>
              <w:right w:w="100" w:type="dxa"/>
            </w:tcMar>
          </w:tcPr>
          <w:p>
            <w:pPr>
              <w:spacing w:after="0" w:line="240" w:lineRule="auto"/>
              <w:jc w:val="right"/>
            </w:pPr>
            <w:r>
              <w:rPr>
                <w:sz w:val="20"/>
              </w:rPr>
              <w:t>0.302</w:t>
            </w:r>
          </w:p>
        </w:tc>
        <w:tc>
          <w:tcPr>
            <w:tcW w:type="dxa" w:w="1587"/>
            <w:tcMar>
              <w:top w:w="60" w:type="dxa"/>
              <w:left w:w="100" w:type="dxa"/>
              <w:bottom w:w="60" w:type="dxa"/>
              <w:right w:w="100" w:type="dxa"/>
            </w:tcMar>
          </w:tcPr>
          <w:p>
            <w:pPr>
              <w:spacing w:after="0" w:line="240" w:lineRule="auto"/>
              <w:jc w:val="right"/>
            </w:pPr>
            <w:r>
              <w:rPr>
                <w:sz w:val="20"/>
              </w:rPr>
              <w:t>0.388</w:t>
            </w:r>
          </w:p>
        </w:tc>
      </w:tr>
      <w:tr>
        <w:trPr>
          <w:cantSplit/>
        </w:trPr>
        <w:tc>
          <w:tcPr>
            <w:tcW w:type="dxa" w:w="907"/>
            <w:tcMar>
              <w:top w:w="60" w:type="dxa"/>
              <w:left w:w="100" w:type="dxa"/>
              <w:bottom w:w="60" w:type="dxa"/>
              <w:right w:w="100" w:type="dxa"/>
            </w:tcMar>
          </w:tcPr>
          <w:p>
            <w:pPr>
              <w:spacing w:after="0" w:line="240" w:lineRule="auto"/>
            </w:pPr>
            <w:r>
              <w:rPr>
                <w:sz w:val="20"/>
              </w:rPr>
              <w:t>0.8</w:t>
            </w:r>
          </w:p>
        </w:tc>
        <w:tc>
          <w:tcPr>
            <w:tcW w:type="dxa" w:w="1587"/>
            <w:tcMar>
              <w:top w:w="60" w:type="dxa"/>
              <w:left w:w="100" w:type="dxa"/>
              <w:bottom w:w="60" w:type="dxa"/>
              <w:right w:w="100" w:type="dxa"/>
            </w:tcMar>
          </w:tcPr>
          <w:p>
            <w:pPr>
              <w:spacing w:after="0" w:line="240" w:lineRule="auto"/>
              <w:jc w:val="right"/>
            </w:pPr>
            <w:r>
              <w:rPr>
                <w:sz w:val="20"/>
              </w:rPr>
              <w:t>0.228</w:t>
            </w:r>
          </w:p>
        </w:tc>
        <w:tc>
          <w:tcPr>
            <w:tcW w:type="dxa" w:w="1587"/>
            <w:tcMar>
              <w:top w:w="60" w:type="dxa"/>
              <w:left w:w="100" w:type="dxa"/>
              <w:bottom w:w="60" w:type="dxa"/>
              <w:right w:w="100" w:type="dxa"/>
            </w:tcMar>
          </w:tcPr>
          <w:p>
            <w:pPr>
              <w:spacing w:after="0" w:line="240" w:lineRule="auto"/>
              <w:jc w:val="right"/>
            </w:pPr>
            <w:r>
              <w:rPr>
                <w:sz w:val="20"/>
              </w:rPr>
              <w:t>0.246</w:t>
            </w:r>
          </w:p>
        </w:tc>
        <w:tc>
          <w:tcPr>
            <w:tcW w:type="dxa" w:w="1587"/>
            <w:tcMar>
              <w:top w:w="60" w:type="dxa"/>
              <w:left w:w="100" w:type="dxa"/>
              <w:bottom w:w="60" w:type="dxa"/>
              <w:right w:w="100" w:type="dxa"/>
            </w:tcMar>
          </w:tcPr>
          <w:p>
            <w:pPr>
              <w:spacing w:after="0" w:line="240" w:lineRule="auto"/>
              <w:jc w:val="right"/>
            </w:pPr>
            <w:r>
              <w:rPr>
                <w:sz w:val="20"/>
              </w:rPr>
              <w:t>0.264</w:t>
            </w:r>
          </w:p>
        </w:tc>
        <w:tc>
          <w:tcPr>
            <w:tcW w:type="dxa" w:w="1701"/>
            <w:tcMar>
              <w:top w:w="60" w:type="dxa"/>
              <w:left w:w="100" w:type="dxa"/>
              <w:bottom w:w="60" w:type="dxa"/>
              <w:right w:w="100" w:type="dxa"/>
            </w:tcMar>
          </w:tcPr>
          <w:p>
            <w:pPr>
              <w:spacing w:after="0" w:line="240" w:lineRule="auto"/>
              <w:jc w:val="right"/>
            </w:pPr>
            <w:r>
              <w:rPr>
                <w:sz w:val="20"/>
              </w:rPr>
              <w:t>0.287</w:t>
            </w:r>
          </w:p>
        </w:tc>
        <w:tc>
          <w:tcPr>
            <w:tcW w:type="dxa" w:w="1587"/>
            <w:tcMar>
              <w:top w:w="60" w:type="dxa"/>
              <w:left w:w="100" w:type="dxa"/>
              <w:bottom w:w="60" w:type="dxa"/>
              <w:right w:w="100" w:type="dxa"/>
            </w:tcMar>
          </w:tcPr>
          <w:p>
            <w:pPr>
              <w:spacing w:after="0" w:line="240" w:lineRule="auto"/>
              <w:jc w:val="right"/>
            </w:pPr>
            <w:r>
              <w:rPr>
                <w:sz w:val="20"/>
              </w:rPr>
              <w:t>0.387</w:t>
            </w:r>
          </w:p>
        </w:tc>
      </w:tr>
      <w:tr>
        <w:trPr>
          <w:cantSplit/>
        </w:trPr>
        <w:tc>
          <w:tcPr>
            <w:tcW w:type="dxa" w:w="907"/>
            <w:tcMar>
              <w:top w:w="60" w:type="dxa"/>
              <w:left w:w="100" w:type="dxa"/>
              <w:bottom w:w="60" w:type="dxa"/>
              <w:right w:w="100" w:type="dxa"/>
            </w:tcMar>
          </w:tcPr>
          <w:p>
            <w:pPr>
              <w:spacing w:after="0" w:line="240" w:lineRule="auto"/>
            </w:pPr>
            <w:r>
              <w:rPr>
                <w:sz w:val="20"/>
              </w:rPr>
              <w:t>0.9</w:t>
            </w:r>
          </w:p>
        </w:tc>
        <w:tc>
          <w:tcPr>
            <w:tcW w:type="dxa" w:w="1587"/>
            <w:tcMar>
              <w:top w:w="60" w:type="dxa"/>
              <w:left w:w="100" w:type="dxa"/>
              <w:bottom w:w="60" w:type="dxa"/>
              <w:right w:w="100" w:type="dxa"/>
            </w:tcMar>
          </w:tcPr>
          <w:p>
            <w:pPr>
              <w:spacing w:after="0" w:line="240" w:lineRule="auto"/>
              <w:jc w:val="right"/>
            </w:pPr>
            <w:r>
              <w:rPr>
                <w:sz w:val="20"/>
              </w:rPr>
              <w:t>0.186</w:t>
            </w:r>
          </w:p>
        </w:tc>
        <w:tc>
          <w:tcPr>
            <w:tcW w:type="dxa" w:w="1587"/>
            <w:tcMar>
              <w:top w:w="60" w:type="dxa"/>
              <w:left w:w="100" w:type="dxa"/>
              <w:bottom w:w="60" w:type="dxa"/>
              <w:right w:w="100" w:type="dxa"/>
            </w:tcMar>
          </w:tcPr>
          <w:p>
            <w:pPr>
              <w:spacing w:after="0" w:line="240" w:lineRule="auto"/>
              <w:jc w:val="right"/>
            </w:pPr>
            <w:r>
              <w:rPr>
                <w:sz w:val="20"/>
              </w:rPr>
              <w:t>0.210</w:t>
            </w:r>
          </w:p>
        </w:tc>
        <w:tc>
          <w:tcPr>
            <w:tcW w:type="dxa" w:w="1587"/>
            <w:tcMar>
              <w:top w:w="60" w:type="dxa"/>
              <w:left w:w="100" w:type="dxa"/>
              <w:bottom w:w="60" w:type="dxa"/>
              <w:right w:w="100" w:type="dxa"/>
            </w:tcMar>
          </w:tcPr>
          <w:p>
            <w:pPr>
              <w:spacing w:after="0" w:line="240" w:lineRule="auto"/>
              <w:jc w:val="right"/>
            </w:pPr>
            <w:r>
              <w:rPr>
                <w:sz w:val="20"/>
              </w:rPr>
              <w:t>0.218</w:t>
            </w:r>
          </w:p>
        </w:tc>
        <w:tc>
          <w:tcPr>
            <w:tcW w:type="dxa" w:w="1701"/>
            <w:tcMar>
              <w:top w:w="60" w:type="dxa"/>
              <w:left w:w="100" w:type="dxa"/>
              <w:bottom w:w="60" w:type="dxa"/>
              <w:right w:w="100" w:type="dxa"/>
            </w:tcMar>
          </w:tcPr>
          <w:p>
            <w:pPr>
              <w:spacing w:after="0" w:line="240" w:lineRule="auto"/>
              <w:jc w:val="right"/>
            </w:pPr>
            <w:r>
              <w:rPr>
                <w:sz w:val="20"/>
              </w:rPr>
              <w:t>0.241</w:t>
            </w:r>
          </w:p>
        </w:tc>
        <w:tc>
          <w:tcPr>
            <w:tcW w:type="dxa" w:w="1587"/>
            <w:tcMar>
              <w:top w:w="60" w:type="dxa"/>
              <w:left w:w="100" w:type="dxa"/>
              <w:bottom w:w="60" w:type="dxa"/>
              <w:right w:w="100" w:type="dxa"/>
            </w:tcMar>
          </w:tcPr>
          <w:p>
            <w:pPr>
              <w:spacing w:after="0" w:line="240" w:lineRule="auto"/>
              <w:jc w:val="right"/>
            </w:pPr>
            <w:r>
              <w:rPr>
                <w:sz w:val="20"/>
              </w:rPr>
              <w:t>0.340</w:t>
            </w:r>
          </w:p>
        </w:tc>
      </w:tr>
      <w:tr>
        <w:trPr>
          <w:cantSplit/>
        </w:trPr>
        <w:tc>
          <w:tcPr>
            <w:tcW w:type="dxa" w:w="907"/>
            <w:tcMar>
              <w:top w:w="60" w:type="dxa"/>
              <w:left w:w="100" w:type="dxa"/>
              <w:bottom w:w="60" w:type="dxa"/>
              <w:right w:w="100" w:type="dxa"/>
            </w:tcMar>
          </w:tcPr>
          <w:p>
            <w:pPr>
              <w:spacing w:after="0" w:line="240" w:lineRule="auto"/>
            </w:pPr>
            <w:r>
              <w:rPr>
                <w:sz w:val="20"/>
              </w:rPr>
              <w:t>0.95</w:t>
            </w:r>
          </w:p>
        </w:tc>
        <w:tc>
          <w:tcPr>
            <w:tcW w:type="dxa" w:w="1587"/>
            <w:tcMar>
              <w:top w:w="60" w:type="dxa"/>
              <w:left w:w="100" w:type="dxa"/>
              <w:bottom w:w="60" w:type="dxa"/>
              <w:right w:w="100" w:type="dxa"/>
            </w:tcMar>
          </w:tcPr>
          <w:p>
            <w:pPr>
              <w:spacing w:after="0" w:line="240" w:lineRule="auto"/>
              <w:jc w:val="right"/>
            </w:pPr>
            <w:r>
              <w:rPr>
                <w:sz w:val="20"/>
              </w:rPr>
              <w:t>0.145</w:t>
            </w:r>
          </w:p>
        </w:tc>
        <w:tc>
          <w:tcPr>
            <w:tcW w:type="dxa" w:w="1587"/>
            <w:tcMar>
              <w:top w:w="60" w:type="dxa"/>
              <w:left w:w="100" w:type="dxa"/>
              <w:bottom w:w="60" w:type="dxa"/>
              <w:right w:w="100" w:type="dxa"/>
            </w:tcMar>
          </w:tcPr>
          <w:p>
            <w:pPr>
              <w:spacing w:after="0" w:line="240" w:lineRule="auto"/>
              <w:jc w:val="right"/>
            </w:pPr>
            <w:r>
              <w:rPr>
                <w:sz w:val="20"/>
              </w:rPr>
              <w:t>0.172</w:t>
            </w:r>
          </w:p>
        </w:tc>
        <w:tc>
          <w:tcPr>
            <w:tcW w:type="dxa" w:w="1587"/>
            <w:tcMar>
              <w:top w:w="60" w:type="dxa"/>
              <w:left w:w="100" w:type="dxa"/>
              <w:bottom w:w="60" w:type="dxa"/>
              <w:right w:w="100" w:type="dxa"/>
            </w:tcMar>
          </w:tcPr>
          <w:p>
            <w:pPr>
              <w:spacing w:after="0" w:line="240" w:lineRule="auto"/>
              <w:jc w:val="right"/>
            </w:pPr>
            <w:r>
              <w:rPr>
                <w:sz w:val="20"/>
              </w:rPr>
              <w:t>0.177</w:t>
            </w:r>
          </w:p>
        </w:tc>
        <w:tc>
          <w:tcPr>
            <w:tcW w:type="dxa" w:w="1701"/>
            <w:tcMar>
              <w:top w:w="60" w:type="dxa"/>
              <w:left w:w="100" w:type="dxa"/>
              <w:bottom w:w="60" w:type="dxa"/>
              <w:right w:w="100" w:type="dxa"/>
            </w:tcMar>
          </w:tcPr>
          <w:p>
            <w:pPr>
              <w:spacing w:after="0" w:line="240" w:lineRule="auto"/>
              <w:jc w:val="right"/>
            </w:pPr>
            <w:r>
              <w:rPr>
                <w:sz w:val="20"/>
              </w:rPr>
              <w:t>0.198</w:t>
            </w:r>
          </w:p>
        </w:tc>
        <w:tc>
          <w:tcPr>
            <w:tcW w:type="dxa" w:w="1587"/>
            <w:tcMar>
              <w:top w:w="60" w:type="dxa"/>
              <w:left w:w="100" w:type="dxa"/>
              <w:bottom w:w="60" w:type="dxa"/>
              <w:right w:w="100" w:type="dxa"/>
            </w:tcMar>
          </w:tcPr>
          <w:p>
            <w:pPr>
              <w:spacing w:after="0" w:line="240" w:lineRule="auto"/>
              <w:jc w:val="right"/>
            </w:pPr>
            <w:r>
              <w:rPr>
                <w:sz w:val="20"/>
              </w:rPr>
              <w:t>0.274</w:t>
            </w:r>
          </w:p>
        </w:tc>
      </w:tr>
      <w:tr>
        <w:trPr>
          <w:cantSplit/>
        </w:trPr>
        <w:tc>
          <w:tcPr>
            <w:tcW w:type="dxa" w:w="907"/>
            <w:tcMar>
              <w:top w:w="60" w:type="dxa"/>
              <w:left w:w="100" w:type="dxa"/>
              <w:bottom w:w="60" w:type="dxa"/>
              <w:right w:w="100" w:type="dxa"/>
            </w:tcMar>
          </w:tcPr>
          <w:p>
            <w:pPr>
              <w:spacing w:after="0" w:line="240" w:lineRule="auto"/>
            </w:pPr>
            <w:r>
              <w:rPr>
                <w:sz w:val="20"/>
              </w:rPr>
              <w:t>0.99</w:t>
            </w:r>
          </w:p>
        </w:tc>
        <w:tc>
          <w:tcPr>
            <w:tcW w:type="dxa" w:w="1587"/>
            <w:tcMar>
              <w:top w:w="60" w:type="dxa"/>
              <w:left w:w="100" w:type="dxa"/>
              <w:bottom w:w="60" w:type="dxa"/>
              <w:right w:w="100" w:type="dxa"/>
            </w:tcMar>
          </w:tcPr>
          <w:p>
            <w:pPr>
              <w:spacing w:after="0" w:line="240" w:lineRule="auto"/>
              <w:jc w:val="right"/>
            </w:pPr>
            <w:r>
              <w:rPr>
                <w:sz w:val="20"/>
              </w:rPr>
              <w:t>0.058</w:t>
            </w:r>
          </w:p>
        </w:tc>
        <w:tc>
          <w:tcPr>
            <w:tcW w:type="dxa" w:w="1587"/>
            <w:tcMar>
              <w:top w:w="60" w:type="dxa"/>
              <w:left w:w="100" w:type="dxa"/>
              <w:bottom w:w="60" w:type="dxa"/>
              <w:right w:w="100" w:type="dxa"/>
            </w:tcMar>
          </w:tcPr>
          <w:p>
            <w:pPr>
              <w:spacing w:after="0" w:line="240" w:lineRule="auto"/>
              <w:jc w:val="right"/>
            </w:pPr>
            <w:r>
              <w:rPr>
                <w:sz w:val="20"/>
              </w:rPr>
              <w:t>0.105</w:t>
            </w:r>
          </w:p>
        </w:tc>
        <w:tc>
          <w:tcPr>
            <w:tcW w:type="dxa" w:w="1587"/>
            <w:tcMar>
              <w:top w:w="60" w:type="dxa"/>
              <w:left w:w="100" w:type="dxa"/>
              <w:bottom w:w="60" w:type="dxa"/>
              <w:right w:w="100" w:type="dxa"/>
            </w:tcMar>
          </w:tcPr>
          <w:p>
            <w:pPr>
              <w:spacing w:after="0" w:line="240" w:lineRule="auto"/>
              <w:jc w:val="right"/>
            </w:pPr>
            <w:r>
              <w:rPr>
                <w:sz w:val="20"/>
              </w:rPr>
              <w:t>0.089</w:t>
            </w:r>
          </w:p>
        </w:tc>
        <w:tc>
          <w:tcPr>
            <w:tcW w:type="dxa" w:w="1701"/>
            <w:tcMar>
              <w:top w:w="60" w:type="dxa"/>
              <w:left w:w="100" w:type="dxa"/>
              <w:bottom w:w="60" w:type="dxa"/>
              <w:right w:w="100" w:type="dxa"/>
            </w:tcMar>
          </w:tcPr>
          <w:p>
            <w:pPr>
              <w:spacing w:after="0" w:line="240" w:lineRule="auto"/>
              <w:jc w:val="right"/>
            </w:pPr>
            <w:r>
              <w:rPr>
                <w:sz w:val="20"/>
              </w:rPr>
              <w:t>0.126</w:t>
            </w:r>
          </w:p>
        </w:tc>
        <w:tc>
          <w:tcPr>
            <w:tcW w:type="dxa" w:w="1587"/>
            <w:tcMar>
              <w:top w:w="60" w:type="dxa"/>
              <w:left w:w="100" w:type="dxa"/>
              <w:bottom w:w="60" w:type="dxa"/>
              <w:right w:w="100" w:type="dxa"/>
            </w:tcMar>
          </w:tcPr>
          <w:p>
            <w:pPr>
              <w:spacing w:after="0" w:line="240" w:lineRule="auto"/>
              <w:jc w:val="right"/>
            </w:pPr>
            <w:r>
              <w:rPr>
                <w:sz w:val="20"/>
              </w:rPr>
              <w:t>0.142</w:t>
            </w:r>
          </w:p>
        </w:tc>
      </w:tr>
    </w:tbl>
    <w:p>
      <w:pPr>
        <w:spacing w:after="120"/>
      </w:pPr>
    </w:p>
    <w:p>
      <w:pPr>
        <w:keepNext/>
        <w:spacing w:after="80" w:before="120" w:line="276" w:lineRule="auto"/>
        <w:jc w:val="center"/>
      </w:pPr>
      <w:r>
        <w:rPr>
          <w:sz w:val="22"/>
        </w:rPr>
        <w:t>Table 7: Coverage on test (ideal equals q)</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4"/>
        <w:gridCol w:w="1504"/>
        <w:gridCol w:w="1504"/>
        <w:gridCol w:w="1504"/>
        <w:gridCol w:w="1504"/>
        <w:gridCol w:w="1504"/>
      </w:tblGrid>
      <w:tr>
        <w:trPr>
          <w:cantSplit/>
          <w:tblHeader/>
        </w:trPr>
        <w:tc>
          <w:tcPr>
            <w:tcW w:type="dxa" w:w="907"/>
            <w:tcMar>
              <w:top w:w="60" w:type="dxa"/>
              <w:left w:w="100" w:type="dxa"/>
              <w:bottom w:w="60" w:type="dxa"/>
              <w:right w:w="100" w:type="dxa"/>
            </w:tcMar>
            <w:shd w:val="clear" w:color="auto" w:fill="D9D9D9"/>
          </w:tcPr>
          <w:p>
            <w:pPr>
              <w:spacing w:after="0" w:line="240" w:lineRule="auto"/>
            </w:pPr>
            <w:r>
              <w:rPr>
                <w:b/>
                <w:sz w:val="20"/>
              </w:rPr>
              <w:t>q</w:t>
            </w:r>
          </w:p>
        </w:tc>
        <w:tc>
          <w:tcPr>
            <w:tcW w:type="dxa" w:w="1587"/>
            <w:tcMar>
              <w:top w:w="60" w:type="dxa"/>
              <w:left w:w="100" w:type="dxa"/>
              <w:bottom w:w="60" w:type="dxa"/>
              <w:right w:w="100" w:type="dxa"/>
            </w:tcMar>
            <w:shd w:val="clear" w:color="auto" w:fill="D9D9D9"/>
          </w:tcPr>
          <w:p>
            <w:pPr>
              <w:spacing w:after="0" w:line="240" w:lineRule="auto"/>
            </w:pPr>
            <w:r>
              <w:rPr>
                <w:b/>
                <w:sz w:val="20"/>
              </w:rPr>
              <w:t>LightGBM</w:t>
            </w:r>
          </w:p>
        </w:tc>
        <w:tc>
          <w:tcPr>
            <w:tcW w:type="dxa" w:w="1587"/>
            <w:tcMar>
              <w:top w:w="60" w:type="dxa"/>
              <w:left w:w="100" w:type="dxa"/>
              <w:bottom w:w="60" w:type="dxa"/>
              <w:right w:w="100" w:type="dxa"/>
            </w:tcMar>
            <w:shd w:val="clear" w:color="auto" w:fill="D9D9D9"/>
          </w:tcPr>
          <w:p>
            <w:pPr>
              <w:spacing w:after="0" w:line="240" w:lineRule="auto"/>
            </w:pPr>
            <w:r>
              <w:rPr>
                <w:b/>
                <w:sz w:val="20"/>
              </w:rPr>
              <w:t>Persistence</w:t>
            </w:r>
          </w:p>
        </w:tc>
        <w:tc>
          <w:tcPr>
            <w:tcW w:type="dxa" w:w="1587"/>
            <w:tcMar>
              <w:top w:w="60" w:type="dxa"/>
              <w:left w:w="100" w:type="dxa"/>
              <w:bottom w:w="60" w:type="dxa"/>
              <w:right w:w="100" w:type="dxa"/>
            </w:tcMar>
            <w:shd w:val="clear" w:color="auto" w:fill="D9D9D9"/>
          </w:tcPr>
          <w:p>
            <w:pPr>
              <w:spacing w:after="0" w:line="240" w:lineRule="auto"/>
            </w:pPr>
            <w:r>
              <w:rPr>
                <w:b/>
                <w:sz w:val="20"/>
              </w:rPr>
              <w:t>Rolling 6 h</w:t>
            </w:r>
          </w:p>
        </w:tc>
        <w:tc>
          <w:tcPr>
            <w:tcW w:type="dxa" w:w="1701"/>
            <w:tcMar>
              <w:top w:w="60" w:type="dxa"/>
              <w:left w:w="100" w:type="dxa"/>
              <w:bottom w:w="60" w:type="dxa"/>
              <w:right w:w="100" w:type="dxa"/>
            </w:tcMar>
            <w:shd w:val="clear" w:color="auto" w:fill="D9D9D9"/>
          </w:tcPr>
          <w:p>
            <w:pPr>
              <w:spacing w:after="0" w:line="240" w:lineRule="auto"/>
            </w:pPr>
            <w:r>
              <w:rPr>
                <w:b/>
                <w:sz w:val="20"/>
              </w:rPr>
              <w:t>Seasonal naive</w:t>
            </w:r>
          </w:p>
        </w:tc>
        <w:tc>
          <w:tcPr>
            <w:tcW w:type="dxa" w:w="1587"/>
            <w:tcMar>
              <w:top w:w="60" w:type="dxa"/>
              <w:left w:w="100" w:type="dxa"/>
              <w:bottom w:w="60" w:type="dxa"/>
              <w:right w:w="100" w:type="dxa"/>
            </w:tcMar>
            <w:shd w:val="clear" w:color="auto" w:fill="D9D9D9"/>
          </w:tcPr>
          <w:p>
            <w:pPr>
              <w:spacing w:after="0" w:line="240" w:lineRule="auto"/>
            </w:pPr>
            <w:r>
              <w:rPr>
                <w:b/>
                <w:sz w:val="20"/>
              </w:rPr>
              <w:t>Static train</w:t>
            </w:r>
          </w:p>
        </w:tc>
      </w:tr>
      <w:tr>
        <w:trPr>
          <w:cantSplit/>
        </w:trPr>
        <w:tc>
          <w:tcPr>
            <w:tcW w:type="dxa" w:w="907"/>
            <w:tcMar>
              <w:top w:w="60" w:type="dxa"/>
              <w:left w:w="100" w:type="dxa"/>
              <w:bottom w:w="60" w:type="dxa"/>
              <w:right w:w="100" w:type="dxa"/>
            </w:tcMar>
          </w:tcPr>
          <w:p>
            <w:pPr>
              <w:spacing w:after="0" w:line="240" w:lineRule="auto"/>
            </w:pPr>
            <w:r>
              <w:rPr>
                <w:sz w:val="20"/>
              </w:rPr>
              <w:t>0.5</w:t>
            </w:r>
          </w:p>
        </w:tc>
        <w:tc>
          <w:tcPr>
            <w:tcW w:type="dxa" w:w="1587"/>
            <w:tcMar>
              <w:top w:w="60" w:type="dxa"/>
              <w:left w:w="100" w:type="dxa"/>
              <w:bottom w:w="60" w:type="dxa"/>
              <w:right w:w="100" w:type="dxa"/>
            </w:tcMar>
          </w:tcPr>
          <w:p>
            <w:pPr>
              <w:spacing w:after="0" w:line="240" w:lineRule="auto"/>
              <w:jc w:val="right"/>
            </w:pPr>
            <w:r>
              <w:rPr>
                <w:sz w:val="20"/>
              </w:rPr>
              <w:t>0.573</w:t>
            </w:r>
          </w:p>
        </w:tc>
        <w:tc>
          <w:tcPr>
            <w:tcW w:type="dxa" w:w="1587"/>
            <w:tcMar>
              <w:top w:w="60" w:type="dxa"/>
              <w:left w:w="100" w:type="dxa"/>
              <w:bottom w:w="60" w:type="dxa"/>
              <w:right w:w="100" w:type="dxa"/>
            </w:tcMar>
          </w:tcPr>
          <w:p>
            <w:pPr>
              <w:spacing w:after="0" w:line="240" w:lineRule="auto"/>
              <w:jc w:val="right"/>
            </w:pPr>
            <w:r>
              <w:rPr>
                <w:sz w:val="20"/>
              </w:rPr>
              <w:t>0.614</w:t>
            </w:r>
          </w:p>
        </w:tc>
        <w:tc>
          <w:tcPr>
            <w:tcW w:type="dxa" w:w="1587"/>
            <w:tcMar>
              <w:top w:w="60" w:type="dxa"/>
              <w:left w:w="100" w:type="dxa"/>
              <w:bottom w:w="60" w:type="dxa"/>
              <w:right w:w="100" w:type="dxa"/>
            </w:tcMar>
          </w:tcPr>
          <w:p>
            <w:pPr>
              <w:spacing w:after="0" w:line="240" w:lineRule="auto"/>
              <w:jc w:val="right"/>
            </w:pPr>
            <w:r>
              <w:rPr>
                <w:sz w:val="20"/>
              </w:rPr>
              <w:t>0.607</w:t>
            </w:r>
          </w:p>
        </w:tc>
        <w:tc>
          <w:tcPr>
            <w:tcW w:type="dxa" w:w="1701"/>
            <w:tcMar>
              <w:top w:w="60" w:type="dxa"/>
              <w:left w:w="100" w:type="dxa"/>
              <w:bottom w:w="60" w:type="dxa"/>
              <w:right w:w="100" w:type="dxa"/>
            </w:tcMar>
          </w:tcPr>
          <w:p>
            <w:pPr>
              <w:spacing w:after="0" w:line="240" w:lineRule="auto"/>
              <w:jc w:val="right"/>
            </w:pPr>
            <w:r>
              <w:rPr>
                <w:sz w:val="20"/>
              </w:rPr>
              <w:t>0.614</w:t>
            </w:r>
          </w:p>
        </w:tc>
        <w:tc>
          <w:tcPr>
            <w:tcW w:type="dxa" w:w="1587"/>
            <w:tcMar>
              <w:top w:w="60" w:type="dxa"/>
              <w:left w:w="100" w:type="dxa"/>
              <w:bottom w:w="60" w:type="dxa"/>
              <w:right w:w="100" w:type="dxa"/>
            </w:tcMar>
          </w:tcPr>
          <w:p>
            <w:pPr>
              <w:spacing w:after="0" w:line="240" w:lineRule="auto"/>
              <w:jc w:val="right"/>
            </w:pPr>
            <w:r>
              <w:rPr>
                <w:sz w:val="20"/>
              </w:rPr>
              <w:t>0.647</w:t>
            </w:r>
          </w:p>
        </w:tc>
      </w:tr>
      <w:tr>
        <w:trPr>
          <w:cantSplit/>
        </w:trPr>
        <w:tc>
          <w:tcPr>
            <w:tcW w:type="dxa" w:w="907"/>
            <w:tcMar>
              <w:top w:w="60" w:type="dxa"/>
              <w:left w:w="100" w:type="dxa"/>
              <w:bottom w:w="60" w:type="dxa"/>
              <w:right w:w="100" w:type="dxa"/>
            </w:tcMar>
          </w:tcPr>
          <w:p>
            <w:pPr>
              <w:spacing w:after="0" w:line="240" w:lineRule="auto"/>
            </w:pPr>
            <w:r>
              <w:rPr>
                <w:sz w:val="20"/>
              </w:rPr>
              <w:t>0.7</w:t>
            </w:r>
          </w:p>
        </w:tc>
        <w:tc>
          <w:tcPr>
            <w:tcW w:type="dxa" w:w="1587"/>
            <w:tcMar>
              <w:top w:w="60" w:type="dxa"/>
              <w:left w:w="100" w:type="dxa"/>
              <w:bottom w:w="60" w:type="dxa"/>
              <w:right w:w="100" w:type="dxa"/>
            </w:tcMar>
          </w:tcPr>
          <w:p>
            <w:pPr>
              <w:spacing w:after="0" w:line="240" w:lineRule="auto"/>
              <w:jc w:val="right"/>
            </w:pPr>
            <w:r>
              <w:rPr>
                <w:sz w:val="20"/>
              </w:rPr>
              <w:t>0.737</w:t>
            </w:r>
          </w:p>
        </w:tc>
        <w:tc>
          <w:tcPr>
            <w:tcW w:type="dxa" w:w="1587"/>
            <w:tcMar>
              <w:top w:w="60" w:type="dxa"/>
              <w:left w:w="100" w:type="dxa"/>
              <w:bottom w:w="60" w:type="dxa"/>
              <w:right w:w="100" w:type="dxa"/>
            </w:tcMar>
          </w:tcPr>
          <w:p>
            <w:pPr>
              <w:spacing w:after="0" w:line="240" w:lineRule="auto"/>
              <w:jc w:val="right"/>
            </w:pPr>
            <w:r>
              <w:rPr>
                <w:sz w:val="20"/>
              </w:rPr>
              <w:t>0.730</w:t>
            </w:r>
          </w:p>
        </w:tc>
        <w:tc>
          <w:tcPr>
            <w:tcW w:type="dxa" w:w="1587"/>
            <w:tcMar>
              <w:top w:w="60" w:type="dxa"/>
              <w:left w:w="100" w:type="dxa"/>
              <w:bottom w:w="60" w:type="dxa"/>
              <w:right w:w="100" w:type="dxa"/>
            </w:tcMar>
          </w:tcPr>
          <w:p>
            <w:pPr>
              <w:spacing w:after="0" w:line="240" w:lineRule="auto"/>
              <w:jc w:val="right"/>
            </w:pPr>
            <w:r>
              <w:rPr>
                <w:sz w:val="20"/>
              </w:rPr>
              <w:t>0.727</w:t>
            </w:r>
          </w:p>
        </w:tc>
        <w:tc>
          <w:tcPr>
            <w:tcW w:type="dxa" w:w="1701"/>
            <w:tcMar>
              <w:top w:w="60" w:type="dxa"/>
              <w:left w:w="100" w:type="dxa"/>
              <w:bottom w:w="60" w:type="dxa"/>
              <w:right w:w="100" w:type="dxa"/>
            </w:tcMar>
          </w:tcPr>
          <w:p>
            <w:pPr>
              <w:spacing w:after="0" w:line="240" w:lineRule="auto"/>
              <w:jc w:val="right"/>
            </w:pPr>
            <w:r>
              <w:rPr>
                <w:sz w:val="20"/>
              </w:rPr>
              <w:t>0.716</w:t>
            </w:r>
          </w:p>
        </w:tc>
        <w:tc>
          <w:tcPr>
            <w:tcW w:type="dxa" w:w="1587"/>
            <w:tcMar>
              <w:top w:w="60" w:type="dxa"/>
              <w:left w:w="100" w:type="dxa"/>
              <w:bottom w:w="60" w:type="dxa"/>
              <w:right w:w="100" w:type="dxa"/>
            </w:tcMar>
          </w:tcPr>
          <w:p>
            <w:pPr>
              <w:spacing w:after="0" w:line="240" w:lineRule="auto"/>
              <w:jc w:val="right"/>
            </w:pPr>
            <w:r>
              <w:rPr>
                <w:sz w:val="20"/>
              </w:rPr>
              <w:t>0.769</w:t>
            </w:r>
          </w:p>
        </w:tc>
      </w:tr>
      <w:tr>
        <w:trPr>
          <w:cantSplit/>
        </w:trPr>
        <w:tc>
          <w:tcPr>
            <w:tcW w:type="dxa" w:w="907"/>
            <w:tcMar>
              <w:top w:w="60" w:type="dxa"/>
              <w:left w:w="100" w:type="dxa"/>
              <w:bottom w:w="60" w:type="dxa"/>
              <w:right w:w="100" w:type="dxa"/>
            </w:tcMar>
          </w:tcPr>
          <w:p>
            <w:pPr>
              <w:spacing w:after="0" w:line="240" w:lineRule="auto"/>
            </w:pPr>
            <w:r>
              <w:rPr>
                <w:sz w:val="20"/>
              </w:rPr>
              <w:t>0.8</w:t>
            </w:r>
          </w:p>
        </w:tc>
        <w:tc>
          <w:tcPr>
            <w:tcW w:type="dxa" w:w="1587"/>
            <w:tcMar>
              <w:top w:w="60" w:type="dxa"/>
              <w:left w:w="100" w:type="dxa"/>
              <w:bottom w:w="60" w:type="dxa"/>
              <w:right w:w="100" w:type="dxa"/>
            </w:tcMar>
          </w:tcPr>
          <w:p>
            <w:pPr>
              <w:spacing w:after="0" w:line="240" w:lineRule="auto"/>
              <w:jc w:val="right"/>
            </w:pPr>
            <w:r>
              <w:rPr>
                <w:sz w:val="20"/>
              </w:rPr>
              <w:t>0.832</w:t>
            </w:r>
          </w:p>
        </w:tc>
        <w:tc>
          <w:tcPr>
            <w:tcW w:type="dxa" w:w="1587"/>
            <w:tcMar>
              <w:top w:w="60" w:type="dxa"/>
              <w:left w:w="100" w:type="dxa"/>
              <w:bottom w:w="60" w:type="dxa"/>
              <w:right w:w="100" w:type="dxa"/>
            </w:tcMar>
          </w:tcPr>
          <w:p>
            <w:pPr>
              <w:spacing w:after="0" w:line="240" w:lineRule="auto"/>
              <w:jc w:val="right"/>
            </w:pPr>
            <w:r>
              <w:rPr>
                <w:sz w:val="20"/>
              </w:rPr>
              <w:t>0.792</w:t>
            </w:r>
          </w:p>
        </w:tc>
        <w:tc>
          <w:tcPr>
            <w:tcW w:type="dxa" w:w="1587"/>
            <w:tcMar>
              <w:top w:w="60" w:type="dxa"/>
              <w:left w:w="100" w:type="dxa"/>
              <w:bottom w:w="60" w:type="dxa"/>
              <w:right w:w="100" w:type="dxa"/>
            </w:tcMar>
          </w:tcPr>
          <w:p>
            <w:pPr>
              <w:spacing w:after="0" w:line="240" w:lineRule="auto"/>
              <w:jc w:val="right"/>
            </w:pPr>
            <w:r>
              <w:rPr>
                <w:sz w:val="20"/>
              </w:rPr>
              <w:t>0.791</w:t>
            </w:r>
          </w:p>
        </w:tc>
        <w:tc>
          <w:tcPr>
            <w:tcW w:type="dxa" w:w="1701"/>
            <w:tcMar>
              <w:top w:w="60" w:type="dxa"/>
              <w:left w:w="100" w:type="dxa"/>
              <w:bottom w:w="60" w:type="dxa"/>
              <w:right w:w="100" w:type="dxa"/>
            </w:tcMar>
          </w:tcPr>
          <w:p>
            <w:pPr>
              <w:spacing w:after="0" w:line="240" w:lineRule="auto"/>
              <w:jc w:val="right"/>
            </w:pPr>
            <w:r>
              <w:rPr>
                <w:sz w:val="20"/>
              </w:rPr>
              <w:t>0.769</w:t>
            </w:r>
          </w:p>
        </w:tc>
        <w:tc>
          <w:tcPr>
            <w:tcW w:type="dxa" w:w="1587"/>
            <w:tcMar>
              <w:top w:w="60" w:type="dxa"/>
              <w:left w:w="100" w:type="dxa"/>
              <w:bottom w:w="60" w:type="dxa"/>
              <w:right w:w="100" w:type="dxa"/>
            </w:tcMar>
          </w:tcPr>
          <w:p>
            <w:pPr>
              <w:spacing w:after="0" w:line="240" w:lineRule="auto"/>
              <w:jc w:val="right"/>
            </w:pPr>
            <w:r>
              <w:rPr>
                <w:sz w:val="20"/>
              </w:rPr>
              <w:t>0.832</w:t>
            </w:r>
          </w:p>
        </w:tc>
      </w:tr>
      <w:tr>
        <w:trPr>
          <w:cantSplit/>
        </w:trPr>
        <w:tc>
          <w:tcPr>
            <w:tcW w:type="dxa" w:w="907"/>
            <w:tcMar>
              <w:top w:w="60" w:type="dxa"/>
              <w:left w:w="100" w:type="dxa"/>
              <w:bottom w:w="60" w:type="dxa"/>
              <w:right w:w="100" w:type="dxa"/>
            </w:tcMar>
          </w:tcPr>
          <w:p>
            <w:pPr>
              <w:spacing w:after="0" w:line="240" w:lineRule="auto"/>
            </w:pPr>
            <w:r>
              <w:rPr>
                <w:sz w:val="20"/>
              </w:rPr>
              <w:t>0.9</w:t>
            </w:r>
          </w:p>
        </w:tc>
        <w:tc>
          <w:tcPr>
            <w:tcW w:type="dxa" w:w="1587"/>
            <w:tcMar>
              <w:top w:w="60" w:type="dxa"/>
              <w:left w:w="100" w:type="dxa"/>
              <w:bottom w:w="60" w:type="dxa"/>
              <w:right w:w="100" w:type="dxa"/>
            </w:tcMar>
          </w:tcPr>
          <w:p>
            <w:pPr>
              <w:spacing w:after="0" w:line="240" w:lineRule="auto"/>
              <w:jc w:val="right"/>
            </w:pPr>
            <w:r>
              <w:rPr>
                <w:sz w:val="20"/>
              </w:rPr>
              <w:t>0.915</w:t>
            </w:r>
          </w:p>
        </w:tc>
        <w:tc>
          <w:tcPr>
            <w:tcW w:type="dxa" w:w="1587"/>
            <w:tcMar>
              <w:top w:w="60" w:type="dxa"/>
              <w:left w:w="100" w:type="dxa"/>
              <w:bottom w:w="60" w:type="dxa"/>
              <w:right w:w="100" w:type="dxa"/>
            </w:tcMar>
          </w:tcPr>
          <w:p>
            <w:pPr>
              <w:spacing w:after="0" w:line="240" w:lineRule="auto"/>
              <w:jc w:val="right"/>
            </w:pPr>
            <w:r>
              <w:rPr>
                <w:sz w:val="20"/>
              </w:rPr>
              <w:t>0.859</w:t>
            </w:r>
          </w:p>
        </w:tc>
        <w:tc>
          <w:tcPr>
            <w:tcW w:type="dxa" w:w="1587"/>
            <w:tcMar>
              <w:top w:w="60" w:type="dxa"/>
              <w:left w:w="100" w:type="dxa"/>
              <w:bottom w:w="60" w:type="dxa"/>
              <w:right w:w="100" w:type="dxa"/>
            </w:tcMar>
          </w:tcPr>
          <w:p>
            <w:pPr>
              <w:spacing w:after="0" w:line="240" w:lineRule="auto"/>
              <w:jc w:val="right"/>
            </w:pPr>
            <w:r>
              <w:rPr>
                <w:sz w:val="20"/>
              </w:rPr>
              <w:t>0.862</w:t>
            </w:r>
          </w:p>
        </w:tc>
        <w:tc>
          <w:tcPr>
            <w:tcW w:type="dxa" w:w="1701"/>
            <w:tcMar>
              <w:top w:w="60" w:type="dxa"/>
              <w:left w:w="100" w:type="dxa"/>
              <w:bottom w:w="60" w:type="dxa"/>
              <w:right w:w="100" w:type="dxa"/>
            </w:tcMar>
          </w:tcPr>
          <w:p>
            <w:pPr>
              <w:spacing w:after="0" w:line="240" w:lineRule="auto"/>
              <w:jc w:val="right"/>
            </w:pPr>
            <w:r>
              <w:rPr>
                <w:sz w:val="20"/>
              </w:rPr>
              <w:t>0.825</w:t>
            </w:r>
          </w:p>
        </w:tc>
        <w:tc>
          <w:tcPr>
            <w:tcW w:type="dxa" w:w="1587"/>
            <w:tcMar>
              <w:top w:w="60" w:type="dxa"/>
              <w:left w:w="100" w:type="dxa"/>
              <w:bottom w:w="60" w:type="dxa"/>
              <w:right w:w="100" w:type="dxa"/>
            </w:tcMar>
          </w:tcPr>
          <w:p>
            <w:pPr>
              <w:spacing w:after="0" w:line="240" w:lineRule="auto"/>
              <w:jc w:val="right"/>
            </w:pPr>
            <w:r>
              <w:rPr>
                <w:sz w:val="20"/>
              </w:rPr>
              <w:t>0.888</w:t>
            </w:r>
          </w:p>
        </w:tc>
      </w:tr>
      <w:tr>
        <w:trPr>
          <w:cantSplit/>
        </w:trPr>
        <w:tc>
          <w:tcPr>
            <w:tcW w:type="dxa" w:w="907"/>
            <w:tcMar>
              <w:top w:w="60" w:type="dxa"/>
              <w:left w:w="100" w:type="dxa"/>
              <w:bottom w:w="60" w:type="dxa"/>
              <w:right w:w="100" w:type="dxa"/>
            </w:tcMar>
          </w:tcPr>
          <w:p>
            <w:pPr>
              <w:spacing w:after="0" w:line="240" w:lineRule="auto"/>
            </w:pPr>
            <w:r>
              <w:rPr>
                <w:sz w:val="20"/>
              </w:rPr>
              <w:t>0.95</w:t>
            </w:r>
          </w:p>
        </w:tc>
        <w:tc>
          <w:tcPr>
            <w:tcW w:type="dxa" w:w="1587"/>
            <w:tcMar>
              <w:top w:w="60" w:type="dxa"/>
              <w:left w:w="100" w:type="dxa"/>
              <w:bottom w:w="60" w:type="dxa"/>
              <w:right w:w="100" w:type="dxa"/>
            </w:tcMar>
          </w:tcPr>
          <w:p>
            <w:pPr>
              <w:spacing w:after="0" w:line="240" w:lineRule="auto"/>
              <w:jc w:val="right"/>
            </w:pPr>
            <w:r>
              <w:rPr>
                <w:sz w:val="20"/>
              </w:rPr>
              <w:t>0.958</w:t>
            </w:r>
          </w:p>
        </w:tc>
        <w:tc>
          <w:tcPr>
            <w:tcW w:type="dxa" w:w="1587"/>
            <w:tcMar>
              <w:top w:w="60" w:type="dxa"/>
              <w:left w:w="100" w:type="dxa"/>
              <w:bottom w:w="60" w:type="dxa"/>
              <w:right w:w="100" w:type="dxa"/>
            </w:tcMar>
          </w:tcPr>
          <w:p>
            <w:pPr>
              <w:spacing w:after="0" w:line="240" w:lineRule="auto"/>
              <w:jc w:val="right"/>
            </w:pPr>
            <w:r>
              <w:rPr>
                <w:sz w:val="20"/>
              </w:rPr>
              <w:t>0.897</w:t>
            </w:r>
          </w:p>
        </w:tc>
        <w:tc>
          <w:tcPr>
            <w:tcW w:type="dxa" w:w="1587"/>
            <w:tcMar>
              <w:top w:w="60" w:type="dxa"/>
              <w:left w:w="100" w:type="dxa"/>
              <w:bottom w:w="60" w:type="dxa"/>
              <w:right w:w="100" w:type="dxa"/>
            </w:tcMar>
          </w:tcPr>
          <w:p>
            <w:pPr>
              <w:spacing w:after="0" w:line="240" w:lineRule="auto"/>
              <w:jc w:val="right"/>
            </w:pPr>
            <w:r>
              <w:rPr>
                <w:sz w:val="20"/>
              </w:rPr>
              <w:t>0.908</w:t>
            </w:r>
          </w:p>
        </w:tc>
        <w:tc>
          <w:tcPr>
            <w:tcW w:type="dxa" w:w="1701"/>
            <w:tcMar>
              <w:top w:w="60" w:type="dxa"/>
              <w:left w:w="100" w:type="dxa"/>
              <w:bottom w:w="60" w:type="dxa"/>
              <w:right w:w="100" w:type="dxa"/>
            </w:tcMar>
          </w:tcPr>
          <w:p>
            <w:pPr>
              <w:spacing w:after="0" w:line="240" w:lineRule="auto"/>
              <w:jc w:val="right"/>
            </w:pPr>
            <w:r>
              <w:rPr>
                <w:sz w:val="20"/>
              </w:rPr>
              <w:t>0.858</w:t>
            </w:r>
          </w:p>
        </w:tc>
        <w:tc>
          <w:tcPr>
            <w:tcW w:type="dxa" w:w="1587"/>
            <w:tcMar>
              <w:top w:w="60" w:type="dxa"/>
              <w:left w:w="100" w:type="dxa"/>
              <w:bottom w:w="60" w:type="dxa"/>
              <w:right w:w="100" w:type="dxa"/>
            </w:tcMar>
          </w:tcPr>
          <w:p>
            <w:pPr>
              <w:spacing w:after="0" w:line="240" w:lineRule="auto"/>
              <w:jc w:val="right"/>
            </w:pPr>
            <w:r>
              <w:rPr>
                <w:sz w:val="20"/>
              </w:rPr>
              <w:t>0.921</w:t>
            </w:r>
          </w:p>
        </w:tc>
      </w:tr>
      <w:tr>
        <w:trPr>
          <w:cantSplit/>
        </w:trPr>
        <w:tc>
          <w:tcPr>
            <w:tcW w:type="dxa" w:w="907"/>
            <w:tcMar>
              <w:top w:w="60" w:type="dxa"/>
              <w:left w:w="100" w:type="dxa"/>
              <w:bottom w:w="60" w:type="dxa"/>
              <w:right w:w="100" w:type="dxa"/>
            </w:tcMar>
          </w:tcPr>
          <w:p>
            <w:pPr>
              <w:spacing w:after="0" w:line="240" w:lineRule="auto"/>
            </w:pPr>
            <w:r>
              <w:rPr>
                <w:sz w:val="20"/>
              </w:rPr>
              <w:t>0.99</w:t>
            </w:r>
          </w:p>
        </w:tc>
        <w:tc>
          <w:tcPr>
            <w:tcW w:type="dxa" w:w="1587"/>
            <w:tcMar>
              <w:top w:w="60" w:type="dxa"/>
              <w:left w:w="100" w:type="dxa"/>
              <w:bottom w:w="60" w:type="dxa"/>
              <w:right w:w="100" w:type="dxa"/>
            </w:tcMar>
          </w:tcPr>
          <w:p>
            <w:pPr>
              <w:spacing w:after="0" w:line="240" w:lineRule="auto"/>
              <w:jc w:val="right"/>
            </w:pPr>
            <w:r>
              <w:rPr>
                <w:sz w:val="20"/>
              </w:rPr>
              <w:t>0.990</w:t>
            </w:r>
          </w:p>
        </w:tc>
        <w:tc>
          <w:tcPr>
            <w:tcW w:type="dxa" w:w="1587"/>
            <w:tcMar>
              <w:top w:w="60" w:type="dxa"/>
              <w:left w:w="100" w:type="dxa"/>
              <w:bottom w:w="60" w:type="dxa"/>
              <w:right w:w="100" w:type="dxa"/>
            </w:tcMar>
          </w:tcPr>
          <w:p>
            <w:pPr>
              <w:spacing w:after="0" w:line="240" w:lineRule="auto"/>
              <w:jc w:val="right"/>
            </w:pPr>
            <w:r>
              <w:rPr>
                <w:sz w:val="20"/>
              </w:rPr>
              <w:t>0.935</w:t>
            </w:r>
          </w:p>
        </w:tc>
        <w:tc>
          <w:tcPr>
            <w:tcW w:type="dxa" w:w="1587"/>
            <w:tcMar>
              <w:top w:w="60" w:type="dxa"/>
              <w:left w:w="100" w:type="dxa"/>
              <w:bottom w:w="60" w:type="dxa"/>
              <w:right w:w="100" w:type="dxa"/>
            </w:tcMar>
          </w:tcPr>
          <w:p>
            <w:pPr>
              <w:spacing w:after="0" w:line="240" w:lineRule="auto"/>
              <w:jc w:val="right"/>
            </w:pPr>
            <w:r>
              <w:rPr>
                <w:sz w:val="20"/>
              </w:rPr>
              <w:t>0.958</w:t>
            </w:r>
          </w:p>
        </w:tc>
        <w:tc>
          <w:tcPr>
            <w:tcW w:type="dxa" w:w="1701"/>
            <w:tcMar>
              <w:top w:w="60" w:type="dxa"/>
              <w:left w:w="100" w:type="dxa"/>
              <w:bottom w:w="60" w:type="dxa"/>
              <w:right w:w="100" w:type="dxa"/>
            </w:tcMar>
          </w:tcPr>
          <w:p>
            <w:pPr>
              <w:spacing w:after="0" w:line="240" w:lineRule="auto"/>
              <w:jc w:val="right"/>
            </w:pPr>
            <w:r>
              <w:rPr>
                <w:sz w:val="20"/>
              </w:rPr>
              <w:t>0.895</w:t>
            </w:r>
          </w:p>
        </w:tc>
        <w:tc>
          <w:tcPr>
            <w:tcW w:type="dxa" w:w="1587"/>
            <w:tcMar>
              <w:top w:w="60" w:type="dxa"/>
              <w:left w:w="100" w:type="dxa"/>
              <w:bottom w:w="60" w:type="dxa"/>
              <w:right w:w="100" w:type="dxa"/>
            </w:tcMar>
          </w:tcPr>
          <w:p>
            <w:pPr>
              <w:spacing w:after="0" w:line="240" w:lineRule="auto"/>
              <w:jc w:val="right"/>
            </w:pPr>
            <w:r>
              <w:rPr>
                <w:sz w:val="20"/>
              </w:rPr>
              <w:t>0.953</w:t>
            </w:r>
          </w:p>
        </w:tc>
      </w:tr>
    </w:tbl>
    <w:p>
      <w:pPr>
        <w:spacing w:after="120"/>
      </w:pPr>
    </w:p>
    <w:p>
      <w:pPr>
        <w:keepNext/>
        <w:spacing w:after="80" w:before="120" w:line="276" w:lineRule="auto"/>
        <w:jc w:val="center"/>
      </w:pPr>
      <w:r>
        <w:rPr>
          <w:sz w:val="22"/>
        </w:rPr>
        <w:t>Table 8: Mean absolute error of the forecast against the realised hourly quantile (test, normalised)</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09"/>
        <w:gridCol w:w="3009"/>
        <w:gridCol w:w="3009"/>
      </w:tblGrid>
      <w:tr>
        <w:trPr>
          <w:cantSplit/>
          <w:tblHeader/>
        </w:trPr>
        <w:tc>
          <w:tcPr>
            <w:tcW w:type="dxa" w:w="1134"/>
            <w:tcMar>
              <w:top w:w="60" w:type="dxa"/>
              <w:left w:w="100" w:type="dxa"/>
              <w:bottom w:w="60" w:type="dxa"/>
              <w:right w:w="100" w:type="dxa"/>
            </w:tcMar>
            <w:shd w:val="clear" w:color="auto" w:fill="D9D9D9"/>
          </w:tcPr>
          <w:p>
            <w:pPr>
              <w:spacing w:after="0" w:line="240" w:lineRule="auto"/>
            </w:pPr>
            <w:r>
              <w:rPr>
                <w:b/>
                <w:sz w:val="20"/>
              </w:rPr>
              <w:t>q</w:t>
            </w:r>
          </w:p>
        </w:tc>
        <w:tc>
          <w:tcPr>
            <w:tcW w:type="dxa" w:w="2268"/>
            <w:tcMar>
              <w:top w:w="60" w:type="dxa"/>
              <w:left w:w="100" w:type="dxa"/>
              <w:bottom w:w="60" w:type="dxa"/>
              <w:right w:w="100" w:type="dxa"/>
            </w:tcMar>
            <w:shd w:val="clear" w:color="auto" w:fill="D9D9D9"/>
          </w:tcPr>
          <w:p>
            <w:pPr>
              <w:spacing w:after="0" w:line="240" w:lineRule="auto"/>
            </w:pPr>
            <w:r>
              <w:rPr>
                <w:b/>
                <w:sz w:val="20"/>
              </w:rPr>
              <w:t>MAE LightGBM</w:t>
            </w:r>
          </w:p>
        </w:tc>
        <w:tc>
          <w:tcPr>
            <w:tcW w:type="dxa" w:w="2268"/>
            <w:tcMar>
              <w:top w:w="60" w:type="dxa"/>
              <w:left w:w="100" w:type="dxa"/>
              <w:bottom w:w="60" w:type="dxa"/>
              <w:right w:w="100" w:type="dxa"/>
            </w:tcMar>
            <w:shd w:val="clear" w:color="auto" w:fill="D9D9D9"/>
          </w:tcPr>
          <w:p>
            <w:pPr>
              <w:spacing w:after="0" w:line="240" w:lineRule="auto"/>
            </w:pPr>
            <w:r>
              <w:rPr>
                <w:b/>
                <w:sz w:val="20"/>
              </w:rPr>
              <w:t>MAE rolling 6 h</w:t>
            </w:r>
          </w:p>
        </w:tc>
      </w:tr>
      <w:tr>
        <w:trPr>
          <w:cantSplit/>
        </w:trPr>
        <w:tc>
          <w:tcPr>
            <w:tcW w:type="dxa" w:w="1134"/>
            <w:tcMar>
              <w:top w:w="60" w:type="dxa"/>
              <w:left w:w="100" w:type="dxa"/>
              <w:bottom w:w="60" w:type="dxa"/>
              <w:right w:w="100" w:type="dxa"/>
            </w:tcMar>
          </w:tcPr>
          <w:p>
            <w:pPr>
              <w:spacing w:after="0" w:line="240" w:lineRule="auto"/>
            </w:pPr>
            <w:r>
              <w:rPr>
                <w:sz w:val="20"/>
              </w:rPr>
              <w:t>0.5</w:t>
            </w:r>
          </w:p>
        </w:tc>
        <w:tc>
          <w:tcPr>
            <w:tcW w:type="dxa" w:w="2268"/>
            <w:tcMar>
              <w:top w:w="60" w:type="dxa"/>
              <w:left w:w="100" w:type="dxa"/>
              <w:bottom w:w="60" w:type="dxa"/>
              <w:right w:w="100" w:type="dxa"/>
            </w:tcMar>
          </w:tcPr>
          <w:p>
            <w:pPr>
              <w:spacing w:after="0" w:line="240" w:lineRule="auto"/>
              <w:jc w:val="right"/>
            </w:pPr>
            <w:r>
              <w:rPr>
                <w:sz w:val="20"/>
              </w:rPr>
              <w:t>0.222</w:t>
            </w:r>
          </w:p>
        </w:tc>
        <w:tc>
          <w:tcPr>
            <w:tcW w:type="dxa" w:w="2268"/>
            <w:tcMar>
              <w:top w:w="60" w:type="dxa"/>
              <w:left w:w="100" w:type="dxa"/>
              <w:bottom w:w="60" w:type="dxa"/>
              <w:right w:w="100" w:type="dxa"/>
            </w:tcMar>
          </w:tcPr>
          <w:p>
            <w:pPr>
              <w:spacing w:after="0" w:line="240" w:lineRule="auto"/>
              <w:jc w:val="right"/>
            </w:pPr>
            <w:r>
              <w:rPr>
                <w:sz w:val="20"/>
              </w:rPr>
              <w:t>0.248</w:t>
            </w:r>
          </w:p>
        </w:tc>
      </w:tr>
      <w:tr>
        <w:trPr>
          <w:cantSplit/>
        </w:trPr>
        <w:tc>
          <w:tcPr>
            <w:tcW w:type="dxa" w:w="1134"/>
            <w:tcMar>
              <w:top w:w="60" w:type="dxa"/>
              <w:left w:w="100" w:type="dxa"/>
              <w:bottom w:w="60" w:type="dxa"/>
              <w:right w:w="100" w:type="dxa"/>
            </w:tcMar>
          </w:tcPr>
          <w:p>
            <w:pPr>
              <w:spacing w:after="0" w:line="240" w:lineRule="auto"/>
            </w:pPr>
            <w:r>
              <w:rPr>
                <w:sz w:val="20"/>
              </w:rPr>
              <w:t>0.7</w:t>
            </w:r>
          </w:p>
        </w:tc>
        <w:tc>
          <w:tcPr>
            <w:tcW w:type="dxa" w:w="2268"/>
            <w:tcMar>
              <w:top w:w="60" w:type="dxa"/>
              <w:left w:w="100" w:type="dxa"/>
              <w:bottom w:w="60" w:type="dxa"/>
              <w:right w:w="100" w:type="dxa"/>
            </w:tcMar>
          </w:tcPr>
          <w:p>
            <w:pPr>
              <w:spacing w:after="0" w:line="240" w:lineRule="auto"/>
              <w:jc w:val="right"/>
            </w:pPr>
            <w:r>
              <w:rPr>
                <w:sz w:val="20"/>
              </w:rPr>
              <w:t>0.272</w:t>
            </w:r>
          </w:p>
        </w:tc>
        <w:tc>
          <w:tcPr>
            <w:tcW w:type="dxa" w:w="2268"/>
            <w:tcMar>
              <w:top w:w="60" w:type="dxa"/>
              <w:left w:w="100" w:type="dxa"/>
              <w:bottom w:w="60" w:type="dxa"/>
              <w:right w:w="100" w:type="dxa"/>
            </w:tcMar>
          </w:tcPr>
          <w:p>
            <w:pPr>
              <w:spacing w:after="0" w:line="240" w:lineRule="auto"/>
              <w:jc w:val="right"/>
            </w:pPr>
            <w:r>
              <w:rPr>
                <w:sz w:val="20"/>
              </w:rPr>
              <w:t>0.336</w:t>
            </w:r>
          </w:p>
        </w:tc>
      </w:tr>
      <w:tr>
        <w:trPr>
          <w:cantSplit/>
        </w:trPr>
        <w:tc>
          <w:tcPr>
            <w:tcW w:type="dxa" w:w="1134"/>
            <w:tcMar>
              <w:top w:w="60" w:type="dxa"/>
              <w:left w:w="100" w:type="dxa"/>
              <w:bottom w:w="60" w:type="dxa"/>
              <w:right w:w="100" w:type="dxa"/>
            </w:tcMar>
          </w:tcPr>
          <w:p>
            <w:pPr>
              <w:spacing w:after="0" w:line="240" w:lineRule="auto"/>
            </w:pPr>
            <w:r>
              <w:rPr>
                <w:sz w:val="20"/>
              </w:rPr>
              <w:t>0.8</w:t>
            </w:r>
          </w:p>
        </w:tc>
        <w:tc>
          <w:tcPr>
            <w:tcW w:type="dxa" w:w="2268"/>
            <w:tcMar>
              <w:top w:w="60" w:type="dxa"/>
              <w:left w:w="100" w:type="dxa"/>
              <w:bottom w:w="60" w:type="dxa"/>
              <w:right w:w="100" w:type="dxa"/>
            </w:tcMar>
          </w:tcPr>
          <w:p>
            <w:pPr>
              <w:spacing w:after="0" w:line="240" w:lineRule="auto"/>
              <w:jc w:val="right"/>
            </w:pPr>
            <w:r>
              <w:rPr>
                <w:sz w:val="20"/>
              </w:rPr>
              <w:t>0.354</w:t>
            </w:r>
          </w:p>
        </w:tc>
        <w:tc>
          <w:tcPr>
            <w:tcW w:type="dxa" w:w="2268"/>
            <w:tcMar>
              <w:top w:w="60" w:type="dxa"/>
              <w:left w:w="100" w:type="dxa"/>
              <w:bottom w:w="60" w:type="dxa"/>
              <w:right w:w="100" w:type="dxa"/>
            </w:tcMar>
          </w:tcPr>
          <w:p>
            <w:pPr>
              <w:spacing w:after="0" w:line="240" w:lineRule="auto"/>
              <w:jc w:val="right"/>
            </w:pPr>
            <w:r>
              <w:rPr>
                <w:sz w:val="20"/>
              </w:rPr>
              <w:t>0.449</w:t>
            </w:r>
          </w:p>
        </w:tc>
      </w:tr>
      <w:tr>
        <w:trPr>
          <w:cantSplit/>
        </w:trPr>
        <w:tc>
          <w:tcPr>
            <w:tcW w:type="dxa" w:w="1134"/>
            <w:tcMar>
              <w:top w:w="60" w:type="dxa"/>
              <w:left w:w="100" w:type="dxa"/>
              <w:bottom w:w="60" w:type="dxa"/>
              <w:right w:w="100" w:type="dxa"/>
            </w:tcMar>
          </w:tcPr>
          <w:p>
            <w:pPr>
              <w:spacing w:after="0" w:line="240" w:lineRule="auto"/>
            </w:pPr>
            <w:r>
              <w:rPr>
                <w:sz w:val="20"/>
              </w:rPr>
              <w:t>0.9</w:t>
            </w:r>
          </w:p>
        </w:tc>
        <w:tc>
          <w:tcPr>
            <w:tcW w:type="dxa" w:w="2268"/>
            <w:tcMar>
              <w:top w:w="60" w:type="dxa"/>
              <w:left w:w="100" w:type="dxa"/>
              <w:bottom w:w="60" w:type="dxa"/>
              <w:right w:w="100" w:type="dxa"/>
            </w:tcMar>
          </w:tcPr>
          <w:p>
            <w:pPr>
              <w:spacing w:after="0" w:line="240" w:lineRule="auto"/>
              <w:jc w:val="right"/>
            </w:pPr>
            <w:r>
              <w:rPr>
                <w:sz w:val="20"/>
              </w:rPr>
              <w:t>0.504</w:t>
            </w:r>
          </w:p>
        </w:tc>
        <w:tc>
          <w:tcPr>
            <w:tcW w:type="dxa" w:w="2268"/>
            <w:tcMar>
              <w:top w:w="60" w:type="dxa"/>
              <w:left w:w="100" w:type="dxa"/>
              <w:bottom w:w="60" w:type="dxa"/>
              <w:right w:w="100" w:type="dxa"/>
            </w:tcMar>
          </w:tcPr>
          <w:p>
            <w:pPr>
              <w:spacing w:after="0" w:line="240" w:lineRule="auto"/>
              <w:jc w:val="right"/>
            </w:pPr>
            <w:r>
              <w:rPr>
                <w:sz w:val="20"/>
              </w:rPr>
              <w:t>0.622</w:t>
            </w:r>
          </w:p>
        </w:tc>
      </w:tr>
      <w:tr>
        <w:trPr>
          <w:cantSplit/>
        </w:trPr>
        <w:tc>
          <w:tcPr>
            <w:tcW w:type="dxa" w:w="1134"/>
            <w:tcMar>
              <w:top w:w="60" w:type="dxa"/>
              <w:left w:w="100" w:type="dxa"/>
              <w:bottom w:w="60" w:type="dxa"/>
              <w:right w:w="100" w:type="dxa"/>
            </w:tcMar>
          </w:tcPr>
          <w:p>
            <w:pPr>
              <w:spacing w:after="0" w:line="240" w:lineRule="auto"/>
            </w:pPr>
            <w:r>
              <w:rPr>
                <w:sz w:val="20"/>
              </w:rPr>
              <w:t>0.95</w:t>
            </w:r>
          </w:p>
        </w:tc>
        <w:tc>
          <w:tcPr>
            <w:tcW w:type="dxa" w:w="2268"/>
            <w:tcMar>
              <w:top w:w="60" w:type="dxa"/>
              <w:left w:w="100" w:type="dxa"/>
              <w:bottom w:w="60" w:type="dxa"/>
              <w:right w:w="100" w:type="dxa"/>
            </w:tcMar>
          </w:tcPr>
          <w:p>
            <w:pPr>
              <w:spacing w:after="0" w:line="240" w:lineRule="auto"/>
              <w:jc w:val="right"/>
            </w:pPr>
            <w:r>
              <w:rPr>
                <w:sz w:val="20"/>
              </w:rPr>
              <w:t>0.871</w:t>
            </w:r>
          </w:p>
        </w:tc>
        <w:tc>
          <w:tcPr>
            <w:tcW w:type="dxa" w:w="2268"/>
            <w:tcMar>
              <w:top w:w="60" w:type="dxa"/>
              <w:left w:w="100" w:type="dxa"/>
              <w:bottom w:w="60" w:type="dxa"/>
              <w:right w:w="100" w:type="dxa"/>
            </w:tcMar>
          </w:tcPr>
          <w:p>
            <w:pPr>
              <w:spacing w:after="0" w:line="240" w:lineRule="auto"/>
              <w:jc w:val="right"/>
            </w:pPr>
            <w:r>
              <w:rPr>
                <w:sz w:val="20"/>
              </w:rPr>
              <w:t>1.015</w:t>
            </w:r>
          </w:p>
        </w:tc>
      </w:tr>
      <w:tr>
        <w:trPr>
          <w:cantSplit/>
        </w:trPr>
        <w:tc>
          <w:tcPr>
            <w:tcW w:type="dxa" w:w="1134"/>
            <w:tcMar>
              <w:top w:w="60" w:type="dxa"/>
              <w:left w:w="100" w:type="dxa"/>
              <w:bottom w:w="60" w:type="dxa"/>
              <w:right w:w="100" w:type="dxa"/>
            </w:tcMar>
          </w:tcPr>
          <w:p>
            <w:pPr>
              <w:spacing w:after="0" w:line="240" w:lineRule="auto"/>
            </w:pPr>
            <w:r>
              <w:rPr>
                <w:sz w:val="20"/>
              </w:rPr>
              <w:t>0.99</w:t>
            </w:r>
          </w:p>
        </w:tc>
        <w:tc>
          <w:tcPr>
            <w:tcW w:type="dxa" w:w="2268"/>
            <w:tcMar>
              <w:top w:w="60" w:type="dxa"/>
              <w:left w:w="100" w:type="dxa"/>
              <w:bottom w:w="60" w:type="dxa"/>
              <w:right w:w="100" w:type="dxa"/>
            </w:tcMar>
          </w:tcPr>
          <w:p>
            <w:pPr>
              <w:spacing w:after="0" w:line="240" w:lineRule="auto"/>
              <w:jc w:val="right"/>
            </w:pPr>
            <w:r>
              <w:rPr>
                <w:sz w:val="20"/>
              </w:rPr>
              <w:t>2.478</w:t>
            </w:r>
          </w:p>
        </w:tc>
        <w:tc>
          <w:tcPr>
            <w:tcW w:type="dxa" w:w="2268"/>
            <w:tcMar>
              <w:top w:w="60" w:type="dxa"/>
              <w:left w:w="100" w:type="dxa"/>
              <w:bottom w:w="60" w:type="dxa"/>
              <w:right w:w="100" w:type="dxa"/>
            </w:tcMar>
          </w:tcPr>
          <w:p>
            <w:pPr>
              <w:spacing w:after="0" w:line="240" w:lineRule="auto"/>
              <w:jc w:val="right"/>
            </w:pPr>
            <w:r>
              <w:rPr>
                <w:sz w:val="20"/>
              </w:rPr>
              <w:t>2.380</w:t>
            </w:r>
          </w:p>
        </w:tc>
      </w:tr>
    </w:tbl>
    <w:p>
      <w:pPr>
        <w:spacing w:after="120"/>
      </w:pPr>
    </w:p>
    <w:p>
      <w:pPr>
        <w:spacing w:after="140" w:before="0" w:line="340" w:lineRule="auto"/>
        <w:jc w:val="both"/>
      </w:pPr>
      <w:r>
        <w:rPr/>
        <w:t>LightGBM has the lowest pinball loss at q = 0.7, 0.8, 0.9, 0.95, 0.99 and its coverage tracks the nominal level at the upper quantiles (for example 0.915 at q = 0.9 against 0.862 for rolling 6 h and 0.859 for persistence). At the median, persistence has the lower pinball loss (0.211 against 0.231), and LightGBM under-covers there (0.573). The 0.99 mean absolute error of LightGBM (2.48) is slightly worse than rolling 6 h (2.38), so the gain is not uniform. Figure 2 shows how the coverage curves compare.</w:t>
      </w:r>
    </w:p>
    <w:p>
      <w:pPr>
        <w:keepNext/>
        <w:spacing w:after="80"/>
        <w:jc w:val="center"/>
      </w:pPr>
      <w:r>
        <w:drawing>
          <wp:inline xmlns:a="http://schemas.openxmlformats.org/drawingml/2006/main" xmlns:pic="http://schemas.openxmlformats.org/drawingml/2006/picture">
            <wp:extent cx="3780000" cy="2784734"/>
            <wp:docPr id="2" name="Picture 2"/>
            <wp:cNvGraphicFramePr>
              <a:graphicFrameLocks noChangeAspect="1"/>
            </wp:cNvGraphicFramePr>
            <a:graphic>
              <a:graphicData uri="http://schemas.openxmlformats.org/drawingml/2006/picture">
                <pic:pic>
                  <pic:nvPicPr>
                    <pic:cNvPr id="0" name="quantile_coverage.png"/>
                    <pic:cNvPicPr/>
                  </pic:nvPicPr>
                  <pic:blipFill>
                    <a:blip r:embed="rId23"/>
                    <a:stretch>
                      <a:fillRect/>
                    </a:stretch>
                  </pic:blipFill>
                  <pic:spPr>
                    <a:xfrm>
                      <a:off x="0" y="0"/>
                      <a:ext cx="3780000" cy="2784734"/>
                    </a:xfrm>
                    <a:prstGeom prst="rect"/>
                  </pic:spPr>
                </pic:pic>
              </a:graphicData>
            </a:graphic>
          </wp:inline>
        </w:drawing>
      </w:r>
    </w:p>
    <w:p>
      <w:pPr>
        <w:spacing w:after="200" w:before="0" w:line="276" w:lineRule="auto"/>
        <w:jc w:val="center"/>
      </w:pPr>
      <w:r>
        <w:rPr>
          <w:sz w:val="22"/>
        </w:rPr>
        <w:t>Figure 2: Observed coverage against nominal quantile on test days</w:t>
      </w:r>
    </w:p>
    <w:p>
      <w:pPr>
        <w:keepNext/>
        <w:spacing w:after="80"/>
        <w:jc w:val="center"/>
      </w:pPr>
      <w:r>
        <w:drawing>
          <wp:inline xmlns:a="http://schemas.openxmlformats.org/drawingml/2006/main" xmlns:pic="http://schemas.openxmlformats.org/drawingml/2006/picture">
            <wp:extent cx="5220000" cy="2747091"/>
            <wp:docPr id="3" name="Picture 3"/>
            <wp:cNvGraphicFramePr>
              <a:graphicFrameLocks noChangeAspect="1"/>
            </wp:cNvGraphicFramePr>
            <a:graphic>
              <a:graphicData uri="http://schemas.openxmlformats.org/drawingml/2006/picture">
                <pic:pic>
                  <pic:nvPicPr>
                    <pic:cNvPr id="0" name="forecast_vs_actual.png"/>
                    <pic:cNvPicPr/>
                  </pic:nvPicPr>
                  <pic:blipFill>
                    <a:blip r:embed="rId24"/>
                    <a:stretch>
                      <a:fillRect/>
                    </a:stretch>
                  </pic:blipFill>
                  <pic:spPr>
                    <a:xfrm>
                      <a:off x="0" y="0"/>
                      <a:ext cx="5220000" cy="2747091"/>
                    </a:xfrm>
                    <a:prstGeom prst="rect"/>
                  </pic:spPr>
                </pic:pic>
              </a:graphicData>
            </a:graphic>
          </wp:inline>
        </w:drawing>
      </w:r>
    </w:p>
    <w:p>
      <w:pPr>
        <w:spacing w:after="200" w:before="0" w:line="276" w:lineRule="auto"/>
        <w:jc w:val="center"/>
      </w:pPr>
      <w:r>
        <w:rPr>
          <w:sz w:val="22"/>
        </w:rPr>
        <w:t>Figure 3: Hourly base capacity for the live-demo function: forecasts against the realised hourly quantile</w:t>
      </w:r>
    </w:p>
    <w:p>
      <w:pPr>
        <w:pStyle w:val="Heading2"/>
      </w:pPr>
      <w:r>
        <w:t>8.3 Decision cost, utilisation and unserved load</w:t>
      </w:r>
    </w:p>
    <w:p>
      <w:pPr>
        <w:keepNext/>
        <w:spacing w:after="80" w:before="120" w:line="276" w:lineRule="auto"/>
        <w:jc w:val="center"/>
      </w:pPr>
      <w:r>
        <w:rPr>
          <w:sz w:val="22"/>
        </w:rPr>
        <w:t>Table 9: Test results, EC2 base (measured capacity)</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4"/>
        <w:gridCol w:w="1504"/>
        <w:gridCol w:w="1504"/>
        <w:gridCol w:w="1504"/>
        <w:gridCol w:w="1504"/>
        <w:gridCol w:w="1504"/>
      </w:tblGrid>
      <w:tr>
        <w:trPr>
          <w:cantSplit/>
          <w:tblHeader/>
        </w:trPr>
        <w:tc>
          <w:tcPr>
            <w:tcW w:type="dxa" w:w="2608"/>
            <w:tcMar>
              <w:top w:w="60" w:type="dxa"/>
              <w:left w:w="100" w:type="dxa"/>
              <w:bottom w:w="60" w:type="dxa"/>
              <w:right w:w="100" w:type="dxa"/>
            </w:tcMar>
            <w:shd w:val="clear" w:color="auto" w:fill="D9D9D9"/>
          </w:tcPr>
          <w:p>
            <w:pPr>
              <w:spacing w:after="0" w:line="240" w:lineRule="auto"/>
            </w:pPr>
            <w:r>
              <w:rPr>
                <w:b/>
                <w:sz w:val="20"/>
              </w:rPr>
              <w:t>Strategy</w:t>
            </w:r>
          </w:p>
        </w:tc>
        <w:tc>
          <w:tcPr>
            <w:tcW w:type="dxa" w:w="1531"/>
            <w:tcMar>
              <w:top w:w="60" w:type="dxa"/>
              <w:left w:w="100" w:type="dxa"/>
              <w:bottom w:w="60" w:type="dxa"/>
              <w:right w:w="100" w:type="dxa"/>
            </w:tcMar>
            <w:shd w:val="clear" w:color="auto" w:fill="D9D9D9"/>
          </w:tcPr>
          <w:p>
            <w:pPr>
              <w:spacing w:after="0" w:line="240" w:lineRule="auto"/>
            </w:pPr>
            <w:r>
              <w:rPr>
                <w:b/>
                <w:sz w:val="20"/>
              </w:rPr>
              <w:t>Cost / month</w:t>
            </w:r>
          </w:p>
        </w:tc>
        <w:tc>
          <w:tcPr>
            <w:tcW w:type="dxa" w:w="1247"/>
            <w:tcMar>
              <w:top w:w="60" w:type="dxa"/>
              <w:left w:w="100" w:type="dxa"/>
              <w:bottom w:w="60" w:type="dxa"/>
              <w:right w:w="100" w:type="dxa"/>
            </w:tcMar>
            <w:shd w:val="clear" w:color="auto" w:fill="D9D9D9"/>
          </w:tcPr>
          <w:p>
            <w:pPr>
              <w:spacing w:after="0" w:line="240" w:lineRule="auto"/>
            </w:pPr>
            <w:r>
              <w:rPr>
                <w:b/>
                <w:sz w:val="20"/>
              </w:rPr>
              <w:t>Unserved</w:t>
            </w:r>
          </w:p>
        </w:tc>
        <w:tc>
          <w:tcPr>
            <w:tcW w:type="dxa" w:w="1474"/>
            <w:tcMar>
              <w:top w:w="60" w:type="dxa"/>
              <w:left w:w="100" w:type="dxa"/>
              <w:bottom w:w="60" w:type="dxa"/>
              <w:right w:w="100" w:type="dxa"/>
            </w:tcMar>
            <w:shd w:val="clear" w:color="auto" w:fill="D9D9D9"/>
          </w:tcPr>
          <w:p>
            <w:pPr>
              <w:spacing w:after="0" w:line="240" w:lineRule="auto"/>
            </w:pPr>
            <w:r>
              <w:rPr>
                <w:b/>
                <w:sz w:val="20"/>
              </w:rPr>
              <w:t>Container util.</w:t>
            </w:r>
          </w:p>
        </w:tc>
        <w:tc>
          <w:tcPr>
            <w:tcW w:type="dxa" w:w="1304"/>
            <w:tcMar>
              <w:top w:w="60" w:type="dxa"/>
              <w:left w:w="100" w:type="dxa"/>
              <w:bottom w:w="60" w:type="dxa"/>
              <w:right w:w="100" w:type="dxa"/>
            </w:tcMar>
            <w:shd w:val="clear" w:color="auto" w:fill="D9D9D9"/>
          </w:tcPr>
          <w:p>
            <w:pPr>
              <w:spacing w:after="0" w:line="240" w:lineRule="auto"/>
            </w:pPr>
            <w:r>
              <w:rPr>
                <w:b/>
                <w:sz w:val="20"/>
              </w:rPr>
              <w:t>Lambda share</w:t>
            </w:r>
          </w:p>
        </w:tc>
        <w:tc>
          <w:tcPr>
            <w:tcW w:type="dxa" w:w="1474"/>
            <w:tcMar>
              <w:top w:w="60" w:type="dxa"/>
              <w:left w:w="100" w:type="dxa"/>
              <w:bottom w:w="60" w:type="dxa"/>
              <w:right w:w="100" w:type="dxa"/>
            </w:tcMar>
            <w:shd w:val="clear" w:color="auto" w:fill="D9D9D9"/>
          </w:tcPr>
          <w:p>
            <w:pPr>
              <w:spacing w:after="0" w:line="240" w:lineRule="auto"/>
            </w:pPr>
            <w:r>
              <w:rPr>
                <w:b/>
                <w:sz w:val="20"/>
              </w:rPr>
              <w:t>Energy kWh/mo</w:t>
            </w:r>
          </w:p>
        </w:tc>
      </w:tr>
      <w:tr>
        <w:trPr>
          <w:cantSplit/>
        </w:trPr>
        <w:tc>
          <w:tcPr>
            <w:tcW w:type="dxa" w:w="2608"/>
            <w:tcMar>
              <w:top w:w="60" w:type="dxa"/>
              <w:left w:w="100" w:type="dxa"/>
              <w:bottom w:w="60" w:type="dxa"/>
              <w:right w:w="100" w:type="dxa"/>
            </w:tcMar>
          </w:tcPr>
          <w:p>
            <w:pPr>
              <w:spacing w:after="0" w:line="240" w:lineRule="auto"/>
            </w:pPr>
            <w:r>
              <w:rPr>
                <w:sz w:val="20"/>
              </w:rPr>
              <w:t>1 All-Lambda</w:t>
            </w:r>
          </w:p>
        </w:tc>
        <w:tc>
          <w:tcPr>
            <w:tcW w:type="dxa" w:w="1531"/>
            <w:tcMar>
              <w:top w:w="60" w:type="dxa"/>
              <w:left w:w="100" w:type="dxa"/>
              <w:bottom w:w="60" w:type="dxa"/>
              <w:right w:w="100" w:type="dxa"/>
            </w:tcMar>
          </w:tcPr>
          <w:p>
            <w:pPr>
              <w:spacing w:after="0" w:line="240" w:lineRule="auto"/>
              <w:jc w:val="right"/>
            </w:pPr>
            <w:r>
              <w:rPr>
                <w:sz w:val="20"/>
              </w:rPr>
              <w:t>$54,624</w:t>
            </w:r>
          </w:p>
        </w:tc>
        <w:tc>
          <w:tcPr>
            <w:tcW w:type="dxa" w:w="1247"/>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pPr>
            <w:r>
              <w:rPr>
                <w:sz w:val="20"/>
              </w:rPr>
              <w:t>n/a</w:t>
            </w:r>
          </w:p>
        </w:tc>
        <w:tc>
          <w:tcPr>
            <w:tcW w:type="dxa" w:w="1304"/>
            <w:tcMar>
              <w:top w:w="60" w:type="dxa"/>
              <w:left w:w="100" w:type="dxa"/>
              <w:bottom w:w="60" w:type="dxa"/>
              <w:right w:w="100" w:type="dxa"/>
            </w:tcMar>
          </w:tcPr>
          <w:p>
            <w:pPr>
              <w:spacing w:after="0" w:line="240" w:lineRule="auto"/>
              <w:jc w:val="right"/>
            </w:pPr>
            <w:r>
              <w:rPr>
                <w:sz w:val="20"/>
              </w:rPr>
              <w:t>1.00</w:t>
            </w:r>
          </w:p>
        </w:tc>
        <w:tc>
          <w:tcPr>
            <w:tcW w:type="dxa" w:w="1474"/>
            <w:tcMar>
              <w:top w:w="60" w:type="dxa"/>
              <w:left w:w="100" w:type="dxa"/>
              <w:bottom w:w="60" w:type="dxa"/>
              <w:right w:w="100" w:type="dxa"/>
            </w:tcMar>
          </w:tcPr>
          <w:p>
            <w:pPr>
              <w:spacing w:after="0" w:line="240" w:lineRule="auto"/>
              <w:jc w:val="right"/>
            </w:pPr>
            <w:r>
              <w:rPr>
                <w:sz w:val="20"/>
              </w:rPr>
              <w:t>1,040</w:t>
            </w:r>
          </w:p>
        </w:tc>
      </w:tr>
      <w:tr>
        <w:trPr>
          <w:cantSplit/>
        </w:trPr>
        <w:tc>
          <w:tcPr>
            <w:tcW w:type="dxa" w:w="2608"/>
            <w:tcMar>
              <w:top w:w="60" w:type="dxa"/>
              <w:left w:w="100" w:type="dxa"/>
              <w:bottom w:w="60" w:type="dxa"/>
              <w:right w:w="100" w:type="dxa"/>
            </w:tcMar>
          </w:tcPr>
          <w:p>
            <w:pPr>
              <w:spacing w:after="0" w:line="240" w:lineRule="auto"/>
            </w:pPr>
            <w:r>
              <w:rPr>
                <w:sz w:val="20"/>
              </w:rPr>
              <w:t>2 Peak-sized x1.2</w:t>
            </w:r>
          </w:p>
        </w:tc>
        <w:tc>
          <w:tcPr>
            <w:tcW w:type="dxa" w:w="1531"/>
            <w:tcMar>
              <w:top w:w="60" w:type="dxa"/>
              <w:left w:w="100" w:type="dxa"/>
              <w:bottom w:w="60" w:type="dxa"/>
              <w:right w:w="100" w:type="dxa"/>
            </w:tcMar>
          </w:tcPr>
          <w:p>
            <w:pPr>
              <w:spacing w:after="0" w:line="240" w:lineRule="auto"/>
              <w:jc w:val="right"/>
            </w:pPr>
            <w:r>
              <w:rPr>
                <w:sz w:val="20"/>
              </w:rPr>
              <w:t>$873,014</w:t>
            </w:r>
          </w:p>
        </w:tc>
        <w:tc>
          <w:tcPr>
            <w:tcW w:type="dxa" w:w="1247"/>
            <w:tcMar>
              <w:top w:w="60" w:type="dxa"/>
              <w:left w:w="100" w:type="dxa"/>
              <w:bottom w:w="60" w:type="dxa"/>
              <w:right w:w="100" w:type="dxa"/>
            </w:tcMar>
          </w:tcPr>
          <w:p>
            <w:pPr>
              <w:spacing w:after="0" w:line="240" w:lineRule="auto"/>
              <w:jc w:val="right"/>
            </w:pPr>
            <w:r>
              <w:rPr>
                <w:sz w:val="20"/>
              </w:rPr>
              <w:t>0.49%</w:t>
            </w:r>
          </w:p>
        </w:tc>
        <w:tc>
          <w:tcPr>
            <w:tcW w:type="dxa" w:w="1474"/>
            <w:tcMar>
              <w:top w:w="60" w:type="dxa"/>
              <w:left w:w="100" w:type="dxa"/>
              <w:bottom w:w="60" w:type="dxa"/>
              <w:right w:w="100" w:type="dxa"/>
            </w:tcMar>
          </w:tcPr>
          <w:p>
            <w:pPr>
              <w:spacing w:after="0" w:line="240" w:lineRule="auto"/>
              <w:jc w:val="right"/>
            </w:pPr>
            <w:r>
              <w:rPr>
                <w:sz w:val="20"/>
              </w:rPr>
              <w:t>0.03</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32,057</w:t>
            </w:r>
          </w:p>
        </w:tc>
      </w:tr>
      <w:tr>
        <w:trPr>
          <w:cantSplit/>
        </w:trPr>
        <w:tc>
          <w:tcPr>
            <w:tcW w:type="dxa" w:w="2608"/>
            <w:tcMar>
              <w:top w:w="60" w:type="dxa"/>
              <w:left w:w="100" w:type="dxa"/>
              <w:bottom w:w="60" w:type="dxa"/>
              <w:right w:w="100" w:type="dxa"/>
            </w:tcMar>
          </w:tcPr>
          <w:p>
            <w:pPr>
              <w:spacing w:after="0" w:line="240" w:lineRule="auto"/>
            </w:pPr>
            <w:r>
              <w:rPr>
                <w:sz w:val="20"/>
              </w:rPr>
              <w:t>3 Reactive u=0.7</w:t>
            </w:r>
          </w:p>
        </w:tc>
        <w:tc>
          <w:tcPr>
            <w:tcW w:type="dxa" w:w="1531"/>
            <w:tcMar>
              <w:top w:w="60" w:type="dxa"/>
              <w:left w:w="100" w:type="dxa"/>
              <w:bottom w:w="60" w:type="dxa"/>
              <w:right w:w="100" w:type="dxa"/>
            </w:tcMar>
          </w:tcPr>
          <w:p>
            <w:pPr>
              <w:spacing w:after="0" w:line="240" w:lineRule="auto"/>
              <w:jc w:val="right"/>
            </w:pPr>
            <w:r>
              <w:rPr>
                <w:sz w:val="20"/>
              </w:rPr>
              <w:t>$37,485</w:t>
            </w:r>
          </w:p>
        </w:tc>
        <w:tc>
          <w:tcPr>
            <w:tcW w:type="dxa" w:w="1247"/>
            <w:tcMar>
              <w:top w:w="60" w:type="dxa"/>
              <w:left w:w="100" w:type="dxa"/>
              <w:bottom w:w="60" w:type="dxa"/>
              <w:right w:w="100" w:type="dxa"/>
            </w:tcMar>
          </w:tcPr>
          <w:p>
            <w:pPr>
              <w:spacing w:after="0" w:line="240" w:lineRule="auto"/>
              <w:jc w:val="right"/>
            </w:pPr>
            <w:r>
              <w:rPr>
                <w:sz w:val="20"/>
              </w:rPr>
              <w:t>9.21%</w:t>
            </w:r>
          </w:p>
        </w:tc>
        <w:tc>
          <w:tcPr>
            <w:tcW w:type="dxa" w:w="1474"/>
            <w:tcMar>
              <w:top w:w="60" w:type="dxa"/>
              <w:left w:w="100" w:type="dxa"/>
              <w:bottom w:w="60" w:type="dxa"/>
              <w:right w:w="100" w:type="dxa"/>
            </w:tcMar>
          </w:tcPr>
          <w:p>
            <w:pPr>
              <w:spacing w:after="0" w:line="240" w:lineRule="auto"/>
              <w:jc w:val="right"/>
            </w:pPr>
            <w:r>
              <w:rPr>
                <w:sz w:val="20"/>
              </w:rPr>
              <w:t>0.64</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4,173</w:t>
            </w:r>
          </w:p>
        </w:tc>
      </w:tr>
      <w:tr>
        <w:trPr>
          <w:cantSplit/>
        </w:trPr>
        <w:tc>
          <w:tcPr>
            <w:tcW w:type="dxa" w:w="2608"/>
            <w:tcMar>
              <w:top w:w="60" w:type="dxa"/>
              <w:left w:w="100" w:type="dxa"/>
              <w:bottom w:w="60" w:type="dxa"/>
              <w:right w:w="100" w:type="dxa"/>
            </w:tcMar>
          </w:tcPr>
          <w:p>
            <w:pPr>
              <w:spacing w:after="0" w:line="240" w:lineRule="auto"/>
            </w:pPr>
            <w:r>
              <w:rPr>
                <w:sz w:val="20"/>
              </w:rPr>
              <w:t>3 Reactive u=0.5</w:t>
            </w:r>
          </w:p>
        </w:tc>
        <w:tc>
          <w:tcPr>
            <w:tcW w:type="dxa" w:w="1531"/>
            <w:tcMar>
              <w:top w:w="60" w:type="dxa"/>
              <w:left w:w="100" w:type="dxa"/>
              <w:bottom w:w="60" w:type="dxa"/>
              <w:right w:w="100" w:type="dxa"/>
            </w:tcMar>
          </w:tcPr>
          <w:p>
            <w:pPr>
              <w:spacing w:after="0" w:line="240" w:lineRule="auto"/>
              <w:jc w:val="right"/>
            </w:pPr>
            <w:r>
              <w:rPr>
                <w:sz w:val="20"/>
              </w:rPr>
              <w:t>$52,479</w:t>
            </w:r>
          </w:p>
        </w:tc>
        <w:tc>
          <w:tcPr>
            <w:tcW w:type="dxa" w:w="1247"/>
            <w:tcMar>
              <w:top w:w="60" w:type="dxa"/>
              <w:left w:w="100" w:type="dxa"/>
              <w:bottom w:w="60" w:type="dxa"/>
              <w:right w:w="100" w:type="dxa"/>
            </w:tcMar>
          </w:tcPr>
          <w:p>
            <w:pPr>
              <w:spacing w:after="0" w:line="240" w:lineRule="auto"/>
              <w:jc w:val="right"/>
            </w:pPr>
            <w:r>
              <w:rPr>
                <w:sz w:val="20"/>
              </w:rPr>
              <w:t>7.93%</w:t>
            </w:r>
          </w:p>
        </w:tc>
        <w:tc>
          <w:tcPr>
            <w:tcW w:type="dxa" w:w="1474"/>
            <w:tcMar>
              <w:top w:w="60" w:type="dxa"/>
              <w:left w:w="100" w:type="dxa"/>
              <w:bottom w:w="60" w:type="dxa"/>
              <w:right w:w="100" w:type="dxa"/>
            </w:tcMar>
          </w:tcPr>
          <w:p>
            <w:pPr>
              <w:spacing w:after="0" w:line="240" w:lineRule="auto"/>
              <w:jc w:val="right"/>
            </w:pPr>
            <w:r>
              <w:rPr>
                <w:sz w:val="20"/>
              </w:rPr>
              <w:t>0.46</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4,709</w:t>
            </w:r>
          </w:p>
        </w:tc>
      </w:tr>
      <w:tr>
        <w:trPr>
          <w:cantSplit/>
        </w:trPr>
        <w:tc>
          <w:tcPr>
            <w:tcW w:type="dxa" w:w="2608"/>
            <w:tcMar>
              <w:top w:w="60" w:type="dxa"/>
              <w:left w:w="100" w:type="dxa"/>
              <w:bottom w:w="60" w:type="dxa"/>
              <w:right w:w="100" w:type="dxa"/>
            </w:tcMar>
          </w:tcPr>
          <w:p>
            <w:pPr>
              <w:spacing w:after="0" w:line="240" w:lineRule="auto"/>
            </w:pPr>
            <w:r>
              <w:rPr>
                <w:sz w:val="20"/>
              </w:rPr>
              <w:t>3 Reactive u=0.3</w:t>
            </w:r>
          </w:p>
        </w:tc>
        <w:tc>
          <w:tcPr>
            <w:tcW w:type="dxa" w:w="1531"/>
            <w:tcMar>
              <w:top w:w="60" w:type="dxa"/>
              <w:left w:w="100" w:type="dxa"/>
              <w:bottom w:w="60" w:type="dxa"/>
              <w:right w:w="100" w:type="dxa"/>
            </w:tcMar>
          </w:tcPr>
          <w:p>
            <w:pPr>
              <w:spacing w:after="0" w:line="240" w:lineRule="auto"/>
              <w:jc w:val="right"/>
            </w:pPr>
            <w:r>
              <w:rPr>
                <w:sz w:val="20"/>
              </w:rPr>
              <w:t>$87,464</w:t>
            </w:r>
          </w:p>
        </w:tc>
        <w:tc>
          <w:tcPr>
            <w:tcW w:type="dxa" w:w="1247"/>
            <w:tcMar>
              <w:top w:w="60" w:type="dxa"/>
              <w:left w:w="100" w:type="dxa"/>
              <w:bottom w:w="60" w:type="dxa"/>
              <w:right w:w="100" w:type="dxa"/>
            </w:tcMar>
          </w:tcPr>
          <w:p>
            <w:pPr>
              <w:spacing w:after="0" w:line="240" w:lineRule="auto"/>
              <w:jc w:val="right"/>
            </w:pPr>
            <w:r>
              <w:rPr>
                <w:sz w:val="20"/>
              </w:rPr>
              <w:t>6.82%</w:t>
            </w:r>
          </w:p>
        </w:tc>
        <w:tc>
          <w:tcPr>
            <w:tcW w:type="dxa" w:w="1474"/>
            <w:tcMar>
              <w:top w:w="60" w:type="dxa"/>
              <w:left w:w="100" w:type="dxa"/>
              <w:bottom w:w="60" w:type="dxa"/>
              <w:right w:w="100" w:type="dxa"/>
            </w:tcMar>
          </w:tcPr>
          <w:p>
            <w:pPr>
              <w:spacing w:after="0" w:line="240" w:lineRule="auto"/>
              <w:jc w:val="right"/>
            </w:pPr>
            <w:r>
              <w:rPr>
                <w:sz w:val="20"/>
              </w:rPr>
              <w:t>0.28</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5,901</w:t>
            </w:r>
          </w:p>
        </w:tc>
      </w:tr>
      <w:tr>
        <w:trPr>
          <w:cantSplit/>
        </w:trPr>
        <w:tc>
          <w:tcPr>
            <w:tcW w:type="dxa" w:w="2608"/>
            <w:tcMar>
              <w:top w:w="60" w:type="dxa"/>
              <w:left w:w="100" w:type="dxa"/>
              <w:bottom w:w="60" w:type="dxa"/>
              <w:right w:w="100" w:type="dxa"/>
            </w:tcMar>
          </w:tcPr>
          <w:p>
            <w:pPr>
              <w:spacing w:after="0" w:line="240" w:lineRule="auto"/>
            </w:pPr>
            <w:r>
              <w:rPr>
                <w:sz w:val="20"/>
              </w:rPr>
              <w:t>3 Reactive u=0.2</w:t>
            </w:r>
          </w:p>
        </w:tc>
        <w:tc>
          <w:tcPr>
            <w:tcW w:type="dxa" w:w="1531"/>
            <w:tcMar>
              <w:top w:w="60" w:type="dxa"/>
              <w:left w:w="100" w:type="dxa"/>
              <w:bottom w:w="60" w:type="dxa"/>
              <w:right w:w="100" w:type="dxa"/>
            </w:tcMar>
          </w:tcPr>
          <w:p>
            <w:pPr>
              <w:spacing w:after="0" w:line="240" w:lineRule="auto"/>
              <w:jc w:val="right"/>
            </w:pPr>
            <w:r>
              <w:rPr>
                <w:sz w:val="20"/>
              </w:rPr>
              <w:t>$131,197</w:t>
            </w:r>
          </w:p>
        </w:tc>
        <w:tc>
          <w:tcPr>
            <w:tcW w:type="dxa" w:w="1247"/>
            <w:tcMar>
              <w:top w:w="60" w:type="dxa"/>
              <w:left w:w="100" w:type="dxa"/>
              <w:bottom w:w="60" w:type="dxa"/>
              <w:right w:w="100" w:type="dxa"/>
            </w:tcMar>
          </w:tcPr>
          <w:p>
            <w:pPr>
              <w:spacing w:after="0" w:line="240" w:lineRule="auto"/>
              <w:jc w:val="right"/>
            </w:pPr>
            <w:r>
              <w:rPr>
                <w:sz w:val="20"/>
              </w:rPr>
              <w:t>6.27%</w:t>
            </w:r>
          </w:p>
        </w:tc>
        <w:tc>
          <w:tcPr>
            <w:tcW w:type="dxa" w:w="1474"/>
            <w:tcMar>
              <w:top w:w="60" w:type="dxa"/>
              <w:left w:w="100" w:type="dxa"/>
              <w:bottom w:w="60" w:type="dxa"/>
              <w:right w:w="100" w:type="dxa"/>
            </w:tcMar>
          </w:tcPr>
          <w:p>
            <w:pPr>
              <w:spacing w:after="0" w:line="240" w:lineRule="auto"/>
              <w:jc w:val="right"/>
            </w:pPr>
            <w:r>
              <w:rPr>
                <w:sz w:val="20"/>
              </w:rPr>
              <w:t>0.19</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7,363</w:t>
            </w:r>
          </w:p>
        </w:tc>
      </w:tr>
      <w:tr>
        <w:trPr>
          <w:cantSplit/>
        </w:trPr>
        <w:tc>
          <w:tcPr>
            <w:tcW w:type="dxa" w:w="2608"/>
            <w:tcMar>
              <w:top w:w="60" w:type="dxa"/>
              <w:left w:w="100" w:type="dxa"/>
              <w:bottom w:w="60" w:type="dxa"/>
              <w:right w:w="100" w:type="dxa"/>
            </w:tcMar>
          </w:tcPr>
          <w:p>
            <w:pPr>
              <w:spacing w:after="0" w:line="240" w:lineRule="auto"/>
            </w:pPr>
            <w:r>
              <w:rPr>
                <w:sz w:val="20"/>
              </w:rPr>
              <w:t>3 Reactive u=0.1</w:t>
            </w:r>
          </w:p>
        </w:tc>
        <w:tc>
          <w:tcPr>
            <w:tcW w:type="dxa" w:w="1531"/>
            <w:tcMar>
              <w:top w:w="60" w:type="dxa"/>
              <w:left w:w="100" w:type="dxa"/>
              <w:bottom w:w="60" w:type="dxa"/>
              <w:right w:w="100" w:type="dxa"/>
            </w:tcMar>
          </w:tcPr>
          <w:p>
            <w:pPr>
              <w:spacing w:after="0" w:line="240" w:lineRule="auto"/>
              <w:jc w:val="right"/>
            </w:pPr>
            <w:r>
              <w:rPr>
                <w:sz w:val="20"/>
              </w:rPr>
              <w:t>$262,393</w:t>
            </w:r>
          </w:p>
        </w:tc>
        <w:tc>
          <w:tcPr>
            <w:tcW w:type="dxa" w:w="1247"/>
            <w:tcMar>
              <w:top w:w="60" w:type="dxa"/>
              <w:left w:w="100" w:type="dxa"/>
              <w:bottom w:w="60" w:type="dxa"/>
              <w:right w:w="100" w:type="dxa"/>
            </w:tcMar>
          </w:tcPr>
          <w:p>
            <w:pPr>
              <w:spacing w:after="0" w:line="240" w:lineRule="auto"/>
              <w:jc w:val="right"/>
            </w:pPr>
            <w:r>
              <w:rPr>
                <w:sz w:val="20"/>
              </w:rPr>
              <w:t>5.68%</w:t>
            </w:r>
          </w:p>
        </w:tc>
        <w:tc>
          <w:tcPr>
            <w:tcW w:type="dxa" w:w="1474"/>
            <w:tcMar>
              <w:top w:w="60" w:type="dxa"/>
              <w:left w:w="100" w:type="dxa"/>
              <w:bottom w:w="60" w:type="dxa"/>
              <w:right w:w="100" w:type="dxa"/>
            </w:tcMar>
          </w:tcPr>
          <w:p>
            <w:pPr>
              <w:spacing w:after="0" w:line="240" w:lineRule="auto"/>
              <w:jc w:val="right"/>
            </w:pPr>
            <w:r>
              <w:rPr>
                <w:sz w:val="20"/>
              </w:rPr>
              <w:t>0.09</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11,717</w:t>
            </w:r>
          </w:p>
        </w:tc>
      </w:tr>
      <w:tr>
        <w:trPr>
          <w:cantSplit/>
        </w:trPr>
        <w:tc>
          <w:tcPr>
            <w:tcW w:type="dxa" w:w="2608"/>
            <w:tcMar>
              <w:top w:w="60" w:type="dxa"/>
              <w:left w:w="100" w:type="dxa"/>
              <w:bottom w:w="60" w:type="dxa"/>
              <w:right w:w="100" w:type="dxa"/>
            </w:tcMar>
          </w:tcPr>
          <w:p>
            <w:pPr>
              <w:spacing w:after="0" w:line="240" w:lineRule="auto"/>
            </w:pPr>
            <w:r>
              <w:rPr>
                <w:sz w:val="20"/>
              </w:rPr>
              <w:t>4 Seasonal u=0.7</w:t>
            </w:r>
          </w:p>
        </w:tc>
        <w:tc>
          <w:tcPr>
            <w:tcW w:type="dxa" w:w="1531"/>
            <w:tcMar>
              <w:top w:w="60" w:type="dxa"/>
              <w:left w:w="100" w:type="dxa"/>
              <w:bottom w:w="60" w:type="dxa"/>
              <w:right w:w="100" w:type="dxa"/>
            </w:tcMar>
          </w:tcPr>
          <w:p>
            <w:pPr>
              <w:spacing w:after="0" w:line="240" w:lineRule="auto"/>
              <w:jc w:val="right"/>
            </w:pPr>
            <w:r>
              <w:rPr>
                <w:sz w:val="20"/>
              </w:rPr>
              <w:t>$104,397</w:t>
            </w:r>
          </w:p>
        </w:tc>
        <w:tc>
          <w:tcPr>
            <w:tcW w:type="dxa" w:w="1247"/>
            <w:tcMar>
              <w:top w:w="60" w:type="dxa"/>
              <w:left w:w="100" w:type="dxa"/>
              <w:bottom w:w="60" w:type="dxa"/>
              <w:right w:w="100" w:type="dxa"/>
            </w:tcMar>
          </w:tcPr>
          <w:p>
            <w:pPr>
              <w:spacing w:after="0" w:line="240" w:lineRule="auto"/>
              <w:jc w:val="right"/>
            </w:pPr>
            <w:r>
              <w:rPr>
                <w:sz w:val="20"/>
              </w:rPr>
              <w:t>4.07%</w:t>
            </w:r>
          </w:p>
        </w:tc>
        <w:tc>
          <w:tcPr>
            <w:tcW w:type="dxa" w:w="1474"/>
            <w:tcMar>
              <w:top w:w="60" w:type="dxa"/>
              <w:left w:w="100" w:type="dxa"/>
              <w:bottom w:w="60" w:type="dxa"/>
              <w:right w:w="100" w:type="dxa"/>
            </w:tcMar>
          </w:tcPr>
          <w:p>
            <w:pPr>
              <w:spacing w:after="0" w:line="240" w:lineRule="auto"/>
              <w:jc w:val="right"/>
            </w:pPr>
            <w:r>
              <w:rPr>
                <w:sz w:val="20"/>
              </w:rPr>
              <w:t>0.24</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6,549</w:t>
            </w:r>
          </w:p>
        </w:tc>
      </w:tr>
      <w:tr>
        <w:trPr>
          <w:cantSplit/>
        </w:trPr>
        <w:tc>
          <w:tcPr>
            <w:tcW w:type="dxa" w:w="2608"/>
            <w:tcMar>
              <w:top w:w="60" w:type="dxa"/>
              <w:left w:w="100" w:type="dxa"/>
              <w:bottom w:w="60" w:type="dxa"/>
              <w:right w:w="100" w:type="dxa"/>
            </w:tcMar>
          </w:tcPr>
          <w:p>
            <w:pPr>
              <w:spacing w:after="0" w:line="240" w:lineRule="auto"/>
            </w:pPr>
            <w:r>
              <w:rPr>
                <w:sz w:val="20"/>
              </w:rPr>
              <w:t>4 Seasonal u=0.5</w:t>
            </w:r>
          </w:p>
        </w:tc>
        <w:tc>
          <w:tcPr>
            <w:tcW w:type="dxa" w:w="1531"/>
            <w:tcMar>
              <w:top w:w="60" w:type="dxa"/>
              <w:left w:w="100" w:type="dxa"/>
              <w:bottom w:w="60" w:type="dxa"/>
              <w:right w:w="100" w:type="dxa"/>
            </w:tcMar>
          </w:tcPr>
          <w:p>
            <w:pPr>
              <w:spacing w:after="0" w:line="240" w:lineRule="auto"/>
              <w:jc w:val="right"/>
            </w:pPr>
            <w:r>
              <w:rPr>
                <w:sz w:val="20"/>
              </w:rPr>
              <w:t>$146,156</w:t>
            </w:r>
          </w:p>
        </w:tc>
        <w:tc>
          <w:tcPr>
            <w:tcW w:type="dxa" w:w="1247"/>
            <w:tcMar>
              <w:top w:w="60" w:type="dxa"/>
              <w:left w:w="100" w:type="dxa"/>
              <w:bottom w:w="60" w:type="dxa"/>
              <w:right w:w="100" w:type="dxa"/>
            </w:tcMar>
          </w:tcPr>
          <w:p>
            <w:pPr>
              <w:spacing w:after="0" w:line="240" w:lineRule="auto"/>
              <w:jc w:val="right"/>
            </w:pPr>
            <w:r>
              <w:rPr>
                <w:sz w:val="20"/>
              </w:rPr>
              <w:t>2.04%</w:t>
            </w:r>
          </w:p>
        </w:tc>
        <w:tc>
          <w:tcPr>
            <w:tcW w:type="dxa" w:w="1474"/>
            <w:tcMar>
              <w:top w:w="60" w:type="dxa"/>
              <w:left w:w="100" w:type="dxa"/>
              <w:bottom w:w="60" w:type="dxa"/>
              <w:right w:w="100" w:type="dxa"/>
            </w:tcMar>
          </w:tcPr>
          <w:p>
            <w:pPr>
              <w:spacing w:after="0" w:line="240" w:lineRule="auto"/>
              <w:jc w:val="right"/>
            </w:pPr>
            <w:r>
              <w:rPr>
                <w:sz w:val="20"/>
              </w:rPr>
              <w:t>0.18</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7,994</w:t>
            </w:r>
          </w:p>
        </w:tc>
      </w:tr>
      <w:tr>
        <w:trPr>
          <w:cantSplit/>
        </w:trPr>
        <w:tc>
          <w:tcPr>
            <w:tcW w:type="dxa" w:w="2608"/>
            <w:tcMar>
              <w:top w:w="60" w:type="dxa"/>
              <w:left w:w="100" w:type="dxa"/>
              <w:bottom w:w="60" w:type="dxa"/>
              <w:right w:w="100" w:type="dxa"/>
            </w:tcMar>
          </w:tcPr>
          <w:p>
            <w:pPr>
              <w:spacing w:after="0" w:line="240" w:lineRule="auto"/>
            </w:pPr>
            <w:r>
              <w:rPr>
                <w:sz w:val="20"/>
              </w:rPr>
              <w:t>4 Seasonal u=0.3</w:t>
            </w:r>
          </w:p>
        </w:tc>
        <w:tc>
          <w:tcPr>
            <w:tcW w:type="dxa" w:w="1531"/>
            <w:tcMar>
              <w:top w:w="60" w:type="dxa"/>
              <w:left w:w="100" w:type="dxa"/>
              <w:bottom w:w="60" w:type="dxa"/>
              <w:right w:w="100" w:type="dxa"/>
            </w:tcMar>
          </w:tcPr>
          <w:p>
            <w:pPr>
              <w:spacing w:after="0" w:line="240" w:lineRule="auto"/>
              <w:jc w:val="right"/>
            </w:pPr>
            <w:r>
              <w:rPr>
                <w:sz w:val="20"/>
              </w:rPr>
              <w:t>$243,593</w:t>
            </w:r>
          </w:p>
        </w:tc>
        <w:tc>
          <w:tcPr>
            <w:tcW w:type="dxa" w:w="1247"/>
            <w:tcMar>
              <w:top w:w="60" w:type="dxa"/>
              <w:left w:w="100" w:type="dxa"/>
              <w:bottom w:w="60" w:type="dxa"/>
              <w:right w:w="100" w:type="dxa"/>
            </w:tcMar>
          </w:tcPr>
          <w:p>
            <w:pPr>
              <w:spacing w:after="0" w:line="240" w:lineRule="auto"/>
              <w:jc w:val="right"/>
            </w:pPr>
            <w:r>
              <w:rPr>
                <w:sz w:val="20"/>
              </w:rPr>
              <w:t>0.76%</w:t>
            </w:r>
          </w:p>
        </w:tc>
        <w:tc>
          <w:tcPr>
            <w:tcW w:type="dxa" w:w="1474"/>
            <w:tcMar>
              <w:top w:w="60" w:type="dxa"/>
              <w:left w:w="100" w:type="dxa"/>
              <w:bottom w:w="60" w:type="dxa"/>
              <w:right w:w="100" w:type="dxa"/>
            </w:tcMar>
          </w:tcPr>
          <w:p>
            <w:pPr>
              <w:spacing w:after="0" w:line="240" w:lineRule="auto"/>
              <w:jc w:val="right"/>
            </w:pPr>
            <w:r>
              <w:rPr>
                <w:sz w:val="20"/>
              </w:rPr>
              <w:t>0.11</w:t>
            </w:r>
          </w:p>
        </w:tc>
        <w:tc>
          <w:tcPr>
            <w:tcW w:type="dxa" w:w="1304"/>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11,255</w:t>
            </w:r>
          </w:p>
        </w:tc>
      </w:tr>
      <w:tr>
        <w:trPr>
          <w:cantSplit/>
        </w:trPr>
        <w:tc>
          <w:tcPr>
            <w:tcW w:type="dxa" w:w="2608"/>
            <w:tcMar>
              <w:top w:w="60" w:type="dxa"/>
              <w:left w:w="100" w:type="dxa"/>
              <w:bottom w:w="60" w:type="dxa"/>
              <w:right w:w="100" w:type="dxa"/>
            </w:tcMar>
          </w:tcPr>
          <w:p>
            <w:pPr>
              <w:spacing w:after="0" w:line="240" w:lineRule="auto"/>
            </w:pPr>
            <w:r>
              <w:rPr>
                <w:sz w:val="20"/>
              </w:rPr>
              <w:t>5 Hybrid-static</w:t>
            </w:r>
          </w:p>
        </w:tc>
        <w:tc>
          <w:tcPr>
            <w:tcW w:type="dxa" w:w="1531"/>
            <w:tcMar>
              <w:top w:w="60" w:type="dxa"/>
              <w:left w:w="100" w:type="dxa"/>
              <w:bottom w:w="60" w:type="dxa"/>
              <w:right w:w="100" w:type="dxa"/>
            </w:tcMar>
          </w:tcPr>
          <w:p>
            <w:pPr>
              <w:spacing w:after="0" w:line="240" w:lineRule="auto"/>
              <w:jc w:val="right"/>
            </w:pPr>
            <w:r>
              <w:rPr>
                <w:sz w:val="20"/>
              </w:rPr>
              <w:t>$34,361</w:t>
            </w:r>
          </w:p>
        </w:tc>
        <w:tc>
          <w:tcPr>
            <w:tcW w:type="dxa" w:w="1247"/>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0.86</w:t>
            </w:r>
          </w:p>
        </w:tc>
        <w:tc>
          <w:tcPr>
            <w:tcW w:type="dxa" w:w="1304"/>
            <w:tcMar>
              <w:top w:w="60" w:type="dxa"/>
              <w:left w:w="100" w:type="dxa"/>
              <w:bottom w:w="60" w:type="dxa"/>
              <w:right w:w="100" w:type="dxa"/>
            </w:tcMar>
          </w:tcPr>
          <w:p>
            <w:pPr>
              <w:spacing w:after="0" w:line="240" w:lineRule="auto"/>
              <w:jc w:val="right"/>
            </w:pPr>
            <w:r>
              <w:rPr>
                <w:sz w:val="20"/>
              </w:rPr>
              <w:t>0.29</w:t>
            </w:r>
          </w:p>
        </w:tc>
        <w:tc>
          <w:tcPr>
            <w:tcW w:type="dxa" w:w="1474"/>
            <w:tcMar>
              <w:top w:w="60" w:type="dxa"/>
              <w:left w:w="100" w:type="dxa"/>
              <w:bottom w:w="60" w:type="dxa"/>
              <w:right w:w="100" w:type="dxa"/>
            </w:tcMar>
          </w:tcPr>
          <w:p>
            <w:pPr>
              <w:spacing w:after="0" w:line="240" w:lineRule="auto"/>
              <w:jc w:val="right"/>
            </w:pPr>
            <w:r>
              <w:rPr>
                <w:sz w:val="20"/>
              </w:rPr>
              <w:t>3,239</w:t>
            </w:r>
          </w:p>
        </w:tc>
      </w:tr>
      <w:tr>
        <w:trPr>
          <w:cantSplit/>
        </w:trPr>
        <w:tc>
          <w:tcPr>
            <w:tcW w:type="dxa" w:w="2608"/>
            <w:tcMar>
              <w:top w:w="60" w:type="dxa"/>
              <w:left w:w="100" w:type="dxa"/>
              <w:bottom w:w="60" w:type="dxa"/>
              <w:right w:w="100" w:type="dxa"/>
            </w:tcMar>
          </w:tcPr>
          <w:p>
            <w:pPr>
              <w:spacing w:after="0" w:line="240" w:lineRule="auto"/>
            </w:pPr>
            <w:r>
              <w:rPr>
                <w:sz w:val="20"/>
              </w:rPr>
              <w:t>6 Hybrid-rolling</w:t>
            </w:r>
          </w:p>
        </w:tc>
        <w:tc>
          <w:tcPr>
            <w:tcW w:type="dxa" w:w="1531"/>
            <w:tcMar>
              <w:top w:w="60" w:type="dxa"/>
              <w:left w:w="100" w:type="dxa"/>
              <w:bottom w:w="60" w:type="dxa"/>
              <w:right w:w="100" w:type="dxa"/>
            </w:tcMar>
          </w:tcPr>
          <w:p>
            <w:pPr>
              <w:spacing w:after="0" w:line="240" w:lineRule="auto"/>
              <w:jc w:val="right"/>
            </w:pPr>
            <w:r>
              <w:rPr>
                <w:sz w:val="20"/>
              </w:rPr>
              <w:t>$32,221</w:t>
            </w:r>
          </w:p>
        </w:tc>
        <w:tc>
          <w:tcPr>
            <w:tcW w:type="dxa" w:w="1247"/>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0.91</w:t>
            </w:r>
          </w:p>
        </w:tc>
        <w:tc>
          <w:tcPr>
            <w:tcW w:type="dxa" w:w="1304"/>
            <w:tcMar>
              <w:top w:w="60" w:type="dxa"/>
              <w:left w:w="100" w:type="dxa"/>
              <w:bottom w:w="60" w:type="dxa"/>
              <w:right w:w="100" w:type="dxa"/>
            </w:tcMar>
          </w:tcPr>
          <w:p>
            <w:pPr>
              <w:spacing w:after="0" w:line="240" w:lineRule="auto"/>
              <w:jc w:val="right"/>
            </w:pPr>
            <w:r>
              <w:rPr>
                <w:sz w:val="20"/>
              </w:rPr>
              <w:t>0.22</w:t>
            </w:r>
          </w:p>
        </w:tc>
        <w:tc>
          <w:tcPr>
            <w:tcW w:type="dxa" w:w="1474"/>
            <w:tcMar>
              <w:top w:w="60" w:type="dxa"/>
              <w:left w:w="100" w:type="dxa"/>
              <w:bottom w:w="60" w:type="dxa"/>
              <w:right w:w="100" w:type="dxa"/>
            </w:tcMar>
          </w:tcPr>
          <w:p>
            <w:pPr>
              <w:spacing w:after="0" w:line="240" w:lineRule="auto"/>
              <w:jc w:val="right"/>
            </w:pPr>
            <w:r>
              <w:rPr>
                <w:sz w:val="20"/>
              </w:rPr>
              <w:t>3,455</w:t>
            </w:r>
          </w:p>
        </w:tc>
      </w:tr>
      <w:tr>
        <w:trPr>
          <w:cantSplit/>
        </w:trPr>
        <w:tc>
          <w:tcPr>
            <w:tcW w:type="dxa" w:w="2608"/>
            <w:tcMar>
              <w:top w:w="60" w:type="dxa"/>
              <w:left w:w="100" w:type="dxa"/>
              <w:bottom w:w="60" w:type="dxa"/>
              <w:right w:w="100" w:type="dxa"/>
            </w:tcMar>
          </w:tcPr>
          <w:p>
            <w:pPr>
              <w:spacing w:after="0" w:line="240" w:lineRule="auto"/>
            </w:pPr>
            <w:r>
              <w:rPr>
                <w:sz w:val="20"/>
              </w:rPr>
              <w:t>7 Hybrid-ML</w:t>
            </w:r>
          </w:p>
        </w:tc>
        <w:tc>
          <w:tcPr>
            <w:tcW w:type="dxa" w:w="1531"/>
            <w:tcMar>
              <w:top w:w="60" w:type="dxa"/>
              <w:left w:w="100" w:type="dxa"/>
              <w:bottom w:w="60" w:type="dxa"/>
              <w:right w:w="100" w:type="dxa"/>
            </w:tcMar>
          </w:tcPr>
          <w:p>
            <w:pPr>
              <w:spacing w:after="0" w:line="240" w:lineRule="auto"/>
              <w:jc w:val="right"/>
            </w:pPr>
            <w:r>
              <w:rPr>
                <w:sz w:val="20"/>
              </w:rPr>
              <w:t>$32,140</w:t>
            </w:r>
          </w:p>
        </w:tc>
        <w:tc>
          <w:tcPr>
            <w:tcW w:type="dxa" w:w="1247"/>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0.91</w:t>
            </w:r>
          </w:p>
        </w:tc>
        <w:tc>
          <w:tcPr>
            <w:tcW w:type="dxa" w:w="1304"/>
            <w:tcMar>
              <w:top w:w="60" w:type="dxa"/>
              <w:left w:w="100" w:type="dxa"/>
              <w:bottom w:w="60" w:type="dxa"/>
              <w:right w:w="100" w:type="dxa"/>
            </w:tcMar>
          </w:tcPr>
          <w:p>
            <w:pPr>
              <w:spacing w:after="0" w:line="240" w:lineRule="auto"/>
              <w:jc w:val="right"/>
            </w:pPr>
            <w:r>
              <w:rPr>
                <w:sz w:val="20"/>
              </w:rPr>
              <w:t>0.25</w:t>
            </w:r>
          </w:p>
        </w:tc>
        <w:tc>
          <w:tcPr>
            <w:tcW w:type="dxa" w:w="1474"/>
            <w:tcMar>
              <w:top w:w="60" w:type="dxa"/>
              <w:left w:w="100" w:type="dxa"/>
              <w:bottom w:w="60" w:type="dxa"/>
              <w:right w:w="100" w:type="dxa"/>
            </w:tcMar>
          </w:tcPr>
          <w:p>
            <w:pPr>
              <w:spacing w:after="0" w:line="240" w:lineRule="auto"/>
              <w:jc w:val="right"/>
            </w:pPr>
            <w:r>
              <w:rPr>
                <w:sz w:val="20"/>
              </w:rPr>
              <w:t>3,336</w:t>
            </w:r>
          </w:p>
        </w:tc>
      </w:tr>
      <w:tr>
        <w:trPr>
          <w:cantSplit/>
        </w:trPr>
        <w:tc>
          <w:tcPr>
            <w:tcW w:type="dxa" w:w="2608"/>
            <w:tcMar>
              <w:top w:w="60" w:type="dxa"/>
              <w:left w:w="100" w:type="dxa"/>
              <w:bottom w:w="60" w:type="dxa"/>
              <w:right w:w="100" w:type="dxa"/>
            </w:tcMar>
          </w:tcPr>
          <w:p>
            <w:pPr>
              <w:spacing w:after="0" w:line="240" w:lineRule="auto"/>
            </w:pPr>
            <w:r>
              <w:rPr>
                <w:sz w:val="20"/>
              </w:rPr>
              <w:t>8 Hybrid-oracle</w:t>
            </w:r>
          </w:p>
        </w:tc>
        <w:tc>
          <w:tcPr>
            <w:tcW w:type="dxa" w:w="1531"/>
            <w:tcMar>
              <w:top w:w="60" w:type="dxa"/>
              <w:left w:w="100" w:type="dxa"/>
              <w:bottom w:w="60" w:type="dxa"/>
              <w:right w:w="100" w:type="dxa"/>
            </w:tcMar>
          </w:tcPr>
          <w:p>
            <w:pPr>
              <w:spacing w:after="0" w:line="240" w:lineRule="auto"/>
              <w:jc w:val="right"/>
            </w:pPr>
            <w:r>
              <w:rPr>
                <w:sz w:val="20"/>
              </w:rPr>
              <w:t>$30,478</w:t>
            </w:r>
          </w:p>
        </w:tc>
        <w:tc>
          <w:tcPr>
            <w:tcW w:type="dxa" w:w="1247"/>
            <w:tcMar>
              <w:top w:w="60" w:type="dxa"/>
              <w:left w:w="100" w:type="dxa"/>
              <w:bottom w:w="60" w:type="dxa"/>
              <w:right w:w="100" w:type="dxa"/>
            </w:tcMar>
          </w:tcPr>
          <w:p>
            <w:pPr>
              <w:spacing w:after="0" w:line="240" w:lineRule="auto"/>
              <w:jc w:val="right"/>
            </w:pPr>
            <w:r>
              <w:rPr>
                <w:sz w:val="20"/>
              </w:rPr>
              <w:t>0.00%</w:t>
            </w:r>
          </w:p>
        </w:tc>
        <w:tc>
          <w:tcPr>
            <w:tcW w:type="dxa" w:w="1474"/>
            <w:tcMar>
              <w:top w:w="60" w:type="dxa"/>
              <w:left w:w="100" w:type="dxa"/>
              <w:bottom w:w="60" w:type="dxa"/>
              <w:right w:w="100" w:type="dxa"/>
            </w:tcMar>
          </w:tcPr>
          <w:p>
            <w:pPr>
              <w:spacing w:after="0" w:line="240" w:lineRule="auto"/>
              <w:jc w:val="right"/>
            </w:pPr>
            <w:r>
              <w:rPr>
                <w:sz w:val="20"/>
              </w:rPr>
              <w:t>0.94</w:t>
            </w:r>
          </w:p>
        </w:tc>
        <w:tc>
          <w:tcPr>
            <w:tcW w:type="dxa" w:w="1304"/>
            <w:tcMar>
              <w:top w:w="60" w:type="dxa"/>
              <w:left w:w="100" w:type="dxa"/>
              <w:bottom w:w="60" w:type="dxa"/>
              <w:right w:w="100" w:type="dxa"/>
            </w:tcMar>
          </w:tcPr>
          <w:p>
            <w:pPr>
              <w:spacing w:after="0" w:line="240" w:lineRule="auto"/>
              <w:jc w:val="right"/>
            </w:pPr>
            <w:r>
              <w:rPr>
                <w:sz w:val="20"/>
              </w:rPr>
              <w:t>0.18</w:t>
            </w:r>
          </w:p>
        </w:tc>
        <w:tc>
          <w:tcPr>
            <w:tcW w:type="dxa" w:w="1474"/>
            <w:tcMar>
              <w:top w:w="60" w:type="dxa"/>
              <w:left w:w="100" w:type="dxa"/>
              <w:bottom w:w="60" w:type="dxa"/>
              <w:right w:w="100" w:type="dxa"/>
            </w:tcMar>
          </w:tcPr>
          <w:p>
            <w:pPr>
              <w:spacing w:after="0" w:line="240" w:lineRule="auto"/>
              <w:jc w:val="right"/>
            </w:pPr>
            <w:r>
              <w:rPr>
                <w:sz w:val="20"/>
              </w:rPr>
              <w:t>3,567</w:t>
            </w:r>
          </w:p>
        </w:tc>
      </w:tr>
    </w:tbl>
    <w:p>
      <w:pPr>
        <w:spacing w:after="120"/>
      </w:pPr>
    </w:p>
    <w:p>
      <w:pPr>
        <w:keepNext/>
        <w:spacing w:after="80"/>
        <w:jc w:val="center"/>
      </w:pPr>
      <w:r>
        <w:drawing>
          <wp:inline xmlns:a="http://schemas.openxmlformats.org/drawingml/2006/main" xmlns:pic="http://schemas.openxmlformats.org/drawingml/2006/picture">
            <wp:extent cx="5220000" cy="2444753"/>
            <wp:docPr id="4" name="Picture 4"/>
            <wp:cNvGraphicFramePr>
              <a:graphicFrameLocks noChangeAspect="1"/>
            </wp:cNvGraphicFramePr>
            <a:graphic>
              <a:graphicData uri="http://schemas.openxmlformats.org/drawingml/2006/picture">
                <pic:pic>
                  <pic:nvPicPr>
                    <pic:cNvPr id="0" name="cost_comparison.png"/>
                    <pic:cNvPicPr/>
                  </pic:nvPicPr>
                  <pic:blipFill>
                    <a:blip r:embed="rId25"/>
                    <a:stretch>
                      <a:fillRect/>
                    </a:stretch>
                  </pic:blipFill>
                  <pic:spPr>
                    <a:xfrm>
                      <a:off x="0" y="0"/>
                      <a:ext cx="5220000" cy="2444753"/>
                    </a:xfrm>
                    <a:prstGeom prst="rect"/>
                  </pic:spPr>
                </pic:pic>
              </a:graphicData>
            </a:graphic>
          </wp:inline>
        </w:drawing>
      </w:r>
    </w:p>
    <w:p>
      <w:pPr>
        <w:spacing w:after="200" w:before="0" w:line="276" w:lineRule="auto"/>
        <w:jc w:val="center"/>
      </w:pPr>
      <w:r>
        <w:rPr>
          <w:sz w:val="22"/>
        </w:rPr>
        <w:t>Figure 4: Monthly cost by strategy; hatching marks strategies that drop load</w:t>
      </w:r>
    </w:p>
    <w:p>
      <w:pPr>
        <w:spacing w:after="140" w:before="0" w:line="340" w:lineRule="auto"/>
        <w:jc w:val="both"/>
      </w:pPr>
      <w:r>
        <w:rPr/>
        <w:t>The hybrids are the only strategies with no unserved load and the lowest cost. Hybrid-rolling costs $32.2k per month, 41% below all-Lambda ($54.6k) and 14% below the cheapest reactive setting (u = 0.7, $37.5k), which also drops 9.2% of the load. Lowering u reduces unserved load only slowly and raises cost steeply: u = 0.3 costs $87.5k and still drops 6.8%, which is consistent with a controller that sizes capacity from load five minutes old and has no fallback for load that arrives in the meantime. The seasonal emulation drops less load than reactive but costs more at every u, because capacity set from the past maximum of the same hour is high all hour. Peak-sizing costs $873.0k and still drops 0.49% on test days because the test peak exceeded the training peak.</w:t>
      </w:r>
    </w:p>
    <w:p>
      <w:pPr>
        <w:keepNext/>
        <w:spacing w:after="80"/>
        <w:jc w:val="center"/>
      </w:pPr>
      <w:r>
        <w:drawing>
          <wp:inline xmlns:a="http://schemas.openxmlformats.org/drawingml/2006/main" xmlns:pic="http://schemas.openxmlformats.org/drawingml/2006/picture">
            <wp:extent cx="4500000" cy="2738042"/>
            <wp:docPr id="5" name="Picture 5"/>
            <wp:cNvGraphicFramePr>
              <a:graphicFrameLocks noChangeAspect="1"/>
            </wp:cNvGraphicFramePr>
            <a:graphic>
              <a:graphicData uri="http://schemas.openxmlformats.org/drawingml/2006/picture">
                <pic:pic>
                  <pic:nvPicPr>
                    <pic:cNvPr id="0" name="unserved_vs_cost.png"/>
                    <pic:cNvPicPr/>
                  </pic:nvPicPr>
                  <pic:blipFill>
                    <a:blip r:embed="rId26"/>
                    <a:stretch>
                      <a:fillRect/>
                    </a:stretch>
                  </pic:blipFill>
                  <pic:spPr>
                    <a:xfrm>
                      <a:off x="0" y="0"/>
                      <a:ext cx="4500000" cy="2738042"/>
                    </a:xfrm>
                    <a:prstGeom prst="rect"/>
                  </pic:spPr>
                </pic:pic>
              </a:graphicData>
            </a:graphic>
          </wp:inline>
        </w:drawing>
      </w:r>
    </w:p>
    <w:p>
      <w:pPr>
        <w:spacing w:after="200" w:before="0" w:line="276" w:lineRule="auto"/>
        <w:jc w:val="center"/>
      </w:pPr>
      <w:r>
        <w:rPr>
          <w:sz w:val="22"/>
        </w:rPr>
        <w:t>Figure 5: Cost against unserved load for the reactive and seasonal sweeps, and the hybrids</w:t>
      </w:r>
    </w:p>
    <w:p>
      <w:pPr>
        <w:pStyle w:val="Heading2"/>
      </w:pPr>
      <w:r>
        <w:t>8.4 Does the ML forecaster help?</w:t>
      </w:r>
    </w:p>
    <w:p>
      <w:pPr>
        <w:keepNext/>
        <w:spacing w:after="80" w:before="120" w:line="276" w:lineRule="auto"/>
        <w:jc w:val="center"/>
      </w:pPr>
      <w:r>
        <w:rPr>
          <w:sz w:val="22"/>
        </w:rPr>
        <w:t>Table 10: Decision cost of the hybrid base policies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6"/>
        <w:gridCol w:w="2256"/>
        <w:gridCol w:w="2256"/>
        <w:gridCol w:w="2256"/>
      </w:tblGrid>
      <w:tr>
        <w:trPr>
          <w:cantSplit/>
          <w:tblHeader/>
        </w:trPr>
        <w:tc>
          <w:tcPr>
            <w:tcW w:type="dxa" w:w="2608"/>
            <w:tcMar>
              <w:top w:w="60" w:type="dxa"/>
              <w:left w:w="100" w:type="dxa"/>
              <w:bottom w:w="60" w:type="dxa"/>
              <w:right w:w="100" w:type="dxa"/>
            </w:tcMar>
            <w:shd w:val="clear" w:color="auto" w:fill="D9D9D9"/>
          </w:tcPr>
          <w:p>
            <w:pPr>
              <w:spacing w:after="0" w:line="240" w:lineRule="auto"/>
            </w:pPr>
            <w:r>
              <w:rPr>
                <w:b/>
                <w:sz w:val="20"/>
              </w:rPr>
              <w:t>Hybrid variant</w:t>
            </w:r>
          </w:p>
        </w:tc>
        <w:tc>
          <w:tcPr>
            <w:tcW w:type="dxa" w:w="2268"/>
            <w:tcMar>
              <w:top w:w="60" w:type="dxa"/>
              <w:left w:w="100" w:type="dxa"/>
              <w:bottom w:w="60" w:type="dxa"/>
              <w:right w:w="100" w:type="dxa"/>
            </w:tcMar>
            <w:shd w:val="clear" w:color="auto" w:fill="D9D9D9"/>
          </w:tcPr>
          <w:p>
            <w:pPr>
              <w:spacing w:after="0" w:line="240" w:lineRule="auto"/>
            </w:pPr>
            <w:r>
              <w:rPr>
                <w:b/>
                <w:sz w:val="20"/>
              </w:rPr>
              <w:t>Validation cost / month</w:t>
            </w:r>
          </w:p>
        </w:tc>
        <w:tc>
          <w:tcPr>
            <w:tcW w:type="dxa" w:w="2041"/>
            <w:tcMar>
              <w:top w:w="60" w:type="dxa"/>
              <w:left w:w="100" w:type="dxa"/>
              <w:bottom w:w="60" w:type="dxa"/>
              <w:right w:w="100" w:type="dxa"/>
            </w:tcMar>
            <w:shd w:val="clear" w:color="auto" w:fill="D9D9D9"/>
          </w:tcPr>
          <w:p>
            <w:pPr>
              <w:spacing w:after="0" w:line="240" w:lineRule="auto"/>
            </w:pPr>
            <w:r>
              <w:rPr>
                <w:b/>
                <w:sz w:val="20"/>
              </w:rPr>
              <w:t>Test cost / month</w:t>
            </w:r>
          </w:p>
        </w:tc>
        <w:tc>
          <w:tcPr>
            <w:tcW w:type="dxa" w:w="2041"/>
            <w:tcMar>
              <w:top w:w="60" w:type="dxa"/>
              <w:left w:w="100" w:type="dxa"/>
              <w:bottom w:w="60" w:type="dxa"/>
              <w:right w:w="100" w:type="dxa"/>
            </w:tcMar>
            <w:shd w:val="clear" w:color="auto" w:fill="D9D9D9"/>
          </w:tcPr>
          <w:p>
            <w:pPr>
              <w:spacing w:after="0" w:line="240" w:lineRule="auto"/>
            </w:pPr>
            <w:r>
              <w:rPr>
                <w:b/>
                <w:sz w:val="20"/>
              </w:rPr>
              <w:t>Test Lambda share</w:t>
            </w:r>
          </w:p>
        </w:tc>
      </w:tr>
      <w:tr>
        <w:trPr>
          <w:cantSplit/>
        </w:trPr>
        <w:tc>
          <w:tcPr>
            <w:tcW w:type="dxa" w:w="2608"/>
            <w:tcMar>
              <w:top w:w="60" w:type="dxa"/>
              <w:left w:w="100" w:type="dxa"/>
              <w:bottom w:w="60" w:type="dxa"/>
              <w:right w:w="100" w:type="dxa"/>
            </w:tcMar>
          </w:tcPr>
          <w:p>
            <w:pPr>
              <w:spacing w:after="0" w:line="240" w:lineRule="auto"/>
            </w:pPr>
            <w:r>
              <w:rPr>
                <w:sz w:val="20"/>
              </w:rPr>
              <w:t>Static quantile (5)</w:t>
            </w:r>
          </w:p>
        </w:tc>
        <w:tc>
          <w:tcPr>
            <w:tcW w:type="dxa" w:w="2268"/>
            <w:tcMar>
              <w:top w:w="60" w:type="dxa"/>
              <w:left w:w="100" w:type="dxa"/>
              <w:bottom w:w="60" w:type="dxa"/>
              <w:right w:w="100" w:type="dxa"/>
            </w:tcMar>
          </w:tcPr>
          <w:p>
            <w:pPr>
              <w:spacing w:after="0" w:line="240" w:lineRule="auto"/>
              <w:jc w:val="right"/>
            </w:pPr>
            <w:r>
              <w:rPr>
                <w:sz w:val="20"/>
              </w:rPr>
              <w:t>$34,777</w:t>
            </w:r>
          </w:p>
        </w:tc>
        <w:tc>
          <w:tcPr>
            <w:tcW w:type="dxa" w:w="2041"/>
            <w:tcMar>
              <w:top w:w="60" w:type="dxa"/>
              <w:left w:w="100" w:type="dxa"/>
              <w:bottom w:w="60" w:type="dxa"/>
              <w:right w:w="100" w:type="dxa"/>
            </w:tcMar>
          </w:tcPr>
          <w:p>
            <w:pPr>
              <w:spacing w:after="0" w:line="240" w:lineRule="auto"/>
              <w:jc w:val="right"/>
            </w:pPr>
            <w:r>
              <w:rPr>
                <w:sz w:val="20"/>
              </w:rPr>
              <w:t>$34,361</w:t>
            </w:r>
          </w:p>
        </w:tc>
        <w:tc>
          <w:tcPr>
            <w:tcW w:type="dxa" w:w="2041"/>
            <w:tcMar>
              <w:top w:w="60" w:type="dxa"/>
              <w:left w:w="100" w:type="dxa"/>
              <w:bottom w:w="60" w:type="dxa"/>
              <w:right w:w="100" w:type="dxa"/>
            </w:tcMar>
          </w:tcPr>
          <w:p>
            <w:pPr>
              <w:spacing w:after="0" w:line="240" w:lineRule="auto"/>
              <w:jc w:val="right"/>
            </w:pPr>
            <w:r>
              <w:rPr>
                <w:sz w:val="20"/>
              </w:rPr>
              <w:t>0.29</w:t>
            </w:r>
          </w:p>
        </w:tc>
      </w:tr>
      <w:tr>
        <w:trPr>
          <w:cantSplit/>
        </w:trPr>
        <w:tc>
          <w:tcPr>
            <w:tcW w:type="dxa" w:w="2608"/>
            <w:tcMar>
              <w:top w:w="60" w:type="dxa"/>
              <w:left w:w="100" w:type="dxa"/>
              <w:bottom w:w="60" w:type="dxa"/>
              <w:right w:w="100" w:type="dxa"/>
            </w:tcMar>
          </w:tcPr>
          <w:p>
            <w:pPr>
              <w:spacing w:after="0" w:line="240" w:lineRule="auto"/>
            </w:pPr>
            <w:r>
              <w:rPr>
                <w:sz w:val="20"/>
              </w:rPr>
              <w:t>Rolling 6 h (6)</w:t>
            </w:r>
          </w:p>
        </w:tc>
        <w:tc>
          <w:tcPr>
            <w:tcW w:type="dxa" w:w="2268"/>
            <w:tcMar>
              <w:top w:w="60" w:type="dxa"/>
              <w:left w:w="100" w:type="dxa"/>
              <w:bottom w:w="60" w:type="dxa"/>
              <w:right w:w="100" w:type="dxa"/>
            </w:tcMar>
          </w:tcPr>
          <w:p>
            <w:pPr>
              <w:spacing w:after="0" w:line="240" w:lineRule="auto"/>
              <w:jc w:val="right"/>
            </w:pPr>
            <w:r>
              <w:rPr>
                <w:sz w:val="20"/>
              </w:rPr>
              <w:t>$33,979</w:t>
            </w:r>
          </w:p>
        </w:tc>
        <w:tc>
          <w:tcPr>
            <w:tcW w:type="dxa" w:w="2041"/>
            <w:tcMar>
              <w:top w:w="60" w:type="dxa"/>
              <w:left w:w="100" w:type="dxa"/>
              <w:bottom w:w="60" w:type="dxa"/>
              <w:right w:w="100" w:type="dxa"/>
            </w:tcMar>
          </w:tcPr>
          <w:p>
            <w:pPr>
              <w:spacing w:after="0" w:line="240" w:lineRule="auto"/>
              <w:jc w:val="right"/>
            </w:pPr>
            <w:r>
              <w:rPr>
                <w:sz w:val="20"/>
              </w:rPr>
              <w:t>$32,221</w:t>
            </w:r>
          </w:p>
        </w:tc>
        <w:tc>
          <w:tcPr>
            <w:tcW w:type="dxa" w:w="2041"/>
            <w:tcMar>
              <w:top w:w="60" w:type="dxa"/>
              <w:left w:w="100" w:type="dxa"/>
              <w:bottom w:w="60" w:type="dxa"/>
              <w:right w:w="100" w:type="dxa"/>
            </w:tcMar>
          </w:tcPr>
          <w:p>
            <w:pPr>
              <w:spacing w:after="0" w:line="240" w:lineRule="auto"/>
              <w:jc w:val="right"/>
            </w:pPr>
            <w:r>
              <w:rPr>
                <w:sz w:val="20"/>
              </w:rPr>
              <w:t>0.22</w:t>
            </w:r>
          </w:p>
        </w:tc>
      </w:tr>
      <w:tr>
        <w:trPr>
          <w:cantSplit/>
        </w:trPr>
        <w:tc>
          <w:tcPr>
            <w:tcW w:type="dxa" w:w="2608"/>
            <w:tcMar>
              <w:top w:w="60" w:type="dxa"/>
              <w:left w:w="100" w:type="dxa"/>
              <w:bottom w:w="60" w:type="dxa"/>
              <w:right w:w="100" w:type="dxa"/>
            </w:tcMar>
          </w:tcPr>
          <w:p>
            <w:pPr>
              <w:spacing w:after="0" w:line="240" w:lineRule="auto"/>
            </w:pPr>
            <w:r>
              <w:rPr>
                <w:sz w:val="20"/>
              </w:rPr>
              <w:t>LightGBM (7)</w:t>
            </w:r>
          </w:p>
        </w:tc>
        <w:tc>
          <w:tcPr>
            <w:tcW w:type="dxa" w:w="2268"/>
            <w:tcMar>
              <w:top w:w="60" w:type="dxa"/>
              <w:left w:w="100" w:type="dxa"/>
              <w:bottom w:w="60" w:type="dxa"/>
              <w:right w:w="100" w:type="dxa"/>
            </w:tcMar>
          </w:tcPr>
          <w:p>
            <w:pPr>
              <w:spacing w:after="0" w:line="240" w:lineRule="auto"/>
              <w:jc w:val="right"/>
            </w:pPr>
            <w:r>
              <w:rPr>
                <w:sz w:val="20"/>
              </w:rPr>
              <w:t>$33,221</w:t>
            </w:r>
          </w:p>
        </w:tc>
        <w:tc>
          <w:tcPr>
            <w:tcW w:type="dxa" w:w="2041"/>
            <w:tcMar>
              <w:top w:w="60" w:type="dxa"/>
              <w:left w:w="100" w:type="dxa"/>
              <w:bottom w:w="60" w:type="dxa"/>
              <w:right w:w="100" w:type="dxa"/>
            </w:tcMar>
          </w:tcPr>
          <w:p>
            <w:pPr>
              <w:spacing w:after="0" w:line="240" w:lineRule="auto"/>
              <w:jc w:val="right"/>
            </w:pPr>
            <w:r>
              <w:rPr>
                <w:sz w:val="20"/>
              </w:rPr>
              <w:t>$32,140</w:t>
            </w:r>
          </w:p>
        </w:tc>
        <w:tc>
          <w:tcPr>
            <w:tcW w:type="dxa" w:w="2041"/>
            <w:tcMar>
              <w:top w:w="60" w:type="dxa"/>
              <w:left w:w="100" w:type="dxa"/>
              <w:bottom w:w="60" w:type="dxa"/>
              <w:right w:w="100" w:type="dxa"/>
            </w:tcMar>
          </w:tcPr>
          <w:p>
            <w:pPr>
              <w:spacing w:after="0" w:line="240" w:lineRule="auto"/>
              <w:jc w:val="right"/>
            </w:pPr>
            <w:r>
              <w:rPr>
                <w:sz w:val="20"/>
              </w:rPr>
              <w:t>0.25</w:t>
            </w:r>
          </w:p>
        </w:tc>
      </w:tr>
      <w:tr>
        <w:trPr>
          <w:cantSplit/>
        </w:trPr>
        <w:tc>
          <w:tcPr>
            <w:tcW w:type="dxa" w:w="2608"/>
            <w:tcMar>
              <w:top w:w="60" w:type="dxa"/>
              <w:left w:w="100" w:type="dxa"/>
              <w:bottom w:w="60" w:type="dxa"/>
              <w:right w:w="100" w:type="dxa"/>
            </w:tcMar>
          </w:tcPr>
          <w:p>
            <w:pPr>
              <w:spacing w:after="0" w:line="240" w:lineRule="auto"/>
            </w:pPr>
            <w:r>
              <w:rPr>
                <w:sz w:val="20"/>
              </w:rPr>
              <w:t>Oracle (8)</w:t>
            </w:r>
          </w:p>
        </w:tc>
        <w:tc>
          <w:tcPr>
            <w:tcW w:type="dxa" w:w="2268"/>
            <w:tcMar>
              <w:top w:w="60" w:type="dxa"/>
              <w:left w:w="100" w:type="dxa"/>
              <w:bottom w:w="60" w:type="dxa"/>
              <w:right w:w="100" w:type="dxa"/>
            </w:tcMar>
          </w:tcPr>
          <w:p>
            <w:pPr>
              <w:spacing w:after="0" w:line="240" w:lineRule="auto"/>
              <w:jc w:val="right"/>
            </w:pPr>
            <w:r>
              <w:rPr>
                <w:sz w:val="20"/>
              </w:rPr>
              <w:t>$31,847</w:t>
            </w:r>
          </w:p>
        </w:tc>
        <w:tc>
          <w:tcPr>
            <w:tcW w:type="dxa" w:w="2041"/>
            <w:tcMar>
              <w:top w:w="60" w:type="dxa"/>
              <w:left w:w="100" w:type="dxa"/>
              <w:bottom w:w="60" w:type="dxa"/>
              <w:right w:w="100" w:type="dxa"/>
            </w:tcMar>
          </w:tcPr>
          <w:p>
            <w:pPr>
              <w:spacing w:after="0" w:line="240" w:lineRule="auto"/>
              <w:jc w:val="right"/>
            </w:pPr>
            <w:r>
              <w:rPr>
                <w:sz w:val="20"/>
              </w:rPr>
              <w:t>$30,478</w:t>
            </w:r>
          </w:p>
        </w:tc>
        <w:tc>
          <w:tcPr>
            <w:tcW w:type="dxa" w:w="2041"/>
            <w:tcMar>
              <w:top w:w="60" w:type="dxa"/>
              <w:left w:w="100" w:type="dxa"/>
              <w:bottom w:w="60" w:type="dxa"/>
              <w:right w:w="100" w:type="dxa"/>
            </w:tcMar>
          </w:tcPr>
          <w:p>
            <w:pPr>
              <w:spacing w:after="0" w:line="240" w:lineRule="auto"/>
              <w:jc w:val="right"/>
            </w:pPr>
            <w:r>
              <w:rPr>
                <w:sz w:val="20"/>
              </w:rPr>
              <w:t>0.18</w:t>
            </w:r>
          </w:p>
        </w:tc>
      </w:tr>
    </w:tbl>
    <w:p>
      <w:pPr>
        <w:spacing w:after="120"/>
      </w:pPr>
    </w:p>
    <w:p>
      <w:pPr>
        <w:spacing w:after="140" w:before="0" w:line="340" w:lineRule="auto"/>
        <w:jc w:val="both"/>
      </w:pPr>
      <w:r>
        <w:rPr>
          <w:b/>
        </w:rPr>
        <w:t>The ML forecaster does not meaningfully beat the rolling 6-hour baseline.</w:t>
      </w:r>
      <w:r>
        <w:rPr/>
        <w:t xml:space="preserve"> On validation LightGBM is 2.2% cheaper than rolling 6 h; on test it is 0.25% cheaper, a difference well inside what the sweeps over assumptions move. The whole gap from rolling 6 h to the hindsight oracle is only 5.4% of cost, which is the most any forecaster could gain on this population. Better accuracy at the upper quantiles shows up as a small gain that shrinks from 2.2% on validation to 0.25% on test, and on test the ML base sends a larger share of load to Lambda (0.25 against 0.22). Under the originally assumed capacity of 16 the same comparison gave -4.1% with 11.6% headroom, which is consistent with the preliminary exploration that suggested about 10% headroom. The practical conclusion is that the newsvendor rule, not the sophistication of the forecaster, delivers most of the benefit; a rolling quantile captures nearly all of it.</w:t>
      </w:r>
    </w:p>
    <w:p>
      <w:pPr>
        <w:pStyle w:val="Heading2"/>
      </w:pPr>
      <w:r>
        <w:t>8.5 Latency</w:t>
      </w:r>
    </w:p>
    <w:p>
      <w:pPr>
        <w:spacing w:after="140" w:before="0" w:line="340" w:lineRule="auto"/>
        <w:jc w:val="both"/>
      </w:pPr>
      <w:r>
        <w:rPr/>
        <w:t>The simulator has no latency model. Latency is measured live (Section 8.8). The calibration gives the building blocks: an EC2 instance holds p95 near the service time up to its capacity and degrades sharply beyond it, and Lambda adds a cold-start overhead (Table 5).</w:t>
      </w:r>
    </w:p>
    <w:p>
      <w:pPr>
        <w:pStyle w:val="Heading2"/>
      </w:pPr>
      <w:r>
        <w:t>8.6 Energy (estimate)</w:t>
      </w:r>
    </w:p>
    <w:p>
      <w:pPr>
        <w:spacing w:after="140" w:before="0" w:line="340" w:lineRule="auto"/>
        <w:jc w:val="both"/>
      </w:pPr>
      <w:r>
        <w:rPr/>
        <w:t xml:space="preserve">Energy is estimated with the Cloud Carbon Footprint methodology [9]: watts per vCPU = 0.74 + utilisation x (3.5 - 0.74), multiplied by vCPU-hours; Lambda uses vCPUs = memory in MB / 1792 at 50% utilisation. This is an </w:t>
      </w:r>
      <w:r>
        <w:rPr>
          <w:b/>
        </w:rPr>
        <w:t>estimate</w:t>
      </w:r>
      <w:r>
        <w:rPr/>
        <w:t xml:space="preserve">, not a measurement. On this basis all-Lambda uses the least energy (1,040 kWh per month), the hybrids use about 3,455 kWh, and the reactive strategies use 4,173 kWh or more. The reason is that the methodology charges an idle vCPU 0.74 W, so any strategy that keeps containers running pays for idle time that Lambda does not. The hybrid therefore saves money but, by this estimate, </w:t>
      </w:r>
      <w:r>
        <w:rPr>
          <w:b/>
        </w:rPr>
        <w:t>not</w:t>
      </w:r>
      <w:r>
        <w:rPr/>
        <w:t xml:space="preserve"> energy relative to all-Lambda; it does use far less energy than reactive scaling at low u. The result is sensitive to the idle-power coefficient and to treating Lambda at 50% utilisation.</w:t>
      </w:r>
    </w:p>
    <w:p>
      <w:pPr>
        <w:pStyle w:val="Heading2"/>
      </w:pPr>
      <w:r>
        <w:t>8.7 Per-function distribution and sensitivity</w:t>
      </w:r>
    </w:p>
    <w:p>
      <w:pPr>
        <w:spacing w:after="140" w:before="0" w:line="340" w:lineRule="auto"/>
        <w:jc w:val="both"/>
      </w:pPr>
      <w:r>
        <w:rPr/>
        <w:t>Across functions, the ratio of hybrid-rolling cost to the best single platform has median 0.86 (5th percentile 0.47, 95th percentile 1.01); hybrid-rolling is cheaper than all-Lambda for 82% of functions. For roughly a quarter of the functions (75th percentile ratio 1.00) the hybrid is no cheaper than the best single platform, so the saving comes from the other three quarters; we did not analyse which load characteristics separate the two groups.</w:t>
      </w:r>
    </w:p>
    <w:p>
      <w:pPr>
        <w:keepNext/>
        <w:spacing w:after="80" w:before="120" w:line="276" w:lineRule="auto"/>
        <w:jc w:val="center"/>
      </w:pPr>
      <w:r>
        <w:rPr>
          <w:sz w:val="22"/>
        </w:rPr>
        <w:t>Table 11: Sensitivity of cost to assumptions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5"/>
        <w:gridCol w:w="1805"/>
        <w:gridCol w:w="1805"/>
        <w:gridCol w:w="1805"/>
        <w:gridCol w:w="1805"/>
      </w:tblGrid>
      <w:tr>
        <w:trPr>
          <w:cantSplit/>
          <w:tblHeader/>
        </w:trPr>
        <w:tc>
          <w:tcPr>
            <w:tcW w:type="dxa" w:w="3175"/>
            <w:tcMar>
              <w:top w:w="60" w:type="dxa"/>
              <w:left w:w="100" w:type="dxa"/>
              <w:bottom w:w="60" w:type="dxa"/>
              <w:right w:w="100" w:type="dxa"/>
            </w:tcMar>
            <w:shd w:val="clear" w:color="auto" w:fill="D9D9D9"/>
          </w:tcPr>
          <w:p>
            <w:pPr>
              <w:spacing w:after="0" w:line="240" w:lineRule="auto"/>
            </w:pPr>
            <w:r>
              <w:rPr>
                <w:b/>
                <w:sz w:val="20"/>
              </w:rPr>
              <w:t>Scenario (test, monthly)</w:t>
            </w:r>
          </w:p>
        </w:tc>
        <w:tc>
          <w:tcPr>
            <w:tcW w:type="dxa" w:w="1474"/>
            <w:tcMar>
              <w:top w:w="60" w:type="dxa"/>
              <w:left w:w="100" w:type="dxa"/>
              <w:bottom w:w="60" w:type="dxa"/>
              <w:right w:w="100" w:type="dxa"/>
            </w:tcMar>
            <w:shd w:val="clear" w:color="auto" w:fill="D9D9D9"/>
          </w:tcPr>
          <w:p>
            <w:pPr>
              <w:spacing w:after="0" w:line="240" w:lineRule="auto"/>
            </w:pPr>
            <w:r>
              <w:rPr>
                <w:b/>
                <w:sz w:val="20"/>
              </w:rPr>
              <w:t>All-Lambda</w:t>
            </w:r>
          </w:p>
        </w:tc>
        <w:tc>
          <w:tcPr>
            <w:tcW w:type="dxa" w:w="1587"/>
            <w:tcMar>
              <w:top w:w="60" w:type="dxa"/>
              <w:left w:w="100" w:type="dxa"/>
              <w:bottom w:w="60" w:type="dxa"/>
              <w:right w:w="100" w:type="dxa"/>
            </w:tcMar>
            <w:shd w:val="clear" w:color="auto" w:fill="D9D9D9"/>
          </w:tcPr>
          <w:p>
            <w:pPr>
              <w:spacing w:after="0" w:line="240" w:lineRule="auto"/>
            </w:pPr>
            <w:r>
              <w:rPr>
                <w:b/>
                <w:sz w:val="20"/>
              </w:rPr>
              <w:t>Reactive u=0.3</w:t>
            </w:r>
          </w:p>
        </w:tc>
        <w:tc>
          <w:tcPr>
            <w:tcW w:type="dxa" w:w="1587"/>
            <w:tcMar>
              <w:top w:w="60" w:type="dxa"/>
              <w:left w:w="100" w:type="dxa"/>
              <w:bottom w:w="60" w:type="dxa"/>
              <w:right w:w="100" w:type="dxa"/>
            </w:tcMar>
            <w:shd w:val="clear" w:color="auto" w:fill="D9D9D9"/>
          </w:tcPr>
          <w:p>
            <w:pPr>
              <w:spacing w:after="0" w:line="240" w:lineRule="auto"/>
            </w:pPr>
            <w:r>
              <w:rPr>
                <w:b/>
                <w:sz w:val="20"/>
              </w:rPr>
              <w:t>Hybrid-rolling</w:t>
            </w:r>
          </w:p>
        </w:tc>
        <w:tc>
          <w:tcPr>
            <w:tcW w:type="dxa" w:w="1474"/>
            <w:tcMar>
              <w:top w:w="60" w:type="dxa"/>
              <w:left w:w="100" w:type="dxa"/>
              <w:bottom w:w="60" w:type="dxa"/>
              <w:right w:w="100" w:type="dxa"/>
            </w:tcMar>
            <w:shd w:val="clear" w:color="auto" w:fill="D9D9D9"/>
          </w:tcPr>
          <w:p>
            <w:pPr>
              <w:spacing w:after="0" w:line="240" w:lineRule="auto"/>
            </w:pPr>
            <w:r>
              <w:rPr>
                <w:b/>
                <w:sz w:val="20"/>
              </w:rPr>
              <w:t>Hybrid-oracle</w:t>
            </w:r>
          </w:p>
        </w:tc>
      </w:tr>
      <w:tr>
        <w:trPr>
          <w:cantSplit/>
        </w:trPr>
        <w:tc>
          <w:tcPr>
            <w:tcW w:type="dxa" w:w="3175"/>
            <w:tcMar>
              <w:top w:w="60" w:type="dxa"/>
              <w:left w:w="100" w:type="dxa"/>
              <w:bottom w:w="60" w:type="dxa"/>
              <w:right w:w="100" w:type="dxa"/>
            </w:tcMar>
          </w:tcPr>
          <w:p>
            <w:pPr>
              <w:spacing w:after="0" w:line="240" w:lineRule="auto"/>
            </w:pPr>
            <w:r>
              <w:rPr>
                <w:sz w:val="20"/>
              </w:rPr>
              <w:t>Baseline</w:t>
            </w:r>
          </w:p>
        </w:tc>
        <w:tc>
          <w:tcPr>
            <w:tcW w:type="dxa" w:w="1474"/>
            <w:tcMar>
              <w:top w:w="60" w:type="dxa"/>
              <w:left w:w="100" w:type="dxa"/>
              <w:bottom w:w="60" w:type="dxa"/>
              <w:right w:w="100" w:type="dxa"/>
            </w:tcMar>
          </w:tcPr>
          <w:p>
            <w:pPr>
              <w:spacing w:after="0" w:line="240" w:lineRule="auto"/>
              <w:jc w:val="right"/>
            </w:pPr>
            <w:r>
              <w:rPr>
                <w:sz w:val="20"/>
              </w:rPr>
              <w:t>$54,624</w:t>
            </w:r>
          </w:p>
        </w:tc>
        <w:tc>
          <w:tcPr>
            <w:tcW w:type="dxa" w:w="1587"/>
            <w:tcMar>
              <w:top w:w="60" w:type="dxa"/>
              <w:left w:w="100" w:type="dxa"/>
              <w:bottom w:w="60" w:type="dxa"/>
              <w:right w:w="100" w:type="dxa"/>
            </w:tcMar>
          </w:tcPr>
          <w:p>
            <w:pPr>
              <w:spacing w:after="0" w:line="240" w:lineRule="auto"/>
              <w:jc w:val="right"/>
            </w:pPr>
            <w:r>
              <w:rPr>
                <w:sz w:val="20"/>
              </w:rPr>
              <w:t>$87,464</w:t>
            </w:r>
          </w:p>
        </w:tc>
        <w:tc>
          <w:tcPr>
            <w:tcW w:type="dxa" w:w="1587"/>
            <w:tcMar>
              <w:top w:w="60" w:type="dxa"/>
              <w:left w:w="100" w:type="dxa"/>
              <w:bottom w:w="60" w:type="dxa"/>
              <w:right w:w="100" w:type="dxa"/>
            </w:tcMar>
          </w:tcPr>
          <w:p>
            <w:pPr>
              <w:spacing w:after="0" w:line="240" w:lineRule="auto"/>
              <w:jc w:val="right"/>
            </w:pPr>
            <w:r>
              <w:rPr>
                <w:sz w:val="20"/>
              </w:rPr>
              <w:t>$32,221</w:t>
            </w:r>
          </w:p>
        </w:tc>
        <w:tc>
          <w:tcPr>
            <w:tcW w:type="dxa" w:w="1474"/>
            <w:tcMar>
              <w:top w:w="60" w:type="dxa"/>
              <w:left w:w="100" w:type="dxa"/>
              <w:bottom w:w="60" w:type="dxa"/>
              <w:right w:w="100" w:type="dxa"/>
            </w:tcMar>
          </w:tcPr>
          <w:p>
            <w:pPr>
              <w:spacing w:after="0" w:line="240" w:lineRule="auto"/>
              <w:jc w:val="right"/>
            </w:pPr>
            <w:r>
              <w:rPr>
                <w:sz w:val="20"/>
              </w:rPr>
              <w:t>$30,478</w:t>
            </w:r>
          </w:p>
        </w:tc>
      </w:tr>
      <w:tr>
        <w:trPr>
          <w:cantSplit/>
        </w:trPr>
        <w:tc>
          <w:tcPr>
            <w:tcW w:type="dxa" w:w="3175"/>
            <w:tcMar>
              <w:top w:w="60" w:type="dxa"/>
              <w:left w:w="100" w:type="dxa"/>
              <w:bottom w:w="60" w:type="dxa"/>
              <w:right w:w="100" w:type="dxa"/>
            </w:tcMar>
          </w:tcPr>
          <w:p>
            <w:pPr>
              <w:spacing w:after="0" w:line="240" w:lineRule="auto"/>
            </w:pPr>
            <w:r>
              <w:rPr>
                <w:sz w:val="20"/>
              </w:rPr>
              <w:t>Capacity per unit x0.5</w:t>
            </w:r>
          </w:p>
        </w:tc>
        <w:tc>
          <w:tcPr>
            <w:tcW w:type="dxa" w:w="1474"/>
            <w:tcMar>
              <w:top w:w="60" w:type="dxa"/>
              <w:left w:w="100" w:type="dxa"/>
              <w:bottom w:w="60" w:type="dxa"/>
              <w:right w:w="100" w:type="dxa"/>
            </w:tcMar>
          </w:tcPr>
          <w:p>
            <w:pPr>
              <w:spacing w:after="0" w:line="240" w:lineRule="auto"/>
              <w:jc w:val="right"/>
            </w:pPr>
            <w:r>
              <w:rPr>
                <w:sz w:val="20"/>
              </w:rPr>
              <w:t>$54,624</w:t>
            </w:r>
          </w:p>
        </w:tc>
        <w:tc>
          <w:tcPr>
            <w:tcW w:type="dxa" w:w="1587"/>
            <w:tcMar>
              <w:top w:w="60" w:type="dxa"/>
              <w:left w:w="100" w:type="dxa"/>
              <w:bottom w:w="60" w:type="dxa"/>
              <w:right w:w="100" w:type="dxa"/>
            </w:tcMar>
          </w:tcPr>
          <w:p>
            <w:pPr>
              <w:spacing w:after="0" w:line="240" w:lineRule="auto"/>
              <w:jc w:val="right"/>
            </w:pPr>
            <w:r>
              <w:rPr>
                <w:sz w:val="20"/>
              </w:rPr>
              <w:t>$174,929</w:t>
            </w:r>
          </w:p>
        </w:tc>
        <w:tc>
          <w:tcPr>
            <w:tcW w:type="dxa" w:w="1587"/>
            <w:tcMar>
              <w:top w:w="60" w:type="dxa"/>
              <w:left w:w="100" w:type="dxa"/>
              <w:bottom w:w="60" w:type="dxa"/>
              <w:right w:w="100" w:type="dxa"/>
            </w:tcMar>
          </w:tcPr>
          <w:p>
            <w:pPr>
              <w:spacing w:after="0" w:line="240" w:lineRule="auto"/>
              <w:jc w:val="right"/>
            </w:pPr>
            <w:r>
              <w:rPr>
                <w:sz w:val="20"/>
              </w:rPr>
              <w:t>$50,107</w:t>
            </w:r>
          </w:p>
        </w:tc>
        <w:tc>
          <w:tcPr>
            <w:tcW w:type="dxa" w:w="1474"/>
            <w:tcMar>
              <w:top w:w="60" w:type="dxa"/>
              <w:left w:w="100" w:type="dxa"/>
              <w:bottom w:w="60" w:type="dxa"/>
              <w:right w:w="100" w:type="dxa"/>
            </w:tcMar>
          </w:tcPr>
          <w:p>
            <w:pPr>
              <w:spacing w:after="0" w:line="240" w:lineRule="auto"/>
              <w:jc w:val="right"/>
            </w:pPr>
            <w:r>
              <w:rPr>
                <w:sz w:val="20"/>
              </w:rPr>
              <w:t>$49,606</w:t>
            </w:r>
          </w:p>
        </w:tc>
      </w:tr>
      <w:tr>
        <w:trPr>
          <w:cantSplit/>
        </w:trPr>
        <w:tc>
          <w:tcPr>
            <w:tcW w:type="dxa" w:w="3175"/>
            <w:tcMar>
              <w:top w:w="60" w:type="dxa"/>
              <w:left w:w="100" w:type="dxa"/>
              <w:bottom w:w="60" w:type="dxa"/>
              <w:right w:w="100" w:type="dxa"/>
            </w:tcMar>
          </w:tcPr>
          <w:p>
            <w:pPr>
              <w:spacing w:after="0" w:line="240" w:lineRule="auto"/>
            </w:pPr>
            <w:r>
              <w:rPr>
                <w:sz w:val="20"/>
              </w:rPr>
              <w:t>Capacity per unit x1.5</w:t>
            </w:r>
          </w:p>
        </w:tc>
        <w:tc>
          <w:tcPr>
            <w:tcW w:type="dxa" w:w="1474"/>
            <w:tcMar>
              <w:top w:w="60" w:type="dxa"/>
              <w:left w:w="100" w:type="dxa"/>
              <w:bottom w:w="60" w:type="dxa"/>
              <w:right w:w="100" w:type="dxa"/>
            </w:tcMar>
          </w:tcPr>
          <w:p>
            <w:pPr>
              <w:spacing w:after="0" w:line="240" w:lineRule="auto"/>
              <w:jc w:val="right"/>
            </w:pPr>
            <w:r>
              <w:rPr>
                <w:sz w:val="20"/>
              </w:rPr>
              <w:t>$54,624</w:t>
            </w:r>
          </w:p>
        </w:tc>
        <w:tc>
          <w:tcPr>
            <w:tcW w:type="dxa" w:w="1587"/>
            <w:tcMar>
              <w:top w:w="60" w:type="dxa"/>
              <w:left w:w="100" w:type="dxa"/>
              <w:bottom w:w="60" w:type="dxa"/>
              <w:right w:w="100" w:type="dxa"/>
            </w:tcMar>
          </w:tcPr>
          <w:p>
            <w:pPr>
              <w:spacing w:after="0" w:line="240" w:lineRule="auto"/>
              <w:jc w:val="right"/>
            </w:pPr>
            <w:r>
              <w:rPr>
                <w:sz w:val="20"/>
              </w:rPr>
              <w:t>$58,310</w:t>
            </w:r>
          </w:p>
        </w:tc>
        <w:tc>
          <w:tcPr>
            <w:tcW w:type="dxa" w:w="1587"/>
            <w:tcMar>
              <w:top w:w="60" w:type="dxa"/>
              <w:left w:w="100" w:type="dxa"/>
              <w:bottom w:w="60" w:type="dxa"/>
              <w:right w:w="100" w:type="dxa"/>
            </w:tcMar>
          </w:tcPr>
          <w:p>
            <w:pPr>
              <w:spacing w:after="0" w:line="240" w:lineRule="auto"/>
              <w:jc w:val="right"/>
            </w:pPr>
            <w:r>
              <w:rPr>
                <w:sz w:val="20"/>
              </w:rPr>
              <w:t>$24,542</w:t>
            </w:r>
          </w:p>
        </w:tc>
        <w:tc>
          <w:tcPr>
            <w:tcW w:type="dxa" w:w="1474"/>
            <w:tcMar>
              <w:top w:w="60" w:type="dxa"/>
              <w:left w:w="100" w:type="dxa"/>
              <w:bottom w:w="60" w:type="dxa"/>
              <w:right w:w="100" w:type="dxa"/>
            </w:tcMar>
          </w:tcPr>
          <w:p>
            <w:pPr>
              <w:spacing w:after="0" w:line="240" w:lineRule="auto"/>
              <w:jc w:val="right"/>
            </w:pPr>
            <w:r>
              <w:rPr>
                <w:sz w:val="20"/>
              </w:rPr>
              <w:t>$22,415</w:t>
            </w:r>
          </w:p>
        </w:tc>
      </w:tr>
      <w:tr>
        <w:trPr>
          <w:cantSplit/>
        </w:trPr>
        <w:tc>
          <w:tcPr>
            <w:tcW w:type="dxa" w:w="3175"/>
            <w:tcMar>
              <w:top w:w="60" w:type="dxa"/>
              <w:left w:w="100" w:type="dxa"/>
              <w:bottom w:w="60" w:type="dxa"/>
              <w:right w:w="100" w:type="dxa"/>
            </w:tcMar>
          </w:tcPr>
          <w:p>
            <w:pPr>
              <w:spacing w:after="0" w:line="240" w:lineRule="auto"/>
            </w:pPr>
            <w:r>
              <w:rPr>
                <w:sz w:val="20"/>
              </w:rPr>
              <w:t>Lambda price x0.5</w:t>
            </w:r>
          </w:p>
        </w:tc>
        <w:tc>
          <w:tcPr>
            <w:tcW w:type="dxa" w:w="1474"/>
            <w:tcMar>
              <w:top w:w="60" w:type="dxa"/>
              <w:left w:w="100" w:type="dxa"/>
              <w:bottom w:w="60" w:type="dxa"/>
              <w:right w:w="100" w:type="dxa"/>
            </w:tcMar>
          </w:tcPr>
          <w:p>
            <w:pPr>
              <w:spacing w:after="0" w:line="240" w:lineRule="auto"/>
              <w:jc w:val="right"/>
            </w:pPr>
            <w:r>
              <w:rPr>
                <w:sz w:val="20"/>
              </w:rPr>
              <w:t>$27,312</w:t>
            </w:r>
          </w:p>
        </w:tc>
        <w:tc>
          <w:tcPr>
            <w:tcW w:type="dxa" w:w="1587"/>
            <w:tcMar>
              <w:top w:w="60" w:type="dxa"/>
              <w:left w:w="100" w:type="dxa"/>
              <w:bottom w:w="60" w:type="dxa"/>
              <w:right w:w="100" w:type="dxa"/>
            </w:tcMar>
          </w:tcPr>
          <w:p>
            <w:pPr>
              <w:spacing w:after="0" w:line="240" w:lineRule="auto"/>
              <w:jc w:val="right"/>
            </w:pPr>
            <w:r>
              <w:rPr>
                <w:sz w:val="20"/>
              </w:rPr>
              <w:t>$87,464</w:t>
            </w:r>
          </w:p>
        </w:tc>
        <w:tc>
          <w:tcPr>
            <w:tcW w:type="dxa" w:w="1587"/>
            <w:tcMar>
              <w:top w:w="60" w:type="dxa"/>
              <w:left w:w="100" w:type="dxa"/>
              <w:bottom w:w="60" w:type="dxa"/>
              <w:right w:w="100" w:type="dxa"/>
            </w:tcMar>
          </w:tcPr>
          <w:p>
            <w:pPr>
              <w:spacing w:after="0" w:line="240" w:lineRule="auto"/>
              <w:jc w:val="right"/>
            </w:pPr>
            <w:r>
              <w:rPr>
                <w:sz w:val="20"/>
              </w:rPr>
              <w:t>$25,053</w:t>
            </w:r>
          </w:p>
        </w:tc>
        <w:tc>
          <w:tcPr>
            <w:tcW w:type="dxa" w:w="1474"/>
            <w:tcMar>
              <w:top w:w="60" w:type="dxa"/>
              <w:left w:w="100" w:type="dxa"/>
              <w:bottom w:w="60" w:type="dxa"/>
              <w:right w:w="100" w:type="dxa"/>
            </w:tcMar>
          </w:tcPr>
          <w:p>
            <w:pPr>
              <w:spacing w:after="0" w:line="240" w:lineRule="auto"/>
              <w:jc w:val="right"/>
            </w:pPr>
            <w:r>
              <w:rPr>
                <w:sz w:val="20"/>
              </w:rPr>
              <w:t>$24,803</w:t>
            </w:r>
          </w:p>
        </w:tc>
      </w:tr>
      <w:tr>
        <w:trPr>
          <w:cantSplit/>
        </w:trPr>
        <w:tc>
          <w:tcPr>
            <w:tcW w:type="dxa" w:w="3175"/>
            <w:tcMar>
              <w:top w:w="60" w:type="dxa"/>
              <w:left w:w="100" w:type="dxa"/>
              <w:bottom w:w="60" w:type="dxa"/>
              <w:right w:w="100" w:type="dxa"/>
            </w:tcMar>
          </w:tcPr>
          <w:p>
            <w:pPr>
              <w:spacing w:after="0" w:line="240" w:lineRule="auto"/>
            </w:pPr>
            <w:r>
              <w:rPr>
                <w:sz w:val="20"/>
              </w:rPr>
              <w:t>Lambda price x2</w:t>
            </w:r>
          </w:p>
        </w:tc>
        <w:tc>
          <w:tcPr>
            <w:tcW w:type="dxa" w:w="1474"/>
            <w:tcMar>
              <w:top w:w="60" w:type="dxa"/>
              <w:left w:w="100" w:type="dxa"/>
              <w:bottom w:w="60" w:type="dxa"/>
              <w:right w:w="100" w:type="dxa"/>
            </w:tcMar>
          </w:tcPr>
          <w:p>
            <w:pPr>
              <w:spacing w:after="0" w:line="240" w:lineRule="auto"/>
              <w:jc w:val="right"/>
            </w:pPr>
            <w:r>
              <w:rPr>
                <w:sz w:val="20"/>
              </w:rPr>
              <w:t>$109,248</w:t>
            </w:r>
          </w:p>
        </w:tc>
        <w:tc>
          <w:tcPr>
            <w:tcW w:type="dxa" w:w="1587"/>
            <w:tcMar>
              <w:top w:w="60" w:type="dxa"/>
              <w:left w:w="100" w:type="dxa"/>
              <w:bottom w:w="60" w:type="dxa"/>
              <w:right w:w="100" w:type="dxa"/>
            </w:tcMar>
          </w:tcPr>
          <w:p>
            <w:pPr>
              <w:spacing w:after="0" w:line="240" w:lineRule="auto"/>
              <w:jc w:val="right"/>
            </w:pPr>
            <w:r>
              <w:rPr>
                <w:sz w:val="20"/>
              </w:rPr>
              <w:t>$87,464</w:t>
            </w:r>
          </w:p>
        </w:tc>
        <w:tc>
          <w:tcPr>
            <w:tcW w:type="dxa" w:w="1587"/>
            <w:tcMar>
              <w:top w:w="60" w:type="dxa"/>
              <w:left w:w="100" w:type="dxa"/>
              <w:bottom w:w="60" w:type="dxa"/>
              <w:right w:w="100" w:type="dxa"/>
            </w:tcMar>
          </w:tcPr>
          <w:p>
            <w:pPr>
              <w:spacing w:after="0" w:line="240" w:lineRule="auto"/>
              <w:jc w:val="right"/>
            </w:pPr>
            <w:r>
              <w:rPr>
                <w:sz w:val="20"/>
              </w:rPr>
              <w:t>$40,293</w:t>
            </w:r>
          </w:p>
        </w:tc>
        <w:tc>
          <w:tcPr>
            <w:tcW w:type="dxa" w:w="1474"/>
            <w:tcMar>
              <w:top w:w="60" w:type="dxa"/>
              <w:left w:w="100" w:type="dxa"/>
              <w:bottom w:w="60" w:type="dxa"/>
              <w:right w:w="100" w:type="dxa"/>
            </w:tcMar>
          </w:tcPr>
          <w:p>
            <w:pPr>
              <w:spacing w:after="0" w:line="240" w:lineRule="auto"/>
              <w:jc w:val="right"/>
            </w:pPr>
            <w:r>
              <w:rPr>
                <w:sz w:val="20"/>
              </w:rPr>
              <w:t>$36,108</w:t>
            </w:r>
          </w:p>
        </w:tc>
      </w:tr>
      <w:tr>
        <w:trPr>
          <w:cantSplit/>
        </w:trPr>
        <w:tc>
          <w:tcPr>
            <w:tcW w:type="dxa" w:w="3175"/>
            <w:tcMar>
              <w:top w:w="60" w:type="dxa"/>
              <w:left w:w="100" w:type="dxa"/>
              <w:bottom w:w="60" w:type="dxa"/>
              <w:right w:w="100" w:type="dxa"/>
            </w:tcMar>
          </w:tcPr>
          <w:p>
            <w:pPr>
              <w:spacing w:after="0" w:line="240" w:lineRule="auto"/>
            </w:pPr>
            <w:r>
              <w:rPr>
                <w:sz w:val="20"/>
              </w:rPr>
              <w:t>EC2 price -30% (hypothetical)</w:t>
            </w:r>
          </w:p>
        </w:tc>
        <w:tc>
          <w:tcPr>
            <w:tcW w:type="dxa" w:w="1474"/>
            <w:tcMar>
              <w:top w:w="60" w:type="dxa"/>
              <w:left w:w="100" w:type="dxa"/>
              <w:bottom w:w="60" w:type="dxa"/>
              <w:right w:w="100" w:type="dxa"/>
            </w:tcMar>
          </w:tcPr>
          <w:p>
            <w:pPr>
              <w:spacing w:after="0" w:line="240" w:lineRule="auto"/>
              <w:jc w:val="right"/>
            </w:pPr>
            <w:r>
              <w:rPr>
                <w:sz w:val="20"/>
              </w:rPr>
              <w:t>$54,624</w:t>
            </w:r>
          </w:p>
        </w:tc>
        <w:tc>
          <w:tcPr>
            <w:tcW w:type="dxa" w:w="1587"/>
            <w:tcMar>
              <w:top w:w="60" w:type="dxa"/>
              <w:left w:w="100" w:type="dxa"/>
              <w:bottom w:w="60" w:type="dxa"/>
              <w:right w:w="100" w:type="dxa"/>
            </w:tcMar>
          </w:tcPr>
          <w:p>
            <w:pPr>
              <w:spacing w:after="0" w:line="240" w:lineRule="auto"/>
              <w:jc w:val="right"/>
            </w:pPr>
            <w:r>
              <w:rPr>
                <w:sz w:val="20"/>
              </w:rPr>
              <w:t>$61,225</w:t>
            </w:r>
          </w:p>
        </w:tc>
        <w:tc>
          <w:tcPr>
            <w:tcW w:type="dxa" w:w="1587"/>
            <w:tcMar>
              <w:top w:w="60" w:type="dxa"/>
              <w:left w:w="100" w:type="dxa"/>
              <w:bottom w:w="60" w:type="dxa"/>
              <w:right w:w="100" w:type="dxa"/>
            </w:tcMar>
          </w:tcPr>
          <w:p>
            <w:pPr>
              <w:spacing w:after="0" w:line="240" w:lineRule="auto"/>
              <w:jc w:val="right"/>
            </w:pPr>
            <w:r>
              <w:rPr>
                <w:sz w:val="20"/>
              </w:rPr>
              <w:t>$25,344</w:t>
            </w:r>
          </w:p>
        </w:tc>
        <w:tc>
          <w:tcPr>
            <w:tcW w:type="dxa" w:w="1474"/>
            <w:tcMar>
              <w:top w:w="60" w:type="dxa"/>
              <w:left w:w="100" w:type="dxa"/>
              <w:bottom w:w="60" w:type="dxa"/>
              <w:right w:w="100" w:type="dxa"/>
            </w:tcMar>
          </w:tcPr>
          <w:p>
            <w:pPr>
              <w:spacing w:after="0" w:line="240" w:lineRule="auto"/>
              <w:jc w:val="right"/>
            </w:pPr>
            <w:r>
              <w:rPr>
                <w:sz w:val="20"/>
              </w:rPr>
              <w:t>$23,256</w:t>
            </w:r>
          </w:p>
        </w:tc>
      </w:tr>
      <w:tr>
        <w:trPr>
          <w:cantSplit/>
        </w:trPr>
        <w:tc>
          <w:tcPr>
            <w:tcW w:type="dxa" w:w="3175"/>
            <w:tcMar>
              <w:top w:w="60" w:type="dxa"/>
              <w:left w:w="100" w:type="dxa"/>
              <w:bottom w:w="60" w:type="dxa"/>
              <w:right w:w="100" w:type="dxa"/>
            </w:tcMar>
          </w:tcPr>
          <w:p>
            <w:pPr>
              <w:spacing w:after="0" w:line="240" w:lineRule="auto"/>
            </w:pPr>
            <w:r>
              <w:rPr>
                <w:sz w:val="20"/>
              </w:rPr>
              <w:t>Fargate base</w:t>
            </w:r>
          </w:p>
        </w:tc>
        <w:tc>
          <w:tcPr>
            <w:tcW w:type="dxa" w:w="1474"/>
            <w:tcMar>
              <w:top w:w="60" w:type="dxa"/>
              <w:left w:w="100" w:type="dxa"/>
              <w:bottom w:w="60" w:type="dxa"/>
              <w:right w:w="100" w:type="dxa"/>
            </w:tcMar>
          </w:tcPr>
          <w:p>
            <w:pPr>
              <w:spacing w:after="0" w:line="240" w:lineRule="auto"/>
              <w:jc w:val="right"/>
            </w:pPr>
            <w:r>
              <w:rPr>
                <w:sz w:val="20"/>
              </w:rPr>
              <w:t>$54,624</w:t>
            </w:r>
          </w:p>
        </w:tc>
        <w:tc>
          <w:tcPr>
            <w:tcW w:type="dxa" w:w="1587"/>
            <w:tcMar>
              <w:top w:w="60" w:type="dxa"/>
              <w:left w:w="100" w:type="dxa"/>
              <w:bottom w:w="60" w:type="dxa"/>
              <w:right w:w="100" w:type="dxa"/>
            </w:tcMar>
          </w:tcPr>
          <w:p>
            <w:pPr>
              <w:spacing w:after="0" w:line="240" w:lineRule="auto"/>
              <w:jc w:val="right"/>
            </w:pPr>
            <w:r>
              <w:rPr>
                <w:sz w:val="20"/>
              </w:rPr>
              <w:t>$81,014</w:t>
            </w:r>
          </w:p>
        </w:tc>
        <w:tc>
          <w:tcPr>
            <w:tcW w:type="dxa" w:w="1587"/>
            <w:tcMar>
              <w:top w:w="60" w:type="dxa"/>
              <w:left w:w="100" w:type="dxa"/>
              <w:bottom w:w="60" w:type="dxa"/>
              <w:right w:w="100" w:type="dxa"/>
            </w:tcMar>
          </w:tcPr>
          <w:p>
            <w:pPr>
              <w:spacing w:after="0" w:line="240" w:lineRule="auto"/>
              <w:jc w:val="right"/>
            </w:pPr>
            <w:r>
              <w:rPr>
                <w:sz w:val="20"/>
              </w:rPr>
              <w:t>$30,586</w:t>
            </w:r>
          </w:p>
        </w:tc>
        <w:tc>
          <w:tcPr>
            <w:tcW w:type="dxa" w:w="1474"/>
            <w:tcMar>
              <w:top w:w="60" w:type="dxa"/>
              <w:left w:w="100" w:type="dxa"/>
              <w:bottom w:w="60" w:type="dxa"/>
              <w:right w:w="100" w:type="dxa"/>
            </w:tcMar>
          </w:tcPr>
          <w:p>
            <w:pPr>
              <w:spacing w:after="0" w:line="240" w:lineRule="auto"/>
              <w:jc w:val="right"/>
            </w:pPr>
            <w:r>
              <w:rPr>
                <w:sz w:val="20"/>
              </w:rPr>
              <w:t>$28,761</w:t>
            </w:r>
          </w:p>
        </w:tc>
      </w:tr>
      <w:tr>
        <w:trPr>
          <w:cantSplit/>
        </w:trPr>
        <w:tc>
          <w:tcPr>
            <w:tcW w:type="dxa" w:w="3175"/>
            <w:tcMar>
              <w:top w:w="60" w:type="dxa"/>
              <w:left w:w="100" w:type="dxa"/>
              <w:bottom w:w="60" w:type="dxa"/>
              <w:right w:w="100" w:type="dxa"/>
            </w:tcMar>
          </w:tcPr>
          <w:p>
            <w:pPr>
              <w:spacing w:after="0" w:line="240" w:lineRule="auto"/>
            </w:pPr>
            <w:r>
              <w:rPr>
                <w:sz w:val="20"/>
              </w:rPr>
              <w:t>Whole instances per function</w:t>
            </w:r>
          </w:p>
        </w:tc>
        <w:tc>
          <w:tcPr>
            <w:tcW w:type="dxa" w:w="1474"/>
            <w:tcMar>
              <w:top w:w="60" w:type="dxa"/>
              <w:left w:w="100" w:type="dxa"/>
              <w:bottom w:w="60" w:type="dxa"/>
              <w:right w:w="100" w:type="dxa"/>
            </w:tcMar>
          </w:tcPr>
          <w:p>
            <w:pPr>
              <w:spacing w:after="0" w:line="240" w:lineRule="auto"/>
              <w:jc w:val="right"/>
            </w:pPr>
            <w:r>
              <w:rPr>
                <w:sz w:val="20"/>
              </w:rPr>
              <w:t>-</w:t>
            </w:r>
          </w:p>
        </w:tc>
        <w:tc>
          <w:tcPr>
            <w:tcW w:type="dxa" w:w="1587"/>
            <w:tcMar>
              <w:top w:w="60" w:type="dxa"/>
              <w:left w:w="100" w:type="dxa"/>
              <w:bottom w:w="60" w:type="dxa"/>
              <w:right w:w="100" w:type="dxa"/>
            </w:tcMar>
          </w:tcPr>
          <w:p>
            <w:pPr>
              <w:spacing w:after="0" w:line="240" w:lineRule="auto"/>
              <w:jc w:val="right"/>
            </w:pPr>
            <w:r>
              <w:rPr>
                <w:sz w:val="20"/>
              </w:rPr>
              <w:t>-</w:t>
            </w:r>
          </w:p>
        </w:tc>
        <w:tc>
          <w:tcPr>
            <w:tcW w:type="dxa" w:w="1587"/>
            <w:tcMar>
              <w:top w:w="60" w:type="dxa"/>
              <w:left w:w="100" w:type="dxa"/>
              <w:bottom w:w="60" w:type="dxa"/>
              <w:right w:w="100" w:type="dxa"/>
            </w:tcMar>
          </w:tcPr>
          <w:p>
            <w:pPr>
              <w:spacing w:after="0" w:line="240" w:lineRule="auto"/>
              <w:jc w:val="right"/>
            </w:pPr>
            <w:r>
              <w:rPr>
                <w:sz w:val="20"/>
              </w:rPr>
              <w:t>$32,780</w:t>
            </w:r>
          </w:p>
        </w:tc>
        <w:tc>
          <w:tcPr>
            <w:tcW w:type="dxa" w:w="1474"/>
            <w:tcMar>
              <w:top w:w="60" w:type="dxa"/>
              <w:left w:w="100" w:type="dxa"/>
              <w:bottom w:w="60" w:type="dxa"/>
              <w:right w:w="100" w:type="dxa"/>
            </w:tcMar>
          </w:tcPr>
          <w:p>
            <w:pPr>
              <w:spacing w:after="0" w:line="240" w:lineRule="auto"/>
              <w:jc w:val="right"/>
            </w:pPr>
            <w:r>
              <w:rPr>
                <w:sz w:val="20"/>
              </w:rPr>
              <w:t>$31,202</w:t>
            </w:r>
          </w:p>
        </w:tc>
      </w:tr>
    </w:tbl>
    <w:p>
      <w:pPr>
        <w:spacing w:after="120"/>
      </w:pPr>
    </w:p>
    <w:p>
      <w:pPr>
        <w:keepNext/>
        <w:spacing w:after="80"/>
        <w:jc w:val="center"/>
      </w:pPr>
      <w:r>
        <w:drawing>
          <wp:inline xmlns:a="http://schemas.openxmlformats.org/drawingml/2006/main" xmlns:pic="http://schemas.openxmlformats.org/drawingml/2006/picture">
            <wp:extent cx="4500000" cy="2176442"/>
            <wp:docPr id="6" name="Picture 6"/>
            <wp:cNvGraphicFramePr>
              <a:graphicFrameLocks noChangeAspect="1"/>
            </wp:cNvGraphicFramePr>
            <a:graphic>
              <a:graphicData uri="http://schemas.openxmlformats.org/drawingml/2006/picture">
                <pic:pic>
                  <pic:nvPicPr>
                    <pic:cNvPr id="0" name="sensitivity.png"/>
                    <pic:cNvPicPr/>
                  </pic:nvPicPr>
                  <pic:blipFill>
                    <a:blip r:embed="rId27"/>
                    <a:stretch>
                      <a:fillRect/>
                    </a:stretch>
                  </pic:blipFill>
                  <pic:spPr>
                    <a:xfrm>
                      <a:off x="0" y="0"/>
                      <a:ext cx="4500000" cy="2176442"/>
                    </a:xfrm>
                    <a:prstGeom prst="rect"/>
                  </pic:spPr>
                </pic:pic>
              </a:graphicData>
            </a:graphic>
          </wp:inline>
        </w:drawing>
      </w:r>
    </w:p>
    <w:p>
      <w:pPr>
        <w:spacing w:after="200" w:before="0" w:line="276" w:lineRule="auto"/>
        <w:jc w:val="center"/>
      </w:pPr>
      <w:r>
        <w:rPr>
          <w:sz w:val="22"/>
        </w:rPr>
        <w:t>Figure 6: Hybrid-rolling cost relative to all-Lambda under each scenario</w:t>
      </w:r>
    </w:p>
    <w:p>
      <w:pPr>
        <w:keepNext/>
        <w:spacing w:after="80" w:before="120" w:line="276" w:lineRule="auto"/>
        <w:jc w:val="center"/>
      </w:pPr>
      <w:r>
        <w:rPr>
          <w:sz w:val="22"/>
        </w:rPr>
        <w:t>Table 12: Quantile-level sweep for hybrid-rolling on validation (offset 0 = theoretical q*)</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rPr>
          <w:cantSplit/>
          <w:tblHeader/>
        </w:trPr>
        <w:tc>
          <w:tcPr>
            <w:tcW w:type="dxa" w:w="3402"/>
            <w:tcMar>
              <w:top w:w="60" w:type="dxa"/>
              <w:left w:w="100" w:type="dxa"/>
              <w:bottom w:w="60" w:type="dxa"/>
              <w:right w:w="100" w:type="dxa"/>
            </w:tcMar>
            <w:shd w:val="clear" w:color="auto" w:fill="D9D9D9"/>
          </w:tcPr>
          <w:p>
            <w:pPr>
              <w:spacing w:after="0" w:line="240" w:lineRule="auto"/>
            </w:pPr>
            <w:r>
              <w:rPr>
                <w:b/>
                <w:sz w:val="20"/>
              </w:rPr>
              <w:t>Quantile level offset from q*</w:t>
            </w:r>
          </w:p>
        </w:tc>
        <w:tc>
          <w:tcPr>
            <w:tcW w:type="dxa" w:w="3402"/>
            <w:tcMar>
              <w:top w:w="60" w:type="dxa"/>
              <w:left w:w="100" w:type="dxa"/>
              <w:bottom w:w="60" w:type="dxa"/>
              <w:right w:w="100" w:type="dxa"/>
            </w:tcMar>
            <w:shd w:val="clear" w:color="auto" w:fill="D9D9D9"/>
          </w:tcPr>
          <w:p>
            <w:pPr>
              <w:spacing w:after="0" w:line="240" w:lineRule="auto"/>
            </w:pPr>
            <w:r>
              <w:rPr>
                <w:b/>
                <w:sz w:val="20"/>
              </w:rPr>
              <w:t>Validation cost / month</w:t>
            </w:r>
          </w:p>
        </w:tc>
      </w:tr>
      <w:tr>
        <w:trPr>
          <w:cantSplit/>
        </w:trPr>
        <w:tc>
          <w:tcPr>
            <w:tcW w:type="dxa" w:w="3402"/>
            <w:tcMar>
              <w:top w:w="60" w:type="dxa"/>
              <w:left w:w="100" w:type="dxa"/>
              <w:bottom w:w="60" w:type="dxa"/>
              <w:right w:w="100" w:type="dxa"/>
            </w:tcMar>
          </w:tcPr>
          <w:p>
            <w:pPr>
              <w:spacing w:after="0" w:line="240" w:lineRule="auto"/>
            </w:pPr>
            <w:r>
              <w:rPr>
                <w:sz w:val="20"/>
              </w:rPr>
              <w:t>-0.2</w:t>
            </w:r>
          </w:p>
        </w:tc>
        <w:tc>
          <w:tcPr>
            <w:tcW w:type="dxa" w:w="3402"/>
            <w:tcMar>
              <w:top w:w="60" w:type="dxa"/>
              <w:left w:w="100" w:type="dxa"/>
              <w:bottom w:w="60" w:type="dxa"/>
              <w:right w:w="100" w:type="dxa"/>
            </w:tcMar>
          </w:tcPr>
          <w:p>
            <w:pPr>
              <w:spacing w:after="0" w:line="240" w:lineRule="auto"/>
              <w:jc w:val="right"/>
            </w:pPr>
            <w:r>
              <w:rPr>
                <w:sz w:val="20"/>
              </w:rPr>
              <w:t>$34,587</w:t>
            </w:r>
          </w:p>
        </w:tc>
      </w:tr>
      <w:tr>
        <w:trPr>
          <w:cantSplit/>
        </w:trPr>
        <w:tc>
          <w:tcPr>
            <w:tcW w:type="dxa" w:w="3402"/>
            <w:tcMar>
              <w:top w:w="60" w:type="dxa"/>
              <w:left w:w="100" w:type="dxa"/>
              <w:bottom w:w="60" w:type="dxa"/>
              <w:right w:w="100" w:type="dxa"/>
            </w:tcMar>
          </w:tcPr>
          <w:p>
            <w:pPr>
              <w:spacing w:after="0" w:line="240" w:lineRule="auto"/>
            </w:pPr>
            <w:r>
              <w:rPr>
                <w:sz w:val="20"/>
              </w:rPr>
              <w:t>-0.1</w:t>
            </w:r>
          </w:p>
        </w:tc>
        <w:tc>
          <w:tcPr>
            <w:tcW w:type="dxa" w:w="3402"/>
            <w:tcMar>
              <w:top w:w="60" w:type="dxa"/>
              <w:left w:w="100" w:type="dxa"/>
              <w:bottom w:w="60" w:type="dxa"/>
              <w:right w:w="100" w:type="dxa"/>
            </w:tcMar>
          </w:tcPr>
          <w:p>
            <w:pPr>
              <w:spacing w:after="0" w:line="240" w:lineRule="auto"/>
              <w:jc w:val="right"/>
            </w:pPr>
            <w:r>
              <w:rPr>
                <w:sz w:val="20"/>
              </w:rPr>
              <w:t>$34,111</w:t>
            </w:r>
          </w:p>
        </w:tc>
      </w:tr>
      <w:tr>
        <w:trPr>
          <w:cantSplit/>
        </w:trPr>
        <w:tc>
          <w:tcPr>
            <w:tcW w:type="dxa" w:w="3402"/>
            <w:tcMar>
              <w:top w:w="60" w:type="dxa"/>
              <w:left w:w="100" w:type="dxa"/>
              <w:bottom w:w="60" w:type="dxa"/>
              <w:right w:w="100" w:type="dxa"/>
            </w:tcMar>
          </w:tcPr>
          <w:p>
            <w:pPr>
              <w:spacing w:after="0" w:line="240" w:lineRule="auto"/>
            </w:pPr>
            <w:r>
              <w:rPr>
                <w:sz w:val="20"/>
              </w:rPr>
              <w:t>-0.05</w:t>
            </w:r>
          </w:p>
        </w:tc>
        <w:tc>
          <w:tcPr>
            <w:tcW w:type="dxa" w:w="3402"/>
            <w:tcMar>
              <w:top w:w="60" w:type="dxa"/>
              <w:left w:w="100" w:type="dxa"/>
              <w:bottom w:w="60" w:type="dxa"/>
              <w:right w:w="100" w:type="dxa"/>
            </w:tcMar>
          </w:tcPr>
          <w:p>
            <w:pPr>
              <w:spacing w:after="0" w:line="240" w:lineRule="auto"/>
              <w:jc w:val="right"/>
            </w:pPr>
            <w:r>
              <w:rPr>
                <w:sz w:val="20"/>
              </w:rPr>
              <w:t>$34,013</w:t>
            </w:r>
          </w:p>
        </w:tc>
      </w:tr>
      <w:tr>
        <w:trPr>
          <w:cantSplit/>
        </w:trPr>
        <w:tc>
          <w:tcPr>
            <w:tcW w:type="dxa" w:w="3402"/>
            <w:tcMar>
              <w:top w:w="60" w:type="dxa"/>
              <w:left w:w="100" w:type="dxa"/>
              <w:bottom w:w="60" w:type="dxa"/>
              <w:right w:w="100" w:type="dxa"/>
            </w:tcMar>
          </w:tcPr>
          <w:p>
            <w:pPr>
              <w:spacing w:after="0" w:line="240" w:lineRule="auto"/>
            </w:pPr>
            <w:r>
              <w:rPr>
                <w:sz w:val="20"/>
              </w:rPr>
              <w:t>0</w:t>
            </w:r>
          </w:p>
        </w:tc>
        <w:tc>
          <w:tcPr>
            <w:tcW w:type="dxa" w:w="3402"/>
            <w:tcMar>
              <w:top w:w="60" w:type="dxa"/>
              <w:left w:w="100" w:type="dxa"/>
              <w:bottom w:w="60" w:type="dxa"/>
              <w:right w:w="100" w:type="dxa"/>
            </w:tcMar>
          </w:tcPr>
          <w:p>
            <w:pPr>
              <w:spacing w:after="0" w:line="240" w:lineRule="auto"/>
              <w:jc w:val="right"/>
            </w:pPr>
            <w:r>
              <w:rPr>
                <w:sz w:val="20"/>
              </w:rPr>
              <w:t>$33,979</w:t>
            </w:r>
          </w:p>
        </w:tc>
      </w:tr>
      <w:tr>
        <w:trPr>
          <w:cantSplit/>
        </w:trPr>
        <w:tc>
          <w:tcPr>
            <w:tcW w:type="dxa" w:w="3402"/>
            <w:tcMar>
              <w:top w:w="60" w:type="dxa"/>
              <w:left w:w="100" w:type="dxa"/>
              <w:bottom w:w="60" w:type="dxa"/>
              <w:right w:w="100" w:type="dxa"/>
            </w:tcMar>
          </w:tcPr>
          <w:p>
            <w:pPr>
              <w:spacing w:after="0" w:line="240" w:lineRule="auto"/>
            </w:pPr>
            <w:r>
              <w:rPr>
                <w:sz w:val="20"/>
              </w:rPr>
              <w:t>0.05</w:t>
            </w:r>
          </w:p>
        </w:tc>
        <w:tc>
          <w:tcPr>
            <w:tcW w:type="dxa" w:w="3402"/>
            <w:tcMar>
              <w:top w:w="60" w:type="dxa"/>
              <w:left w:w="100" w:type="dxa"/>
              <w:bottom w:w="60" w:type="dxa"/>
              <w:right w:w="100" w:type="dxa"/>
            </w:tcMar>
          </w:tcPr>
          <w:p>
            <w:pPr>
              <w:spacing w:after="0" w:line="240" w:lineRule="auto"/>
              <w:jc w:val="right"/>
            </w:pPr>
            <w:r>
              <w:rPr>
                <w:sz w:val="20"/>
              </w:rPr>
              <w:t>$34,078</w:t>
            </w:r>
          </w:p>
        </w:tc>
      </w:tr>
      <w:tr>
        <w:trPr>
          <w:cantSplit/>
        </w:trPr>
        <w:tc>
          <w:tcPr>
            <w:tcW w:type="dxa" w:w="3402"/>
            <w:tcMar>
              <w:top w:w="60" w:type="dxa"/>
              <w:left w:w="100" w:type="dxa"/>
              <w:bottom w:w="60" w:type="dxa"/>
              <w:right w:w="100" w:type="dxa"/>
            </w:tcMar>
          </w:tcPr>
          <w:p>
            <w:pPr>
              <w:spacing w:after="0" w:line="240" w:lineRule="auto"/>
            </w:pPr>
            <w:r>
              <w:rPr>
                <w:sz w:val="20"/>
              </w:rPr>
              <w:t>0.1</w:t>
            </w:r>
          </w:p>
        </w:tc>
        <w:tc>
          <w:tcPr>
            <w:tcW w:type="dxa" w:w="3402"/>
            <w:tcMar>
              <w:top w:w="60" w:type="dxa"/>
              <w:left w:w="100" w:type="dxa"/>
              <w:bottom w:w="60" w:type="dxa"/>
              <w:right w:w="100" w:type="dxa"/>
            </w:tcMar>
          </w:tcPr>
          <w:p>
            <w:pPr>
              <w:spacing w:after="0" w:line="240" w:lineRule="auto"/>
              <w:jc w:val="right"/>
            </w:pPr>
            <w:r>
              <w:rPr>
                <w:sz w:val="20"/>
              </w:rPr>
              <w:t>$34,422</w:t>
            </w:r>
          </w:p>
        </w:tc>
      </w:tr>
    </w:tbl>
    <w:p>
      <w:pPr>
        <w:spacing w:after="120"/>
      </w:pPr>
    </w:p>
    <w:p>
      <w:pPr>
        <w:spacing w:after="140" w:before="0" w:line="340" w:lineRule="auto"/>
        <w:jc w:val="both"/>
      </w:pPr>
      <w:r>
        <w:rPr/>
        <w:t>The hybrid advantage is not unconditional. If a container unit carries half as much load as measured, hybrid-rolling saves only 8% against all-Lambda; if Lambda were half the price it would save 8%. With a Fargate base the savings are smaller ($30.6k against $32.2k) because Fargate capacity is priced higher per unit under the assumed 4-request task. The 30% EC2 discount is a hypothetical scenario, not an AWS-quoted figure. Under the assumed capacity of 16, hybrid-rolling cost $17.0k against $53.8k for all-Lambda (a larger saving), which shows how strongly the result depends on the measured capacity.</w:t>
      </w:r>
    </w:p>
    <w:p>
      <w:pPr>
        <w:pStyle w:val="Heading2"/>
      </w:pPr>
      <w:r>
        <w:t>8.8 Live results and sim-to-real gap</w:t>
      </w:r>
    </w:p>
    <w:p>
      <w:pPr>
        <w:spacing w:after="140" w:before="0" w:line="340" w:lineRule="auto"/>
        <w:jc w:val="both"/>
      </w:pPr>
      <w:r>
        <w:rPr/>
        <w:t>Four arms were run one after another against the same trace window (function 643, scale factor 6.83, peak 28 req/s) with the same seed, from a laptop in Mumbai to the load balancer in ap-south-1. One trace hour lasts 375 s, so each arm is 37.5 minutes. Arm A is ASG target tracking on CPU at 50% with all traffic to EC2. Arms B and C use the controller of Section 6 with the static and the LightGBM forecast; arm D is arm C with the load multiplied by 4 during the fourth trace hour, after the forecast for that hour had been made. Predictive scaling was skipped (Section 7.5).</w:t>
      </w:r>
    </w:p>
    <w:p>
      <w:pPr>
        <w:keepNext/>
        <w:spacing w:after="80" w:before="120" w:line="276" w:lineRule="auto"/>
        <w:jc w:val="center"/>
      </w:pPr>
      <w:r>
        <w:rPr>
          <w:sz w:val="22"/>
        </w:rPr>
        <w:t>Table 13: Live results: latency, errors and routing</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28"/>
        <w:gridCol w:w="1128"/>
        <w:gridCol w:w="1128"/>
        <w:gridCol w:w="1128"/>
        <w:gridCol w:w="1128"/>
        <w:gridCol w:w="1128"/>
        <w:gridCol w:w="1128"/>
        <w:gridCol w:w="1128"/>
      </w:tblGrid>
      <w:tr>
        <w:trPr>
          <w:cantSplit/>
          <w:tblHeader/>
        </w:trPr>
        <w:tc>
          <w:tcPr>
            <w:tcW w:type="dxa" w:w="2608"/>
            <w:tcMar>
              <w:top w:w="60" w:type="dxa"/>
              <w:left w:w="100" w:type="dxa"/>
              <w:bottom w:w="60" w:type="dxa"/>
              <w:right w:w="100" w:type="dxa"/>
            </w:tcMar>
            <w:shd w:val="clear" w:color="auto" w:fill="D9D9D9"/>
          </w:tcPr>
          <w:p>
            <w:pPr>
              <w:spacing w:after="0" w:line="240" w:lineRule="auto"/>
            </w:pPr>
            <w:r>
              <w:rPr>
                <w:b/>
                <w:sz w:val="18"/>
              </w:rPr>
              <w:t>Arm</w:t>
            </w:r>
          </w:p>
        </w:tc>
        <w:tc>
          <w:tcPr>
            <w:tcW w:type="dxa" w:w="1077"/>
            <w:tcMar>
              <w:top w:w="60" w:type="dxa"/>
              <w:left w:w="100" w:type="dxa"/>
              <w:bottom w:w="60" w:type="dxa"/>
              <w:right w:w="100" w:type="dxa"/>
            </w:tcMar>
            <w:shd w:val="clear" w:color="auto" w:fill="D9D9D9"/>
          </w:tcPr>
          <w:p>
            <w:pPr>
              <w:spacing w:after="0" w:line="240" w:lineRule="auto"/>
            </w:pPr>
            <w:r>
              <w:rPr>
                <w:b/>
                <w:sz w:val="18"/>
              </w:rPr>
              <w:t>Requests</w:t>
            </w:r>
          </w:p>
        </w:tc>
        <w:tc>
          <w:tcPr>
            <w:tcW w:type="dxa" w:w="907"/>
            <w:tcMar>
              <w:top w:w="60" w:type="dxa"/>
              <w:left w:w="100" w:type="dxa"/>
              <w:bottom w:w="60" w:type="dxa"/>
              <w:right w:w="100" w:type="dxa"/>
            </w:tcMar>
            <w:shd w:val="clear" w:color="auto" w:fill="D9D9D9"/>
          </w:tcPr>
          <w:p>
            <w:pPr>
              <w:spacing w:after="0" w:line="240" w:lineRule="auto"/>
            </w:pPr>
            <w:r>
              <w:rPr>
                <w:b/>
                <w:sz w:val="18"/>
              </w:rPr>
              <w:t>Errors</w:t>
            </w:r>
          </w:p>
        </w:tc>
        <w:tc>
          <w:tcPr>
            <w:tcW w:type="dxa" w:w="1134"/>
            <w:tcMar>
              <w:top w:w="60" w:type="dxa"/>
              <w:left w:w="100" w:type="dxa"/>
              <w:bottom w:w="60" w:type="dxa"/>
              <w:right w:w="100" w:type="dxa"/>
            </w:tcMar>
            <w:shd w:val="clear" w:color="auto" w:fill="D9D9D9"/>
          </w:tcPr>
          <w:p>
            <w:pPr>
              <w:spacing w:after="0" w:line="240" w:lineRule="auto"/>
            </w:pPr>
            <w:r>
              <w:rPr>
                <w:b/>
                <w:sz w:val="18"/>
              </w:rPr>
              <w:t>Lambda share</w:t>
            </w:r>
          </w:p>
        </w:tc>
        <w:tc>
          <w:tcPr>
            <w:tcW w:type="dxa" w:w="737"/>
            <w:tcMar>
              <w:top w:w="60" w:type="dxa"/>
              <w:left w:w="100" w:type="dxa"/>
              <w:bottom w:w="60" w:type="dxa"/>
              <w:right w:w="100" w:type="dxa"/>
            </w:tcMar>
            <w:shd w:val="clear" w:color="auto" w:fill="D9D9D9"/>
          </w:tcPr>
          <w:p>
            <w:pPr>
              <w:spacing w:after="0" w:line="240" w:lineRule="auto"/>
            </w:pPr>
            <w:r>
              <w:rPr>
                <w:b/>
                <w:sz w:val="18"/>
              </w:rPr>
              <w:t>p50 ms</w:t>
            </w:r>
          </w:p>
        </w:tc>
        <w:tc>
          <w:tcPr>
            <w:tcW w:type="dxa" w:w="737"/>
            <w:tcMar>
              <w:top w:w="60" w:type="dxa"/>
              <w:left w:w="100" w:type="dxa"/>
              <w:bottom w:w="60" w:type="dxa"/>
              <w:right w:w="100" w:type="dxa"/>
            </w:tcMar>
            <w:shd w:val="clear" w:color="auto" w:fill="D9D9D9"/>
          </w:tcPr>
          <w:p>
            <w:pPr>
              <w:spacing w:after="0" w:line="240" w:lineRule="auto"/>
            </w:pPr>
            <w:r>
              <w:rPr>
                <w:b/>
                <w:sz w:val="18"/>
              </w:rPr>
              <w:t>p95 ms</w:t>
            </w:r>
          </w:p>
        </w:tc>
        <w:tc>
          <w:tcPr>
            <w:tcW w:type="dxa" w:w="737"/>
            <w:tcMar>
              <w:top w:w="60" w:type="dxa"/>
              <w:left w:w="100" w:type="dxa"/>
              <w:bottom w:w="60" w:type="dxa"/>
              <w:right w:w="100" w:type="dxa"/>
            </w:tcMar>
            <w:shd w:val="clear" w:color="auto" w:fill="D9D9D9"/>
          </w:tcPr>
          <w:p>
            <w:pPr>
              <w:spacing w:after="0" w:line="240" w:lineRule="auto"/>
            </w:pPr>
            <w:r>
              <w:rPr>
                <w:b/>
                <w:sz w:val="18"/>
              </w:rPr>
              <w:t>p99 ms</w:t>
            </w:r>
          </w:p>
        </w:tc>
        <w:tc>
          <w:tcPr>
            <w:tcW w:type="dxa" w:w="1304"/>
            <w:tcMar>
              <w:top w:w="60" w:type="dxa"/>
              <w:left w:w="100" w:type="dxa"/>
              <w:bottom w:w="60" w:type="dxa"/>
              <w:right w:w="100" w:type="dxa"/>
            </w:tcMar>
            <w:shd w:val="clear" w:color="auto" w:fill="D9D9D9"/>
          </w:tcPr>
          <w:p>
            <w:pPr>
              <w:spacing w:after="0" w:line="240" w:lineRule="auto"/>
            </w:pPr>
            <w:r>
              <w:rPr>
                <w:b/>
                <w:sz w:val="18"/>
              </w:rPr>
              <w:t>Over 800 ms or failed</w:t>
            </w:r>
          </w:p>
        </w:tc>
      </w:tr>
      <w:tr>
        <w:trPr>
          <w:cantSplit/>
        </w:trPr>
        <w:tc>
          <w:tcPr>
            <w:tcW w:type="dxa" w:w="2608"/>
            <w:tcMar>
              <w:top w:w="60" w:type="dxa"/>
              <w:left w:w="100" w:type="dxa"/>
              <w:bottom w:w="60" w:type="dxa"/>
              <w:right w:w="100" w:type="dxa"/>
            </w:tcMar>
          </w:tcPr>
          <w:p>
            <w:pPr>
              <w:spacing w:after="0" w:line="240" w:lineRule="auto"/>
            </w:pPr>
            <w:r>
              <w:rPr>
                <w:sz w:val="18"/>
              </w:rPr>
              <w:t>A reactive (ASG target tracking)</w:t>
            </w:r>
          </w:p>
        </w:tc>
        <w:tc>
          <w:tcPr>
            <w:tcW w:type="dxa" w:w="1077"/>
            <w:tcMar>
              <w:top w:w="60" w:type="dxa"/>
              <w:left w:w="100" w:type="dxa"/>
              <w:bottom w:w="60" w:type="dxa"/>
              <w:right w:w="100" w:type="dxa"/>
            </w:tcMar>
          </w:tcPr>
          <w:p>
            <w:pPr>
              <w:spacing w:after="0" w:line="240" w:lineRule="auto"/>
              <w:jc w:val="right"/>
            </w:pPr>
            <w:r>
              <w:rPr>
                <w:sz w:val="18"/>
              </w:rPr>
              <w:t>23,511</w:t>
            </w:r>
          </w:p>
        </w:tc>
        <w:tc>
          <w:tcPr>
            <w:tcW w:type="dxa" w:w="907"/>
            <w:tcMar>
              <w:top w:w="60" w:type="dxa"/>
              <w:left w:w="100" w:type="dxa"/>
              <w:bottom w:w="60" w:type="dxa"/>
              <w:right w:w="100" w:type="dxa"/>
            </w:tcMar>
          </w:tcPr>
          <w:p>
            <w:pPr>
              <w:spacing w:after="0" w:line="240" w:lineRule="auto"/>
              <w:jc w:val="right"/>
            </w:pPr>
            <w:r>
              <w:rPr>
                <w:sz w:val="18"/>
              </w:rPr>
              <w:t>0.1%</w:t>
            </w:r>
          </w:p>
        </w:tc>
        <w:tc>
          <w:tcPr>
            <w:tcW w:type="dxa" w:w="1134"/>
            <w:tcMar>
              <w:top w:w="60" w:type="dxa"/>
              <w:left w:w="100" w:type="dxa"/>
              <w:bottom w:w="60" w:type="dxa"/>
              <w:right w:w="100" w:type="dxa"/>
            </w:tcMar>
          </w:tcPr>
          <w:p>
            <w:pPr>
              <w:spacing w:after="0" w:line="240" w:lineRule="auto"/>
              <w:jc w:val="right"/>
            </w:pPr>
            <w:r>
              <w:rPr>
                <w:sz w:val="18"/>
              </w:rPr>
              <w:t>0.2%</w:t>
            </w:r>
          </w:p>
        </w:tc>
        <w:tc>
          <w:tcPr>
            <w:tcW w:type="dxa" w:w="737"/>
            <w:tcMar>
              <w:top w:w="60" w:type="dxa"/>
              <w:left w:w="100" w:type="dxa"/>
              <w:bottom w:w="60" w:type="dxa"/>
              <w:right w:w="100" w:type="dxa"/>
            </w:tcMar>
          </w:tcPr>
          <w:p>
            <w:pPr>
              <w:spacing w:after="0" w:line="240" w:lineRule="auto"/>
              <w:jc w:val="right"/>
            </w:pPr>
            <w:r>
              <w:rPr>
                <w:sz w:val="18"/>
              </w:rPr>
              <w:t>445</w:t>
            </w:r>
          </w:p>
        </w:tc>
        <w:tc>
          <w:tcPr>
            <w:tcW w:type="dxa" w:w="737"/>
            <w:tcMar>
              <w:top w:w="60" w:type="dxa"/>
              <w:left w:w="100" w:type="dxa"/>
              <w:bottom w:w="60" w:type="dxa"/>
              <w:right w:w="100" w:type="dxa"/>
            </w:tcMar>
          </w:tcPr>
          <w:p>
            <w:pPr>
              <w:spacing w:after="0" w:line="240" w:lineRule="auto"/>
              <w:jc w:val="right"/>
            </w:pPr>
            <w:r>
              <w:rPr>
                <w:sz w:val="18"/>
              </w:rPr>
              <w:t>566</w:t>
            </w:r>
          </w:p>
        </w:tc>
        <w:tc>
          <w:tcPr>
            <w:tcW w:type="dxa" w:w="737"/>
            <w:tcMar>
              <w:top w:w="60" w:type="dxa"/>
              <w:left w:w="100" w:type="dxa"/>
              <w:bottom w:w="60" w:type="dxa"/>
              <w:right w:w="100" w:type="dxa"/>
            </w:tcMar>
          </w:tcPr>
          <w:p>
            <w:pPr>
              <w:spacing w:after="0" w:line="240" w:lineRule="auto"/>
              <w:jc w:val="right"/>
            </w:pPr>
            <w:r>
              <w:rPr>
                <w:sz w:val="18"/>
              </w:rPr>
              <w:t>809</w:t>
            </w:r>
          </w:p>
        </w:tc>
        <w:tc>
          <w:tcPr>
            <w:tcW w:type="dxa" w:w="1304"/>
            <w:tcMar>
              <w:top w:w="60" w:type="dxa"/>
              <w:left w:w="100" w:type="dxa"/>
              <w:bottom w:w="60" w:type="dxa"/>
              <w:right w:w="100" w:type="dxa"/>
            </w:tcMar>
          </w:tcPr>
          <w:p>
            <w:pPr>
              <w:spacing w:after="0" w:line="240" w:lineRule="auto"/>
              <w:jc w:val="right"/>
            </w:pPr>
            <w:r>
              <w:rPr>
                <w:sz w:val="18"/>
              </w:rPr>
              <w:t>1.2%</w:t>
            </w:r>
          </w:p>
        </w:tc>
      </w:tr>
      <w:tr>
        <w:trPr>
          <w:cantSplit/>
        </w:trPr>
        <w:tc>
          <w:tcPr>
            <w:tcW w:type="dxa" w:w="2608"/>
            <w:tcMar>
              <w:top w:w="60" w:type="dxa"/>
              <w:left w:w="100" w:type="dxa"/>
              <w:bottom w:w="60" w:type="dxa"/>
              <w:right w:w="100" w:type="dxa"/>
            </w:tcMar>
          </w:tcPr>
          <w:p>
            <w:pPr>
              <w:spacing w:after="0" w:line="240" w:lineRule="auto"/>
            </w:pPr>
            <w:r>
              <w:rPr>
                <w:sz w:val="18"/>
              </w:rPr>
              <w:t>B hybrid-static</w:t>
            </w:r>
          </w:p>
        </w:tc>
        <w:tc>
          <w:tcPr>
            <w:tcW w:type="dxa" w:w="1077"/>
            <w:tcMar>
              <w:top w:w="60" w:type="dxa"/>
              <w:left w:w="100" w:type="dxa"/>
              <w:bottom w:w="60" w:type="dxa"/>
              <w:right w:w="100" w:type="dxa"/>
            </w:tcMar>
          </w:tcPr>
          <w:p>
            <w:pPr>
              <w:spacing w:after="0" w:line="240" w:lineRule="auto"/>
              <w:jc w:val="right"/>
            </w:pPr>
            <w:r>
              <w:rPr>
                <w:sz w:val="18"/>
              </w:rPr>
              <w:t>23,688</w:t>
            </w:r>
          </w:p>
        </w:tc>
        <w:tc>
          <w:tcPr>
            <w:tcW w:type="dxa" w:w="907"/>
            <w:tcMar>
              <w:top w:w="60" w:type="dxa"/>
              <w:left w:w="100" w:type="dxa"/>
              <w:bottom w:w="60" w:type="dxa"/>
              <w:right w:w="100" w:type="dxa"/>
            </w:tcMar>
          </w:tcPr>
          <w:p>
            <w:pPr>
              <w:spacing w:after="0" w:line="240" w:lineRule="auto"/>
              <w:jc w:val="right"/>
            </w:pPr>
            <w:r>
              <w:rPr>
                <w:sz w:val="18"/>
              </w:rPr>
              <w:t>0.0%</w:t>
            </w:r>
          </w:p>
        </w:tc>
        <w:tc>
          <w:tcPr>
            <w:tcW w:type="dxa" w:w="1134"/>
            <w:tcMar>
              <w:top w:w="60" w:type="dxa"/>
              <w:left w:w="100" w:type="dxa"/>
              <w:bottom w:w="60" w:type="dxa"/>
              <w:right w:w="100" w:type="dxa"/>
            </w:tcMar>
          </w:tcPr>
          <w:p>
            <w:pPr>
              <w:spacing w:after="0" w:line="240" w:lineRule="auto"/>
              <w:jc w:val="right"/>
            </w:pPr>
            <w:r>
              <w:rPr>
                <w:sz w:val="18"/>
              </w:rPr>
              <w:t>0.7%</w:t>
            </w:r>
          </w:p>
        </w:tc>
        <w:tc>
          <w:tcPr>
            <w:tcW w:type="dxa" w:w="737"/>
            <w:tcMar>
              <w:top w:w="60" w:type="dxa"/>
              <w:left w:w="100" w:type="dxa"/>
              <w:bottom w:w="60" w:type="dxa"/>
              <w:right w:w="100" w:type="dxa"/>
            </w:tcMar>
          </w:tcPr>
          <w:p>
            <w:pPr>
              <w:spacing w:after="0" w:line="240" w:lineRule="auto"/>
              <w:jc w:val="right"/>
            </w:pPr>
            <w:r>
              <w:rPr>
                <w:sz w:val="18"/>
              </w:rPr>
              <w:t>437</w:t>
            </w:r>
          </w:p>
        </w:tc>
        <w:tc>
          <w:tcPr>
            <w:tcW w:type="dxa" w:w="737"/>
            <w:tcMar>
              <w:top w:w="60" w:type="dxa"/>
              <w:left w:w="100" w:type="dxa"/>
              <w:bottom w:w="60" w:type="dxa"/>
              <w:right w:w="100" w:type="dxa"/>
            </w:tcMar>
          </w:tcPr>
          <w:p>
            <w:pPr>
              <w:spacing w:after="0" w:line="240" w:lineRule="auto"/>
              <w:jc w:val="right"/>
            </w:pPr>
            <w:r>
              <w:rPr>
                <w:sz w:val="18"/>
              </w:rPr>
              <w:t>517</w:t>
            </w:r>
          </w:p>
        </w:tc>
        <w:tc>
          <w:tcPr>
            <w:tcW w:type="dxa" w:w="737"/>
            <w:tcMar>
              <w:top w:w="60" w:type="dxa"/>
              <w:left w:w="100" w:type="dxa"/>
              <w:bottom w:w="60" w:type="dxa"/>
              <w:right w:w="100" w:type="dxa"/>
            </w:tcMar>
          </w:tcPr>
          <w:p>
            <w:pPr>
              <w:spacing w:after="0" w:line="240" w:lineRule="auto"/>
              <w:jc w:val="right"/>
            </w:pPr>
            <w:r>
              <w:rPr>
                <w:sz w:val="18"/>
              </w:rPr>
              <w:t>610</w:t>
            </w:r>
          </w:p>
        </w:tc>
        <w:tc>
          <w:tcPr>
            <w:tcW w:type="dxa" w:w="1304"/>
            <w:tcMar>
              <w:top w:w="60" w:type="dxa"/>
              <w:left w:w="100" w:type="dxa"/>
              <w:bottom w:w="60" w:type="dxa"/>
              <w:right w:w="100" w:type="dxa"/>
            </w:tcMar>
          </w:tcPr>
          <w:p>
            <w:pPr>
              <w:spacing w:after="0" w:line="240" w:lineRule="auto"/>
              <w:jc w:val="right"/>
            </w:pPr>
            <w:r>
              <w:rPr>
                <w:sz w:val="18"/>
              </w:rPr>
              <w:t>0.2%</w:t>
            </w:r>
          </w:p>
        </w:tc>
      </w:tr>
      <w:tr>
        <w:trPr>
          <w:cantSplit/>
        </w:trPr>
        <w:tc>
          <w:tcPr>
            <w:tcW w:type="dxa" w:w="2608"/>
            <w:tcMar>
              <w:top w:w="60" w:type="dxa"/>
              <w:left w:w="100" w:type="dxa"/>
              <w:bottom w:w="60" w:type="dxa"/>
              <w:right w:w="100" w:type="dxa"/>
            </w:tcMar>
          </w:tcPr>
          <w:p>
            <w:pPr>
              <w:spacing w:after="0" w:line="240" w:lineRule="auto"/>
            </w:pPr>
            <w:r>
              <w:rPr>
                <w:sz w:val="18"/>
              </w:rPr>
              <w:t>C hybrid-ML</w:t>
            </w:r>
          </w:p>
        </w:tc>
        <w:tc>
          <w:tcPr>
            <w:tcW w:type="dxa" w:w="1077"/>
            <w:tcMar>
              <w:top w:w="60" w:type="dxa"/>
              <w:left w:w="100" w:type="dxa"/>
              <w:bottom w:w="60" w:type="dxa"/>
              <w:right w:w="100" w:type="dxa"/>
            </w:tcMar>
          </w:tcPr>
          <w:p>
            <w:pPr>
              <w:spacing w:after="0" w:line="240" w:lineRule="auto"/>
              <w:jc w:val="right"/>
            </w:pPr>
            <w:r>
              <w:rPr>
                <w:sz w:val="18"/>
              </w:rPr>
              <w:t>23,685</w:t>
            </w:r>
          </w:p>
        </w:tc>
        <w:tc>
          <w:tcPr>
            <w:tcW w:type="dxa" w:w="907"/>
            <w:tcMar>
              <w:top w:w="60" w:type="dxa"/>
              <w:left w:w="100" w:type="dxa"/>
              <w:bottom w:w="60" w:type="dxa"/>
              <w:right w:w="100" w:type="dxa"/>
            </w:tcMar>
          </w:tcPr>
          <w:p>
            <w:pPr>
              <w:spacing w:after="0" w:line="240" w:lineRule="auto"/>
              <w:jc w:val="right"/>
            </w:pPr>
            <w:r>
              <w:rPr>
                <w:sz w:val="18"/>
              </w:rPr>
              <w:t>0.0%</w:t>
            </w:r>
          </w:p>
        </w:tc>
        <w:tc>
          <w:tcPr>
            <w:tcW w:type="dxa" w:w="1134"/>
            <w:tcMar>
              <w:top w:w="60" w:type="dxa"/>
              <w:left w:w="100" w:type="dxa"/>
              <w:bottom w:w="60" w:type="dxa"/>
              <w:right w:w="100" w:type="dxa"/>
            </w:tcMar>
          </w:tcPr>
          <w:p>
            <w:pPr>
              <w:spacing w:after="0" w:line="240" w:lineRule="auto"/>
              <w:jc w:val="right"/>
            </w:pPr>
            <w:r>
              <w:rPr>
                <w:sz w:val="18"/>
              </w:rPr>
              <w:t>0.5%</w:t>
            </w:r>
          </w:p>
        </w:tc>
        <w:tc>
          <w:tcPr>
            <w:tcW w:type="dxa" w:w="737"/>
            <w:tcMar>
              <w:top w:w="60" w:type="dxa"/>
              <w:left w:w="100" w:type="dxa"/>
              <w:bottom w:w="60" w:type="dxa"/>
              <w:right w:w="100" w:type="dxa"/>
            </w:tcMar>
          </w:tcPr>
          <w:p>
            <w:pPr>
              <w:spacing w:after="0" w:line="240" w:lineRule="auto"/>
              <w:jc w:val="right"/>
            </w:pPr>
            <w:r>
              <w:rPr>
                <w:sz w:val="18"/>
              </w:rPr>
              <w:t>445</w:t>
            </w:r>
          </w:p>
        </w:tc>
        <w:tc>
          <w:tcPr>
            <w:tcW w:type="dxa" w:w="737"/>
            <w:tcMar>
              <w:top w:w="60" w:type="dxa"/>
              <w:left w:w="100" w:type="dxa"/>
              <w:bottom w:w="60" w:type="dxa"/>
              <w:right w:w="100" w:type="dxa"/>
            </w:tcMar>
          </w:tcPr>
          <w:p>
            <w:pPr>
              <w:spacing w:after="0" w:line="240" w:lineRule="auto"/>
              <w:jc w:val="right"/>
            </w:pPr>
            <w:r>
              <w:rPr>
                <w:sz w:val="18"/>
              </w:rPr>
              <w:t>585</w:t>
            </w:r>
          </w:p>
        </w:tc>
        <w:tc>
          <w:tcPr>
            <w:tcW w:type="dxa" w:w="737"/>
            <w:tcMar>
              <w:top w:w="60" w:type="dxa"/>
              <w:left w:w="100" w:type="dxa"/>
              <w:bottom w:w="60" w:type="dxa"/>
              <w:right w:w="100" w:type="dxa"/>
            </w:tcMar>
          </w:tcPr>
          <w:p>
            <w:pPr>
              <w:spacing w:after="0" w:line="240" w:lineRule="auto"/>
              <w:jc w:val="right"/>
            </w:pPr>
            <w:r>
              <w:rPr>
                <w:sz w:val="18"/>
              </w:rPr>
              <w:t>851</w:t>
            </w:r>
          </w:p>
        </w:tc>
        <w:tc>
          <w:tcPr>
            <w:tcW w:type="dxa" w:w="1304"/>
            <w:tcMar>
              <w:top w:w="60" w:type="dxa"/>
              <w:left w:w="100" w:type="dxa"/>
              <w:bottom w:w="60" w:type="dxa"/>
              <w:right w:w="100" w:type="dxa"/>
            </w:tcMar>
          </w:tcPr>
          <w:p>
            <w:pPr>
              <w:spacing w:after="0" w:line="240" w:lineRule="auto"/>
              <w:jc w:val="right"/>
            </w:pPr>
            <w:r>
              <w:rPr>
                <w:sz w:val="18"/>
              </w:rPr>
              <w:t>1.3%</w:t>
            </w:r>
          </w:p>
        </w:tc>
      </w:tr>
      <w:tr>
        <w:trPr>
          <w:cantSplit/>
        </w:trPr>
        <w:tc>
          <w:tcPr>
            <w:tcW w:type="dxa" w:w="2608"/>
            <w:tcMar>
              <w:top w:w="60" w:type="dxa"/>
              <w:left w:w="100" w:type="dxa"/>
              <w:bottom w:w="60" w:type="dxa"/>
              <w:right w:w="100" w:type="dxa"/>
            </w:tcMar>
          </w:tcPr>
          <w:p>
            <w:pPr>
              <w:spacing w:after="0" w:line="240" w:lineRule="auto"/>
            </w:pPr>
            <w:r>
              <w:rPr>
                <w:sz w:val="18"/>
              </w:rPr>
              <w:t>D hybrid-ML + x4 spike</w:t>
            </w:r>
          </w:p>
        </w:tc>
        <w:tc>
          <w:tcPr>
            <w:tcW w:type="dxa" w:w="1077"/>
            <w:tcMar>
              <w:top w:w="60" w:type="dxa"/>
              <w:left w:w="100" w:type="dxa"/>
              <w:bottom w:w="60" w:type="dxa"/>
              <w:right w:w="100" w:type="dxa"/>
            </w:tcMar>
          </w:tcPr>
          <w:p>
            <w:pPr>
              <w:spacing w:after="0" w:line="240" w:lineRule="auto"/>
              <w:jc w:val="right"/>
            </w:pPr>
            <w:r>
              <w:rPr>
                <w:sz w:val="18"/>
              </w:rPr>
              <w:t>30,988</w:t>
            </w:r>
          </w:p>
        </w:tc>
        <w:tc>
          <w:tcPr>
            <w:tcW w:type="dxa" w:w="907"/>
            <w:tcMar>
              <w:top w:w="60" w:type="dxa"/>
              <w:left w:w="100" w:type="dxa"/>
              <w:bottom w:w="60" w:type="dxa"/>
              <w:right w:w="100" w:type="dxa"/>
            </w:tcMar>
          </w:tcPr>
          <w:p>
            <w:pPr>
              <w:spacing w:after="0" w:line="240" w:lineRule="auto"/>
              <w:jc w:val="right"/>
            </w:pPr>
            <w:r>
              <w:rPr>
                <w:sz w:val="18"/>
              </w:rPr>
              <w:t>0.0%</w:t>
            </w:r>
          </w:p>
        </w:tc>
        <w:tc>
          <w:tcPr>
            <w:tcW w:type="dxa" w:w="1134"/>
            <w:tcMar>
              <w:top w:w="60" w:type="dxa"/>
              <w:left w:w="100" w:type="dxa"/>
              <w:bottom w:w="60" w:type="dxa"/>
              <w:right w:w="100" w:type="dxa"/>
            </w:tcMar>
          </w:tcPr>
          <w:p>
            <w:pPr>
              <w:spacing w:after="0" w:line="240" w:lineRule="auto"/>
              <w:jc w:val="right"/>
            </w:pPr>
            <w:r>
              <w:rPr>
                <w:sz w:val="18"/>
              </w:rPr>
              <w:t>20.0%</w:t>
            </w:r>
          </w:p>
        </w:tc>
        <w:tc>
          <w:tcPr>
            <w:tcW w:type="dxa" w:w="737"/>
            <w:tcMar>
              <w:top w:w="60" w:type="dxa"/>
              <w:left w:w="100" w:type="dxa"/>
              <w:bottom w:w="60" w:type="dxa"/>
              <w:right w:w="100" w:type="dxa"/>
            </w:tcMar>
          </w:tcPr>
          <w:p>
            <w:pPr>
              <w:spacing w:after="0" w:line="240" w:lineRule="auto"/>
              <w:jc w:val="right"/>
            </w:pPr>
            <w:r>
              <w:rPr>
                <w:sz w:val="18"/>
              </w:rPr>
              <w:t>454</w:t>
            </w:r>
          </w:p>
        </w:tc>
        <w:tc>
          <w:tcPr>
            <w:tcW w:type="dxa" w:w="737"/>
            <w:tcMar>
              <w:top w:w="60" w:type="dxa"/>
              <w:left w:w="100" w:type="dxa"/>
              <w:bottom w:w="60" w:type="dxa"/>
              <w:right w:w="100" w:type="dxa"/>
            </w:tcMar>
          </w:tcPr>
          <w:p>
            <w:pPr>
              <w:spacing w:after="0" w:line="240" w:lineRule="auto"/>
              <w:jc w:val="right"/>
            </w:pPr>
            <w:r>
              <w:rPr>
                <w:sz w:val="18"/>
              </w:rPr>
              <w:t>2618</w:t>
            </w:r>
          </w:p>
        </w:tc>
        <w:tc>
          <w:tcPr>
            <w:tcW w:type="dxa" w:w="737"/>
            <w:tcMar>
              <w:top w:w="60" w:type="dxa"/>
              <w:left w:w="100" w:type="dxa"/>
              <w:bottom w:w="60" w:type="dxa"/>
              <w:right w:w="100" w:type="dxa"/>
            </w:tcMar>
          </w:tcPr>
          <w:p>
            <w:pPr>
              <w:spacing w:after="0" w:line="240" w:lineRule="auto"/>
              <w:jc w:val="right"/>
            </w:pPr>
            <w:r>
              <w:rPr>
                <w:sz w:val="18"/>
              </w:rPr>
              <w:t>3666</w:t>
            </w:r>
          </w:p>
        </w:tc>
        <w:tc>
          <w:tcPr>
            <w:tcW w:type="dxa" w:w="1304"/>
            <w:tcMar>
              <w:top w:w="60" w:type="dxa"/>
              <w:left w:w="100" w:type="dxa"/>
              <w:bottom w:w="60" w:type="dxa"/>
              <w:right w:w="100" w:type="dxa"/>
            </w:tcMar>
          </w:tcPr>
          <w:p>
            <w:pPr>
              <w:spacing w:after="0" w:line="240" w:lineRule="auto"/>
              <w:jc w:val="right"/>
            </w:pPr>
            <w:r>
              <w:rPr>
                <w:sz w:val="18"/>
              </w:rPr>
              <w:t>19.8%</w:t>
            </w:r>
          </w:p>
        </w:tc>
      </w:tr>
    </w:tbl>
    <w:p>
      <w:pPr>
        <w:spacing w:after="120"/>
      </w:pPr>
    </w:p>
    <w:p>
      <w:pPr>
        <w:keepNext/>
        <w:spacing w:after="80" w:before="120" w:line="276" w:lineRule="auto"/>
        <w:jc w:val="center"/>
      </w:pPr>
      <w:r>
        <w:rPr>
          <w:sz w:val="22"/>
        </w:rPr>
        <w:t>Table 14: Live results: backend latency, resources, cost and energy estimate</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28"/>
        <w:gridCol w:w="1128"/>
        <w:gridCol w:w="1128"/>
        <w:gridCol w:w="1128"/>
        <w:gridCol w:w="1128"/>
        <w:gridCol w:w="1128"/>
        <w:gridCol w:w="1128"/>
        <w:gridCol w:w="1128"/>
      </w:tblGrid>
      <w:tr>
        <w:trPr>
          <w:cantSplit/>
          <w:tblHeader/>
        </w:trPr>
        <w:tc>
          <w:tcPr>
            <w:tcW w:type="dxa" w:w="2381"/>
            <w:tcMar>
              <w:top w:w="60" w:type="dxa"/>
              <w:left w:w="100" w:type="dxa"/>
              <w:bottom w:w="60" w:type="dxa"/>
              <w:right w:w="100" w:type="dxa"/>
            </w:tcMar>
            <w:shd w:val="clear" w:color="auto" w:fill="D9D9D9"/>
          </w:tcPr>
          <w:p>
            <w:pPr>
              <w:spacing w:after="0" w:line="240" w:lineRule="auto"/>
            </w:pPr>
            <w:r>
              <w:rPr>
                <w:b/>
                <w:sz w:val="18"/>
              </w:rPr>
              <w:t>Arm</w:t>
            </w:r>
          </w:p>
        </w:tc>
        <w:tc>
          <w:tcPr>
            <w:tcW w:type="dxa" w:w="1247"/>
            <w:tcMar>
              <w:top w:w="60" w:type="dxa"/>
              <w:left w:w="100" w:type="dxa"/>
              <w:bottom w:w="60" w:type="dxa"/>
              <w:right w:w="100" w:type="dxa"/>
            </w:tcMar>
            <w:shd w:val="clear" w:color="auto" w:fill="D9D9D9"/>
          </w:tcPr>
          <w:p>
            <w:pPr>
              <w:spacing w:after="0" w:line="240" w:lineRule="auto"/>
            </w:pPr>
            <w:r>
              <w:rPr>
                <w:b/>
                <w:sz w:val="18"/>
              </w:rPr>
              <w:t>EC2 p50 / p95 ms</w:t>
            </w:r>
          </w:p>
        </w:tc>
        <w:tc>
          <w:tcPr>
            <w:tcW w:type="dxa" w:w="1361"/>
            <w:tcMar>
              <w:top w:w="60" w:type="dxa"/>
              <w:left w:w="100" w:type="dxa"/>
              <w:bottom w:w="60" w:type="dxa"/>
              <w:right w:w="100" w:type="dxa"/>
            </w:tcMar>
            <w:shd w:val="clear" w:color="auto" w:fill="D9D9D9"/>
          </w:tcPr>
          <w:p>
            <w:pPr>
              <w:spacing w:after="0" w:line="240" w:lineRule="auto"/>
            </w:pPr>
            <w:r>
              <w:rPr>
                <w:b/>
                <w:sz w:val="18"/>
              </w:rPr>
              <w:t>Lambda p50 / p95 ms</w:t>
            </w:r>
          </w:p>
        </w:tc>
        <w:tc>
          <w:tcPr>
            <w:tcW w:type="dxa" w:w="1020"/>
            <w:tcMar>
              <w:top w:w="60" w:type="dxa"/>
              <w:left w:w="100" w:type="dxa"/>
              <w:bottom w:w="60" w:type="dxa"/>
              <w:right w:w="100" w:type="dxa"/>
            </w:tcMar>
            <w:shd w:val="clear" w:color="auto" w:fill="D9D9D9"/>
          </w:tcPr>
          <w:p>
            <w:pPr>
              <w:spacing w:after="0" w:line="240" w:lineRule="auto"/>
            </w:pPr>
            <w:r>
              <w:rPr>
                <w:b/>
                <w:sz w:val="18"/>
              </w:rPr>
              <w:t>Instance-hours</w:t>
            </w:r>
          </w:p>
        </w:tc>
        <w:tc>
          <w:tcPr>
            <w:tcW w:type="dxa" w:w="850"/>
            <w:tcMar>
              <w:top w:w="60" w:type="dxa"/>
              <w:left w:w="100" w:type="dxa"/>
              <w:bottom w:w="60" w:type="dxa"/>
              <w:right w:w="100" w:type="dxa"/>
            </w:tcMar>
            <w:shd w:val="clear" w:color="auto" w:fill="D9D9D9"/>
          </w:tcPr>
          <w:p>
            <w:pPr>
              <w:spacing w:after="0" w:line="240" w:lineRule="auto"/>
            </w:pPr>
            <w:r>
              <w:rPr>
                <w:b/>
                <w:sz w:val="18"/>
              </w:rPr>
              <w:t>EC2 cost</w:t>
            </w:r>
          </w:p>
        </w:tc>
        <w:tc>
          <w:tcPr>
            <w:tcW w:type="dxa" w:w="907"/>
            <w:tcMar>
              <w:top w:w="60" w:type="dxa"/>
              <w:left w:w="100" w:type="dxa"/>
              <w:bottom w:w="60" w:type="dxa"/>
              <w:right w:w="100" w:type="dxa"/>
            </w:tcMar>
            <w:shd w:val="clear" w:color="auto" w:fill="D9D9D9"/>
          </w:tcPr>
          <w:p>
            <w:pPr>
              <w:spacing w:after="0" w:line="240" w:lineRule="auto"/>
            </w:pPr>
            <w:r>
              <w:rPr>
                <w:b/>
                <w:sz w:val="18"/>
              </w:rPr>
              <w:t>Lambda cost</w:t>
            </w:r>
          </w:p>
        </w:tc>
        <w:tc>
          <w:tcPr>
            <w:tcW w:type="dxa" w:w="850"/>
            <w:tcMar>
              <w:top w:w="60" w:type="dxa"/>
              <w:left w:w="100" w:type="dxa"/>
              <w:bottom w:w="60" w:type="dxa"/>
              <w:right w:w="100" w:type="dxa"/>
            </w:tcMar>
            <w:shd w:val="clear" w:color="auto" w:fill="D9D9D9"/>
          </w:tcPr>
          <w:p>
            <w:pPr>
              <w:spacing w:after="0" w:line="240" w:lineRule="auto"/>
            </w:pPr>
            <w:r>
              <w:rPr>
                <w:b/>
                <w:sz w:val="18"/>
              </w:rPr>
              <w:t>Total cost</w:t>
            </w:r>
          </w:p>
        </w:tc>
        <w:tc>
          <w:tcPr>
            <w:tcW w:type="dxa" w:w="1020"/>
            <w:tcMar>
              <w:top w:w="60" w:type="dxa"/>
              <w:left w:w="100" w:type="dxa"/>
              <w:bottom w:w="60" w:type="dxa"/>
              <w:right w:w="100" w:type="dxa"/>
            </w:tcMar>
            <w:shd w:val="clear" w:color="auto" w:fill="D9D9D9"/>
          </w:tcPr>
          <w:p>
            <w:pPr>
              <w:spacing w:after="0" w:line="240" w:lineRule="auto"/>
            </w:pPr>
            <w:r>
              <w:rPr>
                <w:b/>
                <w:sz w:val="18"/>
              </w:rPr>
              <w:t>Energy Wh (est.)</w:t>
            </w:r>
          </w:p>
        </w:tc>
      </w:tr>
      <w:tr>
        <w:trPr>
          <w:cantSplit/>
        </w:trPr>
        <w:tc>
          <w:tcPr>
            <w:tcW w:type="dxa" w:w="2381"/>
            <w:tcMar>
              <w:top w:w="60" w:type="dxa"/>
              <w:left w:w="100" w:type="dxa"/>
              <w:bottom w:w="60" w:type="dxa"/>
              <w:right w:w="100" w:type="dxa"/>
            </w:tcMar>
          </w:tcPr>
          <w:p>
            <w:pPr>
              <w:spacing w:after="0" w:line="240" w:lineRule="auto"/>
            </w:pPr>
            <w:r>
              <w:rPr>
                <w:sz w:val="18"/>
              </w:rPr>
              <w:t>A reactive (ASG target tracking)</w:t>
            </w:r>
          </w:p>
        </w:tc>
        <w:tc>
          <w:tcPr>
            <w:tcW w:type="dxa" w:w="1247"/>
            <w:tcMar>
              <w:top w:w="60" w:type="dxa"/>
              <w:left w:w="100" w:type="dxa"/>
              <w:bottom w:w="60" w:type="dxa"/>
              <w:right w:w="100" w:type="dxa"/>
            </w:tcMar>
          </w:tcPr>
          <w:p>
            <w:pPr>
              <w:spacing w:after="0" w:line="240" w:lineRule="auto"/>
            </w:pPr>
            <w:r>
              <w:rPr>
                <w:sz w:val="18"/>
              </w:rPr>
              <w:t>445 / 565</w:t>
            </w:r>
          </w:p>
        </w:tc>
        <w:tc>
          <w:tcPr>
            <w:tcW w:type="dxa" w:w="1361"/>
            <w:tcMar>
              <w:top w:w="60" w:type="dxa"/>
              <w:left w:w="100" w:type="dxa"/>
              <w:bottom w:w="60" w:type="dxa"/>
              <w:right w:w="100" w:type="dxa"/>
            </w:tcMar>
          </w:tcPr>
          <w:p>
            <w:pPr>
              <w:spacing w:after="0" w:line="240" w:lineRule="auto"/>
            </w:pPr>
            <w:r>
              <w:rPr>
                <w:sz w:val="18"/>
              </w:rPr>
              <w:t>489 / 729</w:t>
            </w:r>
          </w:p>
        </w:tc>
        <w:tc>
          <w:tcPr>
            <w:tcW w:type="dxa" w:w="1020"/>
            <w:tcMar>
              <w:top w:w="60" w:type="dxa"/>
              <w:left w:w="100" w:type="dxa"/>
              <w:bottom w:w="60" w:type="dxa"/>
              <w:right w:w="100" w:type="dxa"/>
            </w:tcMar>
          </w:tcPr>
          <w:p>
            <w:pPr>
              <w:spacing w:after="0" w:line="240" w:lineRule="auto"/>
              <w:jc w:val="right"/>
            </w:pPr>
            <w:r>
              <w:rPr>
                <w:sz w:val="18"/>
              </w:rPr>
              <w:t>0.838</w:t>
            </w:r>
          </w:p>
        </w:tc>
        <w:tc>
          <w:tcPr>
            <w:tcW w:type="dxa" w:w="850"/>
            <w:tcMar>
              <w:top w:w="60" w:type="dxa"/>
              <w:left w:w="100" w:type="dxa"/>
              <w:bottom w:w="60" w:type="dxa"/>
              <w:right w:w="100" w:type="dxa"/>
            </w:tcMar>
          </w:tcPr>
          <w:p>
            <w:pPr>
              <w:spacing w:after="0" w:line="240" w:lineRule="auto"/>
              <w:jc w:val="right"/>
            </w:pPr>
            <w:r>
              <w:rPr>
                <w:sz w:val="18"/>
              </w:rPr>
              <w:t>$0.038</w:t>
            </w:r>
          </w:p>
        </w:tc>
        <w:tc>
          <w:tcPr>
            <w:tcW w:type="dxa" w:w="907"/>
            <w:tcMar>
              <w:top w:w="60" w:type="dxa"/>
              <w:left w:w="100" w:type="dxa"/>
              <w:bottom w:w="60" w:type="dxa"/>
              <w:right w:w="100" w:type="dxa"/>
            </w:tcMar>
          </w:tcPr>
          <w:p>
            <w:pPr>
              <w:spacing w:after="0" w:line="240" w:lineRule="auto"/>
              <w:jc w:val="right"/>
            </w:pPr>
            <w:r>
              <w:rPr>
                <w:sz w:val="18"/>
              </w:rPr>
              <w:t>$0.000</w:t>
            </w:r>
          </w:p>
        </w:tc>
        <w:tc>
          <w:tcPr>
            <w:tcW w:type="dxa" w:w="850"/>
            <w:tcMar>
              <w:top w:w="60" w:type="dxa"/>
              <w:left w:w="100" w:type="dxa"/>
              <w:bottom w:w="60" w:type="dxa"/>
              <w:right w:w="100" w:type="dxa"/>
            </w:tcMar>
          </w:tcPr>
          <w:p>
            <w:pPr>
              <w:spacing w:after="0" w:line="240" w:lineRule="auto"/>
              <w:jc w:val="right"/>
            </w:pPr>
            <w:r>
              <w:rPr>
                <w:sz w:val="18"/>
              </w:rPr>
              <w:t>$0.038</w:t>
            </w:r>
          </w:p>
        </w:tc>
        <w:tc>
          <w:tcPr>
            <w:tcW w:type="dxa" w:w="1020"/>
            <w:tcMar>
              <w:top w:w="60" w:type="dxa"/>
              <w:left w:w="100" w:type="dxa"/>
              <w:bottom w:w="60" w:type="dxa"/>
              <w:right w:w="100" w:type="dxa"/>
            </w:tcMar>
          </w:tcPr>
          <w:p>
            <w:pPr>
              <w:spacing w:after="0" w:line="240" w:lineRule="auto"/>
              <w:jc w:val="right"/>
            </w:pPr>
            <w:r>
              <w:rPr>
                <w:sz w:val="18"/>
              </w:rPr>
              <w:t>3</w:t>
            </w:r>
          </w:p>
        </w:tc>
      </w:tr>
      <w:tr>
        <w:trPr>
          <w:cantSplit/>
        </w:trPr>
        <w:tc>
          <w:tcPr>
            <w:tcW w:type="dxa" w:w="2381"/>
            <w:tcMar>
              <w:top w:w="60" w:type="dxa"/>
              <w:left w:w="100" w:type="dxa"/>
              <w:bottom w:w="60" w:type="dxa"/>
              <w:right w:w="100" w:type="dxa"/>
            </w:tcMar>
          </w:tcPr>
          <w:p>
            <w:pPr>
              <w:spacing w:after="0" w:line="240" w:lineRule="auto"/>
            </w:pPr>
            <w:r>
              <w:rPr>
                <w:sz w:val="18"/>
              </w:rPr>
              <w:t>B hybrid-static</w:t>
            </w:r>
          </w:p>
        </w:tc>
        <w:tc>
          <w:tcPr>
            <w:tcW w:type="dxa" w:w="1247"/>
            <w:tcMar>
              <w:top w:w="60" w:type="dxa"/>
              <w:left w:w="100" w:type="dxa"/>
              <w:bottom w:w="60" w:type="dxa"/>
              <w:right w:w="100" w:type="dxa"/>
            </w:tcMar>
          </w:tcPr>
          <w:p>
            <w:pPr>
              <w:spacing w:after="0" w:line="240" w:lineRule="auto"/>
            </w:pPr>
            <w:r>
              <w:rPr>
                <w:sz w:val="18"/>
              </w:rPr>
              <w:t>437 / 516</w:t>
            </w:r>
          </w:p>
        </w:tc>
        <w:tc>
          <w:tcPr>
            <w:tcW w:type="dxa" w:w="1361"/>
            <w:tcMar>
              <w:top w:w="60" w:type="dxa"/>
              <w:left w:w="100" w:type="dxa"/>
              <w:bottom w:w="60" w:type="dxa"/>
              <w:right w:w="100" w:type="dxa"/>
            </w:tcMar>
          </w:tcPr>
          <w:p>
            <w:pPr>
              <w:spacing w:after="0" w:line="240" w:lineRule="auto"/>
            </w:pPr>
            <w:r>
              <w:rPr>
                <w:sz w:val="18"/>
              </w:rPr>
              <w:t>459 / 760</w:t>
            </w:r>
          </w:p>
        </w:tc>
        <w:tc>
          <w:tcPr>
            <w:tcW w:type="dxa" w:w="1020"/>
            <w:tcMar>
              <w:top w:w="60" w:type="dxa"/>
              <w:left w:w="100" w:type="dxa"/>
              <w:bottom w:w="60" w:type="dxa"/>
              <w:right w:w="100" w:type="dxa"/>
            </w:tcMar>
          </w:tcPr>
          <w:p>
            <w:pPr>
              <w:spacing w:after="0" w:line="240" w:lineRule="auto"/>
              <w:jc w:val="right"/>
            </w:pPr>
            <w:r>
              <w:rPr>
                <w:sz w:val="18"/>
              </w:rPr>
              <w:t>1.863</w:t>
            </w:r>
          </w:p>
        </w:tc>
        <w:tc>
          <w:tcPr>
            <w:tcW w:type="dxa" w:w="850"/>
            <w:tcMar>
              <w:top w:w="60" w:type="dxa"/>
              <w:left w:w="100" w:type="dxa"/>
              <w:bottom w:w="60" w:type="dxa"/>
              <w:right w:w="100" w:type="dxa"/>
            </w:tcMar>
          </w:tcPr>
          <w:p>
            <w:pPr>
              <w:spacing w:after="0" w:line="240" w:lineRule="auto"/>
              <w:jc w:val="right"/>
            </w:pPr>
            <w:r>
              <w:rPr>
                <w:sz w:val="18"/>
              </w:rPr>
              <w:t>$0.083</w:t>
            </w:r>
          </w:p>
        </w:tc>
        <w:tc>
          <w:tcPr>
            <w:tcW w:type="dxa" w:w="907"/>
            <w:tcMar>
              <w:top w:w="60" w:type="dxa"/>
              <w:left w:w="100" w:type="dxa"/>
              <w:bottom w:w="60" w:type="dxa"/>
              <w:right w:w="100" w:type="dxa"/>
            </w:tcMar>
          </w:tcPr>
          <w:p>
            <w:pPr>
              <w:spacing w:after="0" w:line="240" w:lineRule="auto"/>
              <w:jc w:val="right"/>
            </w:pPr>
            <w:r>
              <w:rPr>
                <w:sz w:val="18"/>
              </w:rPr>
              <w:t>$0.002</w:t>
            </w:r>
          </w:p>
        </w:tc>
        <w:tc>
          <w:tcPr>
            <w:tcW w:type="dxa" w:w="850"/>
            <w:tcMar>
              <w:top w:w="60" w:type="dxa"/>
              <w:left w:w="100" w:type="dxa"/>
              <w:bottom w:w="60" w:type="dxa"/>
              <w:right w:w="100" w:type="dxa"/>
            </w:tcMar>
          </w:tcPr>
          <w:p>
            <w:pPr>
              <w:spacing w:after="0" w:line="240" w:lineRule="auto"/>
              <w:jc w:val="right"/>
            </w:pPr>
            <w:r>
              <w:rPr>
                <w:sz w:val="18"/>
              </w:rPr>
              <w:t>$0.085</w:t>
            </w:r>
          </w:p>
        </w:tc>
        <w:tc>
          <w:tcPr>
            <w:tcW w:type="dxa" w:w="1020"/>
            <w:tcMar>
              <w:top w:w="60" w:type="dxa"/>
              <w:left w:w="100" w:type="dxa"/>
              <w:bottom w:w="60" w:type="dxa"/>
              <w:right w:w="100" w:type="dxa"/>
            </w:tcMar>
          </w:tcPr>
          <w:p>
            <w:pPr>
              <w:spacing w:after="0" w:line="240" w:lineRule="auto"/>
              <w:jc w:val="right"/>
            </w:pPr>
            <w:r>
              <w:rPr>
                <w:sz w:val="18"/>
              </w:rPr>
              <w:t>4</w:t>
            </w:r>
          </w:p>
        </w:tc>
      </w:tr>
      <w:tr>
        <w:trPr>
          <w:cantSplit/>
        </w:trPr>
        <w:tc>
          <w:tcPr>
            <w:tcW w:type="dxa" w:w="2381"/>
            <w:tcMar>
              <w:top w:w="60" w:type="dxa"/>
              <w:left w:w="100" w:type="dxa"/>
              <w:bottom w:w="60" w:type="dxa"/>
              <w:right w:w="100" w:type="dxa"/>
            </w:tcMar>
          </w:tcPr>
          <w:p>
            <w:pPr>
              <w:spacing w:after="0" w:line="240" w:lineRule="auto"/>
            </w:pPr>
            <w:r>
              <w:rPr>
                <w:sz w:val="18"/>
              </w:rPr>
              <w:t>C hybrid-ML</w:t>
            </w:r>
          </w:p>
        </w:tc>
        <w:tc>
          <w:tcPr>
            <w:tcW w:type="dxa" w:w="1247"/>
            <w:tcMar>
              <w:top w:w="60" w:type="dxa"/>
              <w:left w:w="100" w:type="dxa"/>
              <w:bottom w:w="60" w:type="dxa"/>
              <w:right w:w="100" w:type="dxa"/>
            </w:tcMar>
          </w:tcPr>
          <w:p>
            <w:pPr>
              <w:spacing w:after="0" w:line="240" w:lineRule="auto"/>
            </w:pPr>
            <w:r>
              <w:rPr>
                <w:sz w:val="18"/>
              </w:rPr>
              <w:t>444 / 584</w:t>
            </w:r>
          </w:p>
        </w:tc>
        <w:tc>
          <w:tcPr>
            <w:tcW w:type="dxa" w:w="1361"/>
            <w:tcMar>
              <w:top w:w="60" w:type="dxa"/>
              <w:left w:w="100" w:type="dxa"/>
              <w:bottom w:w="60" w:type="dxa"/>
              <w:right w:w="100" w:type="dxa"/>
            </w:tcMar>
          </w:tcPr>
          <w:p>
            <w:pPr>
              <w:spacing w:after="0" w:line="240" w:lineRule="auto"/>
            </w:pPr>
            <w:r>
              <w:rPr>
                <w:sz w:val="18"/>
              </w:rPr>
              <w:t>480 / 752</w:t>
            </w:r>
          </w:p>
        </w:tc>
        <w:tc>
          <w:tcPr>
            <w:tcW w:type="dxa" w:w="1020"/>
            <w:tcMar>
              <w:top w:w="60" w:type="dxa"/>
              <w:left w:w="100" w:type="dxa"/>
              <w:bottom w:w="60" w:type="dxa"/>
              <w:right w:w="100" w:type="dxa"/>
            </w:tcMar>
          </w:tcPr>
          <w:p>
            <w:pPr>
              <w:spacing w:after="0" w:line="240" w:lineRule="auto"/>
              <w:jc w:val="right"/>
            </w:pPr>
            <w:r>
              <w:rPr>
                <w:sz w:val="18"/>
              </w:rPr>
              <w:t>0.827</w:t>
            </w:r>
          </w:p>
        </w:tc>
        <w:tc>
          <w:tcPr>
            <w:tcW w:type="dxa" w:w="850"/>
            <w:tcMar>
              <w:top w:w="60" w:type="dxa"/>
              <w:left w:w="100" w:type="dxa"/>
              <w:bottom w:w="60" w:type="dxa"/>
              <w:right w:w="100" w:type="dxa"/>
            </w:tcMar>
          </w:tcPr>
          <w:p>
            <w:pPr>
              <w:spacing w:after="0" w:line="240" w:lineRule="auto"/>
              <w:jc w:val="right"/>
            </w:pPr>
            <w:r>
              <w:rPr>
                <w:sz w:val="18"/>
              </w:rPr>
              <w:t>$0.037</w:t>
            </w:r>
          </w:p>
        </w:tc>
        <w:tc>
          <w:tcPr>
            <w:tcW w:type="dxa" w:w="907"/>
            <w:tcMar>
              <w:top w:w="60" w:type="dxa"/>
              <w:left w:w="100" w:type="dxa"/>
              <w:bottom w:w="60" w:type="dxa"/>
              <w:right w:w="100" w:type="dxa"/>
            </w:tcMar>
          </w:tcPr>
          <w:p>
            <w:pPr>
              <w:spacing w:after="0" w:line="240" w:lineRule="auto"/>
              <w:jc w:val="right"/>
            </w:pPr>
            <w:r>
              <w:rPr>
                <w:sz w:val="18"/>
              </w:rPr>
              <w:t>$0.002</w:t>
            </w:r>
          </w:p>
        </w:tc>
        <w:tc>
          <w:tcPr>
            <w:tcW w:type="dxa" w:w="850"/>
            <w:tcMar>
              <w:top w:w="60" w:type="dxa"/>
              <w:left w:w="100" w:type="dxa"/>
              <w:bottom w:w="60" w:type="dxa"/>
              <w:right w:w="100" w:type="dxa"/>
            </w:tcMar>
          </w:tcPr>
          <w:p>
            <w:pPr>
              <w:spacing w:after="0" w:line="240" w:lineRule="auto"/>
              <w:jc w:val="right"/>
            </w:pPr>
            <w:r>
              <w:rPr>
                <w:sz w:val="18"/>
              </w:rPr>
              <w:t>$0.039</w:t>
            </w:r>
          </w:p>
        </w:tc>
        <w:tc>
          <w:tcPr>
            <w:tcW w:type="dxa" w:w="1020"/>
            <w:tcMar>
              <w:top w:w="60" w:type="dxa"/>
              <w:left w:w="100" w:type="dxa"/>
              <w:bottom w:w="60" w:type="dxa"/>
              <w:right w:w="100" w:type="dxa"/>
            </w:tcMar>
          </w:tcPr>
          <w:p>
            <w:pPr>
              <w:spacing w:after="0" w:line="240" w:lineRule="auto"/>
              <w:jc w:val="right"/>
            </w:pPr>
            <w:r>
              <w:rPr>
                <w:sz w:val="18"/>
              </w:rPr>
              <w:t>3</w:t>
            </w:r>
          </w:p>
        </w:tc>
      </w:tr>
      <w:tr>
        <w:trPr>
          <w:cantSplit/>
        </w:trPr>
        <w:tc>
          <w:tcPr>
            <w:tcW w:type="dxa" w:w="2381"/>
            <w:tcMar>
              <w:top w:w="60" w:type="dxa"/>
              <w:left w:w="100" w:type="dxa"/>
              <w:bottom w:w="60" w:type="dxa"/>
              <w:right w:w="100" w:type="dxa"/>
            </w:tcMar>
          </w:tcPr>
          <w:p>
            <w:pPr>
              <w:spacing w:after="0" w:line="240" w:lineRule="auto"/>
            </w:pPr>
            <w:r>
              <w:rPr>
                <w:sz w:val="18"/>
              </w:rPr>
              <w:t>D hybrid-ML + x4 spike</w:t>
            </w:r>
          </w:p>
        </w:tc>
        <w:tc>
          <w:tcPr>
            <w:tcW w:type="dxa" w:w="1247"/>
            <w:tcMar>
              <w:top w:w="60" w:type="dxa"/>
              <w:left w:w="100" w:type="dxa"/>
              <w:bottom w:w="60" w:type="dxa"/>
              <w:right w:w="100" w:type="dxa"/>
            </w:tcMar>
          </w:tcPr>
          <w:p>
            <w:pPr>
              <w:spacing w:after="0" w:line="240" w:lineRule="auto"/>
            </w:pPr>
            <w:r>
              <w:rPr>
                <w:sz w:val="18"/>
              </w:rPr>
              <w:t>454 / 2784</w:t>
            </w:r>
          </w:p>
        </w:tc>
        <w:tc>
          <w:tcPr>
            <w:tcW w:type="dxa" w:w="1361"/>
            <w:tcMar>
              <w:top w:w="60" w:type="dxa"/>
              <w:left w:w="100" w:type="dxa"/>
              <w:bottom w:w="60" w:type="dxa"/>
              <w:right w:w="100" w:type="dxa"/>
            </w:tcMar>
          </w:tcPr>
          <w:p>
            <w:pPr>
              <w:spacing w:after="0" w:line="240" w:lineRule="auto"/>
            </w:pPr>
            <w:r>
              <w:rPr>
                <w:sz w:val="18"/>
              </w:rPr>
              <w:t>454 / 505</w:t>
            </w:r>
          </w:p>
        </w:tc>
        <w:tc>
          <w:tcPr>
            <w:tcW w:type="dxa" w:w="1020"/>
            <w:tcMar>
              <w:top w:w="60" w:type="dxa"/>
              <w:left w:w="100" w:type="dxa"/>
              <w:bottom w:w="60" w:type="dxa"/>
              <w:right w:w="100" w:type="dxa"/>
            </w:tcMar>
          </w:tcPr>
          <w:p>
            <w:pPr>
              <w:spacing w:after="0" w:line="240" w:lineRule="auto"/>
              <w:jc w:val="right"/>
            </w:pPr>
            <w:r>
              <w:rPr>
                <w:sz w:val="18"/>
              </w:rPr>
              <w:t>1.131</w:t>
            </w:r>
          </w:p>
        </w:tc>
        <w:tc>
          <w:tcPr>
            <w:tcW w:type="dxa" w:w="850"/>
            <w:tcMar>
              <w:top w:w="60" w:type="dxa"/>
              <w:left w:w="100" w:type="dxa"/>
              <w:bottom w:w="60" w:type="dxa"/>
              <w:right w:w="100" w:type="dxa"/>
            </w:tcMar>
          </w:tcPr>
          <w:p>
            <w:pPr>
              <w:spacing w:after="0" w:line="240" w:lineRule="auto"/>
              <w:jc w:val="right"/>
            </w:pPr>
            <w:r>
              <w:rPr>
                <w:sz w:val="18"/>
              </w:rPr>
              <w:t>$0.051</w:t>
            </w:r>
          </w:p>
        </w:tc>
        <w:tc>
          <w:tcPr>
            <w:tcW w:type="dxa" w:w="907"/>
            <w:tcMar>
              <w:top w:w="60" w:type="dxa"/>
              <w:left w:w="100" w:type="dxa"/>
              <w:bottom w:w="60" w:type="dxa"/>
              <w:right w:w="100" w:type="dxa"/>
            </w:tcMar>
          </w:tcPr>
          <w:p>
            <w:pPr>
              <w:spacing w:after="0" w:line="240" w:lineRule="auto"/>
              <w:jc w:val="right"/>
            </w:pPr>
            <w:r>
              <w:rPr>
                <w:sz w:val="18"/>
              </w:rPr>
              <w:t>$0.073</w:t>
            </w:r>
          </w:p>
        </w:tc>
        <w:tc>
          <w:tcPr>
            <w:tcW w:type="dxa" w:w="850"/>
            <w:tcMar>
              <w:top w:w="60" w:type="dxa"/>
              <w:left w:w="100" w:type="dxa"/>
              <w:bottom w:w="60" w:type="dxa"/>
              <w:right w:w="100" w:type="dxa"/>
            </w:tcMar>
          </w:tcPr>
          <w:p>
            <w:pPr>
              <w:spacing w:after="0" w:line="240" w:lineRule="auto"/>
              <w:jc w:val="right"/>
            </w:pPr>
            <w:r>
              <w:rPr>
                <w:sz w:val="18"/>
              </w:rPr>
              <w:t>$0.124</w:t>
            </w:r>
          </w:p>
        </w:tc>
        <w:tc>
          <w:tcPr>
            <w:tcW w:type="dxa" w:w="1020"/>
            <w:tcMar>
              <w:top w:w="60" w:type="dxa"/>
              <w:left w:w="100" w:type="dxa"/>
              <w:bottom w:w="60" w:type="dxa"/>
              <w:right w:w="100" w:type="dxa"/>
            </w:tcMar>
          </w:tcPr>
          <w:p>
            <w:pPr>
              <w:spacing w:after="0" w:line="240" w:lineRule="auto"/>
              <w:jc w:val="right"/>
            </w:pPr>
            <w:r>
              <w:rPr>
                <w:sz w:val="18"/>
              </w:rPr>
              <w:t>5</w:t>
            </w:r>
          </w:p>
        </w:tc>
      </w:tr>
    </w:tbl>
    <w:p>
      <w:pPr>
        <w:spacing w:after="120"/>
      </w:pPr>
    </w:p>
    <w:p>
      <w:pPr>
        <w:spacing w:after="140" w:before="0" w:line="340" w:lineRule="auto"/>
        <w:jc w:val="both"/>
      </w:pPr>
      <w:r>
        <w:rPr/>
        <w:t>Costs are computed from the instance-time recorded by the controller and from the CloudWatch Lambda duration and invocation counts at the Mumbai prices of Section 5.1; the load balancer, public addresses and CloudWatch are not included, because they are the same for every arm. Energy uses the estimate methodology of Section 8.6 with the measured mean CPU utilisation.</w:t>
      </w:r>
    </w:p>
    <w:p>
      <w:pPr>
        <w:keepNext/>
        <w:spacing w:after="80"/>
        <w:jc w:val="center"/>
      </w:pPr>
      <w:r>
        <w:drawing>
          <wp:inline xmlns:a="http://schemas.openxmlformats.org/drawingml/2006/main" xmlns:pic="http://schemas.openxmlformats.org/drawingml/2006/picture">
            <wp:extent cx="5580000" cy="3549059"/>
            <wp:docPr id="7" name="Picture 7"/>
            <wp:cNvGraphicFramePr>
              <a:graphicFrameLocks noChangeAspect="1"/>
            </wp:cNvGraphicFramePr>
            <a:graphic>
              <a:graphicData uri="http://schemas.openxmlformats.org/drawingml/2006/picture">
                <pic:pic>
                  <pic:nvPicPr>
                    <pic:cNvPr id="0" name="live_timelines.png"/>
                    <pic:cNvPicPr/>
                  </pic:nvPicPr>
                  <pic:blipFill>
                    <a:blip r:embed="rId28"/>
                    <a:stretch>
                      <a:fillRect/>
                    </a:stretch>
                  </pic:blipFill>
                  <pic:spPr>
                    <a:xfrm>
                      <a:off x="0" y="0"/>
                      <a:ext cx="5580000" cy="3549059"/>
                    </a:xfrm>
                    <a:prstGeom prst="rect"/>
                  </pic:spPr>
                </pic:pic>
              </a:graphicData>
            </a:graphic>
          </wp:inline>
        </w:drawing>
      </w:r>
    </w:p>
    <w:p>
      <w:pPr>
        <w:spacing w:after="200" w:before="0" w:line="276" w:lineRule="auto"/>
        <w:jc w:val="center"/>
      </w:pPr>
      <w:r>
        <w:rPr>
          <w:sz w:val="22"/>
        </w:rPr>
        <w:t>Figure 7: Live timelines: request rate, base capacity and EC2 share for each arm</w:t>
      </w:r>
    </w:p>
    <w:p>
      <w:pPr>
        <w:keepNext/>
        <w:spacing w:after="80"/>
        <w:jc w:val="center"/>
      </w:pPr>
      <w:r>
        <w:drawing>
          <wp:inline xmlns:a="http://schemas.openxmlformats.org/drawingml/2006/main" xmlns:pic="http://schemas.openxmlformats.org/drawingml/2006/picture">
            <wp:extent cx="5400000" cy="2032385"/>
            <wp:docPr id="8" name="Picture 8"/>
            <wp:cNvGraphicFramePr>
              <a:graphicFrameLocks noChangeAspect="1"/>
            </wp:cNvGraphicFramePr>
            <a:graphic>
              <a:graphicData uri="http://schemas.openxmlformats.org/drawingml/2006/picture">
                <pic:pic>
                  <pic:nvPicPr>
                    <pic:cNvPr id="0" name="live_latency_cost.png"/>
                    <pic:cNvPicPr/>
                  </pic:nvPicPr>
                  <pic:blipFill>
                    <a:blip r:embed="rId29"/>
                    <a:stretch>
                      <a:fillRect/>
                    </a:stretch>
                  </pic:blipFill>
                  <pic:spPr>
                    <a:xfrm>
                      <a:off x="0" y="0"/>
                      <a:ext cx="5400000" cy="2032385"/>
                    </a:xfrm>
                    <a:prstGeom prst="rect"/>
                  </pic:spPr>
                </pic:pic>
              </a:graphicData>
            </a:graphic>
          </wp:inline>
        </w:drawing>
      </w:r>
    </w:p>
    <w:p>
      <w:pPr>
        <w:spacing w:after="200" w:before="0" w:line="276" w:lineRule="auto"/>
        <w:jc w:val="center"/>
      </w:pPr>
      <w:r>
        <w:rPr>
          <w:sz w:val="22"/>
        </w:rPr>
        <w:t>Figure 8: Live p95 latency per window and cumulative cost for each arm</w:t>
      </w:r>
    </w:p>
    <w:p>
      <w:pPr>
        <w:keepNext/>
        <w:spacing w:after="80" w:before="120" w:line="276" w:lineRule="auto"/>
        <w:jc w:val="center"/>
      </w:pPr>
      <w:r>
        <w:rPr>
          <w:sz w:val="22"/>
        </w:rPr>
        <w:t>Table 15: Reconciliation: live arms against a simulator replay of the same arm</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9"/>
        <w:gridCol w:w="1289"/>
        <w:gridCol w:w="1289"/>
        <w:gridCol w:w="1289"/>
        <w:gridCol w:w="1289"/>
        <w:gridCol w:w="1289"/>
        <w:gridCol w:w="1289"/>
      </w:tblGrid>
      <w:tr>
        <w:trPr>
          <w:cantSplit/>
          <w:tblHeader/>
        </w:trPr>
        <w:tc>
          <w:tcPr>
            <w:tcW w:type="dxa" w:w="2608"/>
            <w:tcMar>
              <w:top w:w="60" w:type="dxa"/>
              <w:left w:w="100" w:type="dxa"/>
              <w:bottom w:w="60" w:type="dxa"/>
              <w:right w:w="100" w:type="dxa"/>
            </w:tcMar>
            <w:shd w:val="clear" w:color="auto" w:fill="D9D9D9"/>
          </w:tcPr>
          <w:p>
            <w:pPr>
              <w:spacing w:after="0" w:line="240" w:lineRule="auto"/>
            </w:pPr>
            <w:r>
              <w:rPr>
                <w:b/>
                <w:sz w:val="18"/>
              </w:rPr>
              <w:t>Arm</w:t>
            </w:r>
          </w:p>
        </w:tc>
        <w:tc>
          <w:tcPr>
            <w:tcW w:type="dxa" w:w="1247"/>
            <w:tcMar>
              <w:top w:w="60" w:type="dxa"/>
              <w:left w:w="100" w:type="dxa"/>
              <w:bottom w:w="60" w:type="dxa"/>
              <w:right w:w="100" w:type="dxa"/>
            </w:tcMar>
            <w:shd w:val="clear" w:color="auto" w:fill="D9D9D9"/>
          </w:tcPr>
          <w:p>
            <w:pPr>
              <w:spacing w:after="0" w:line="240" w:lineRule="auto"/>
            </w:pPr>
            <w:r>
              <w:rPr>
                <w:b/>
                <w:sz w:val="18"/>
              </w:rPr>
              <w:t>Lambda share live</w:t>
            </w:r>
          </w:p>
        </w:tc>
        <w:tc>
          <w:tcPr>
            <w:tcW w:type="dxa" w:w="1361"/>
            <w:tcMar>
              <w:top w:w="60" w:type="dxa"/>
              <w:left w:w="100" w:type="dxa"/>
              <w:bottom w:w="60" w:type="dxa"/>
              <w:right w:w="100" w:type="dxa"/>
            </w:tcMar>
            <w:shd w:val="clear" w:color="auto" w:fill="D9D9D9"/>
          </w:tcPr>
          <w:p>
            <w:pPr>
              <w:spacing w:after="0" w:line="240" w:lineRule="auto"/>
            </w:pPr>
            <w:r>
              <w:rPr>
                <w:b/>
                <w:sz w:val="18"/>
              </w:rPr>
              <w:t>Lambda share replay</w:t>
            </w:r>
          </w:p>
        </w:tc>
        <w:tc>
          <w:tcPr>
            <w:tcW w:type="dxa" w:w="1020"/>
            <w:tcMar>
              <w:top w:w="60" w:type="dxa"/>
              <w:left w:w="100" w:type="dxa"/>
              <w:bottom w:w="60" w:type="dxa"/>
              <w:right w:w="100" w:type="dxa"/>
            </w:tcMar>
            <w:shd w:val="clear" w:color="auto" w:fill="D9D9D9"/>
          </w:tcPr>
          <w:p>
            <w:pPr>
              <w:spacing w:after="0" w:line="240" w:lineRule="auto"/>
            </w:pPr>
            <w:r>
              <w:rPr>
                <w:b/>
                <w:sz w:val="18"/>
              </w:rPr>
              <w:t>Gap (points)</w:t>
            </w:r>
          </w:p>
        </w:tc>
        <w:tc>
          <w:tcPr>
            <w:tcW w:type="dxa" w:w="907"/>
            <w:tcMar>
              <w:top w:w="60" w:type="dxa"/>
              <w:left w:w="100" w:type="dxa"/>
              <w:bottom w:w="60" w:type="dxa"/>
              <w:right w:w="100" w:type="dxa"/>
            </w:tcMar>
            <w:shd w:val="clear" w:color="auto" w:fill="D9D9D9"/>
          </w:tcPr>
          <w:p>
            <w:pPr>
              <w:spacing w:after="0" w:line="240" w:lineRule="auto"/>
            </w:pPr>
            <w:r>
              <w:rPr>
                <w:b/>
                <w:sz w:val="18"/>
              </w:rPr>
              <w:t>Cost live</w:t>
            </w:r>
          </w:p>
        </w:tc>
        <w:tc>
          <w:tcPr>
            <w:tcW w:type="dxa" w:w="1020"/>
            <w:tcMar>
              <w:top w:w="60" w:type="dxa"/>
              <w:left w:w="100" w:type="dxa"/>
              <w:bottom w:w="60" w:type="dxa"/>
              <w:right w:w="100" w:type="dxa"/>
            </w:tcMar>
            <w:shd w:val="clear" w:color="auto" w:fill="D9D9D9"/>
          </w:tcPr>
          <w:p>
            <w:pPr>
              <w:spacing w:after="0" w:line="240" w:lineRule="auto"/>
            </w:pPr>
            <w:r>
              <w:rPr>
                <w:b/>
                <w:sz w:val="18"/>
              </w:rPr>
              <w:t>Cost replay</w:t>
            </w:r>
          </w:p>
        </w:tc>
        <w:tc>
          <w:tcPr>
            <w:tcW w:type="dxa" w:w="907"/>
            <w:tcMar>
              <w:top w:w="60" w:type="dxa"/>
              <w:left w:w="100" w:type="dxa"/>
              <w:bottom w:w="60" w:type="dxa"/>
              <w:right w:w="100" w:type="dxa"/>
            </w:tcMar>
            <w:shd w:val="clear" w:color="auto" w:fill="D9D9D9"/>
          </w:tcPr>
          <w:p>
            <w:pPr>
              <w:spacing w:after="0" w:line="240" w:lineRule="auto"/>
            </w:pPr>
            <w:r>
              <w:rPr>
                <w:b/>
                <w:sz w:val="18"/>
              </w:rPr>
              <w:t>Cost gap</w:t>
            </w:r>
          </w:p>
        </w:tc>
      </w:tr>
      <w:tr>
        <w:trPr>
          <w:cantSplit/>
        </w:trPr>
        <w:tc>
          <w:tcPr>
            <w:tcW w:type="dxa" w:w="2608"/>
            <w:tcMar>
              <w:top w:w="60" w:type="dxa"/>
              <w:left w:w="100" w:type="dxa"/>
              <w:bottom w:w="60" w:type="dxa"/>
              <w:right w:w="100" w:type="dxa"/>
            </w:tcMar>
          </w:tcPr>
          <w:p>
            <w:pPr>
              <w:spacing w:after="0" w:line="240" w:lineRule="auto"/>
            </w:pPr>
            <w:r>
              <w:rPr>
                <w:sz w:val="18"/>
              </w:rPr>
              <w:t>A reactive (ASG target tracking)</w:t>
            </w:r>
          </w:p>
        </w:tc>
        <w:tc>
          <w:tcPr>
            <w:tcW w:type="dxa" w:w="1247"/>
            <w:tcMar>
              <w:top w:w="60" w:type="dxa"/>
              <w:left w:w="100" w:type="dxa"/>
              <w:bottom w:w="60" w:type="dxa"/>
              <w:right w:w="100" w:type="dxa"/>
            </w:tcMar>
          </w:tcPr>
          <w:p>
            <w:pPr>
              <w:spacing w:after="0" w:line="240" w:lineRule="auto"/>
              <w:jc w:val="right"/>
            </w:pPr>
            <w:r>
              <w:rPr>
                <w:sz w:val="18"/>
              </w:rPr>
              <w:t>0.2%</w:t>
            </w:r>
          </w:p>
        </w:tc>
        <w:tc>
          <w:tcPr>
            <w:tcW w:type="dxa" w:w="1361"/>
            <w:tcMar>
              <w:top w:w="60" w:type="dxa"/>
              <w:left w:w="100" w:type="dxa"/>
              <w:bottom w:w="60" w:type="dxa"/>
              <w:right w:w="100" w:type="dxa"/>
            </w:tcMar>
          </w:tcPr>
          <w:p>
            <w:pPr>
              <w:spacing w:after="0" w:line="240" w:lineRule="auto"/>
              <w:jc w:val="right"/>
            </w:pPr>
            <w:r>
              <w:rPr>
                <w:sz w:val="18"/>
              </w:rPr>
              <w:t>0.0%</w:t>
            </w:r>
          </w:p>
        </w:tc>
        <w:tc>
          <w:tcPr>
            <w:tcW w:type="dxa" w:w="1020"/>
            <w:tcMar>
              <w:top w:w="60" w:type="dxa"/>
              <w:left w:w="100" w:type="dxa"/>
              <w:bottom w:w="60" w:type="dxa"/>
              <w:right w:w="100" w:type="dxa"/>
            </w:tcMar>
          </w:tcPr>
          <w:p>
            <w:pPr>
              <w:spacing w:after="0" w:line="240" w:lineRule="auto"/>
            </w:pPr>
            <w:r>
              <w:rPr>
                <w:sz w:val="18"/>
              </w:rPr>
              <w:t>+0.2</w:t>
            </w:r>
          </w:p>
        </w:tc>
        <w:tc>
          <w:tcPr>
            <w:tcW w:type="dxa" w:w="907"/>
            <w:tcMar>
              <w:top w:w="60" w:type="dxa"/>
              <w:left w:w="100" w:type="dxa"/>
              <w:bottom w:w="60" w:type="dxa"/>
              <w:right w:w="100" w:type="dxa"/>
            </w:tcMar>
          </w:tcPr>
          <w:p>
            <w:pPr>
              <w:spacing w:after="0" w:line="240" w:lineRule="auto"/>
              <w:jc w:val="right"/>
            </w:pPr>
            <w:r>
              <w:rPr>
                <w:sz w:val="18"/>
              </w:rPr>
              <w:t>$0.038</w:t>
            </w:r>
          </w:p>
        </w:tc>
        <w:tc>
          <w:tcPr>
            <w:tcW w:type="dxa" w:w="1020"/>
            <w:tcMar>
              <w:top w:w="60" w:type="dxa"/>
              <w:left w:w="100" w:type="dxa"/>
              <w:bottom w:w="60" w:type="dxa"/>
              <w:right w:w="100" w:type="dxa"/>
            </w:tcMar>
          </w:tcPr>
          <w:p>
            <w:pPr>
              <w:spacing w:after="0" w:line="240" w:lineRule="auto"/>
              <w:jc w:val="right"/>
            </w:pPr>
            <w:r>
              <w:rPr>
                <w:sz w:val="18"/>
              </w:rPr>
              <w:t>$0.038</w:t>
            </w:r>
          </w:p>
        </w:tc>
        <w:tc>
          <w:tcPr>
            <w:tcW w:type="dxa" w:w="907"/>
            <w:tcMar>
              <w:top w:w="60" w:type="dxa"/>
              <w:left w:w="100" w:type="dxa"/>
              <w:bottom w:w="60" w:type="dxa"/>
              <w:right w:w="100" w:type="dxa"/>
            </w:tcMar>
          </w:tcPr>
          <w:p>
            <w:pPr>
              <w:spacing w:after="0" w:line="240" w:lineRule="auto"/>
            </w:pPr>
            <w:r>
              <w:rPr>
                <w:sz w:val="18"/>
              </w:rPr>
              <w:t>+1%</w:t>
            </w:r>
          </w:p>
        </w:tc>
      </w:tr>
      <w:tr>
        <w:trPr>
          <w:cantSplit/>
        </w:trPr>
        <w:tc>
          <w:tcPr>
            <w:tcW w:type="dxa" w:w="2608"/>
            <w:tcMar>
              <w:top w:w="60" w:type="dxa"/>
              <w:left w:w="100" w:type="dxa"/>
              <w:bottom w:w="60" w:type="dxa"/>
              <w:right w:w="100" w:type="dxa"/>
            </w:tcMar>
          </w:tcPr>
          <w:p>
            <w:pPr>
              <w:spacing w:after="0" w:line="240" w:lineRule="auto"/>
            </w:pPr>
            <w:r>
              <w:rPr>
                <w:sz w:val="18"/>
              </w:rPr>
              <w:t>B hybrid-static</w:t>
            </w:r>
          </w:p>
        </w:tc>
        <w:tc>
          <w:tcPr>
            <w:tcW w:type="dxa" w:w="1247"/>
            <w:tcMar>
              <w:top w:w="60" w:type="dxa"/>
              <w:left w:w="100" w:type="dxa"/>
              <w:bottom w:w="60" w:type="dxa"/>
              <w:right w:w="100" w:type="dxa"/>
            </w:tcMar>
          </w:tcPr>
          <w:p>
            <w:pPr>
              <w:spacing w:after="0" w:line="240" w:lineRule="auto"/>
              <w:jc w:val="right"/>
            </w:pPr>
            <w:r>
              <w:rPr>
                <w:sz w:val="18"/>
              </w:rPr>
              <w:t>0.7%</w:t>
            </w:r>
          </w:p>
        </w:tc>
        <w:tc>
          <w:tcPr>
            <w:tcW w:type="dxa" w:w="1361"/>
            <w:tcMar>
              <w:top w:w="60" w:type="dxa"/>
              <w:left w:w="100" w:type="dxa"/>
              <w:bottom w:w="60" w:type="dxa"/>
              <w:right w:w="100" w:type="dxa"/>
            </w:tcMar>
          </w:tcPr>
          <w:p>
            <w:pPr>
              <w:spacing w:after="0" w:line="240" w:lineRule="auto"/>
              <w:jc w:val="right"/>
            </w:pPr>
            <w:r>
              <w:rPr>
                <w:sz w:val="18"/>
              </w:rPr>
              <w:t>0.0%</w:t>
            </w:r>
          </w:p>
        </w:tc>
        <w:tc>
          <w:tcPr>
            <w:tcW w:type="dxa" w:w="1020"/>
            <w:tcMar>
              <w:top w:w="60" w:type="dxa"/>
              <w:left w:w="100" w:type="dxa"/>
              <w:bottom w:w="60" w:type="dxa"/>
              <w:right w:w="100" w:type="dxa"/>
            </w:tcMar>
          </w:tcPr>
          <w:p>
            <w:pPr>
              <w:spacing w:after="0" w:line="240" w:lineRule="auto"/>
            </w:pPr>
            <w:r>
              <w:rPr>
                <w:sz w:val="18"/>
              </w:rPr>
              <w:t>+0.7</w:t>
            </w:r>
          </w:p>
        </w:tc>
        <w:tc>
          <w:tcPr>
            <w:tcW w:type="dxa" w:w="907"/>
            <w:tcMar>
              <w:top w:w="60" w:type="dxa"/>
              <w:left w:w="100" w:type="dxa"/>
              <w:bottom w:w="60" w:type="dxa"/>
              <w:right w:w="100" w:type="dxa"/>
            </w:tcMar>
          </w:tcPr>
          <w:p>
            <w:pPr>
              <w:spacing w:after="0" w:line="240" w:lineRule="auto"/>
              <w:jc w:val="right"/>
            </w:pPr>
            <w:r>
              <w:rPr>
                <w:sz w:val="18"/>
              </w:rPr>
              <w:t>$0.085</w:t>
            </w:r>
          </w:p>
        </w:tc>
        <w:tc>
          <w:tcPr>
            <w:tcW w:type="dxa" w:w="1020"/>
            <w:tcMar>
              <w:top w:w="60" w:type="dxa"/>
              <w:left w:w="100" w:type="dxa"/>
              <w:bottom w:w="60" w:type="dxa"/>
              <w:right w:w="100" w:type="dxa"/>
            </w:tcMar>
          </w:tcPr>
          <w:p>
            <w:pPr>
              <w:spacing w:after="0" w:line="240" w:lineRule="auto"/>
              <w:jc w:val="right"/>
            </w:pPr>
            <w:r>
              <w:rPr>
                <w:sz w:val="18"/>
              </w:rPr>
              <w:t>$0.084</w:t>
            </w:r>
          </w:p>
        </w:tc>
        <w:tc>
          <w:tcPr>
            <w:tcW w:type="dxa" w:w="907"/>
            <w:tcMar>
              <w:top w:w="60" w:type="dxa"/>
              <w:left w:w="100" w:type="dxa"/>
              <w:bottom w:w="60" w:type="dxa"/>
              <w:right w:w="100" w:type="dxa"/>
            </w:tcMar>
          </w:tcPr>
          <w:p>
            <w:pPr>
              <w:spacing w:after="0" w:line="240" w:lineRule="auto"/>
            </w:pPr>
            <w:r>
              <w:rPr>
                <w:sz w:val="18"/>
              </w:rPr>
              <w:t>+1%</w:t>
            </w:r>
          </w:p>
        </w:tc>
      </w:tr>
      <w:tr>
        <w:trPr>
          <w:cantSplit/>
        </w:trPr>
        <w:tc>
          <w:tcPr>
            <w:tcW w:type="dxa" w:w="2608"/>
            <w:tcMar>
              <w:top w:w="60" w:type="dxa"/>
              <w:left w:w="100" w:type="dxa"/>
              <w:bottom w:w="60" w:type="dxa"/>
              <w:right w:w="100" w:type="dxa"/>
            </w:tcMar>
          </w:tcPr>
          <w:p>
            <w:pPr>
              <w:spacing w:after="0" w:line="240" w:lineRule="auto"/>
            </w:pPr>
            <w:r>
              <w:rPr>
                <w:sz w:val="18"/>
              </w:rPr>
              <w:t>C hybrid-ML</w:t>
            </w:r>
          </w:p>
        </w:tc>
        <w:tc>
          <w:tcPr>
            <w:tcW w:type="dxa" w:w="1247"/>
            <w:tcMar>
              <w:top w:w="60" w:type="dxa"/>
              <w:left w:w="100" w:type="dxa"/>
              <w:bottom w:w="60" w:type="dxa"/>
              <w:right w:w="100" w:type="dxa"/>
            </w:tcMar>
          </w:tcPr>
          <w:p>
            <w:pPr>
              <w:spacing w:after="0" w:line="240" w:lineRule="auto"/>
              <w:jc w:val="right"/>
            </w:pPr>
            <w:r>
              <w:rPr>
                <w:sz w:val="18"/>
              </w:rPr>
              <w:t>0.5%</w:t>
            </w:r>
          </w:p>
        </w:tc>
        <w:tc>
          <w:tcPr>
            <w:tcW w:type="dxa" w:w="1361"/>
            <w:tcMar>
              <w:top w:w="60" w:type="dxa"/>
              <w:left w:w="100" w:type="dxa"/>
              <w:bottom w:w="60" w:type="dxa"/>
              <w:right w:w="100" w:type="dxa"/>
            </w:tcMar>
          </w:tcPr>
          <w:p>
            <w:pPr>
              <w:spacing w:after="0" w:line="240" w:lineRule="auto"/>
              <w:jc w:val="right"/>
            </w:pPr>
            <w:r>
              <w:rPr>
                <w:sz w:val="18"/>
              </w:rPr>
              <w:t>0.2%</w:t>
            </w:r>
          </w:p>
        </w:tc>
        <w:tc>
          <w:tcPr>
            <w:tcW w:type="dxa" w:w="1020"/>
            <w:tcMar>
              <w:top w:w="60" w:type="dxa"/>
              <w:left w:w="100" w:type="dxa"/>
              <w:bottom w:w="60" w:type="dxa"/>
              <w:right w:w="100" w:type="dxa"/>
            </w:tcMar>
          </w:tcPr>
          <w:p>
            <w:pPr>
              <w:spacing w:after="0" w:line="240" w:lineRule="auto"/>
            </w:pPr>
            <w:r>
              <w:rPr>
                <w:sz w:val="18"/>
              </w:rPr>
              <w:t>+0.3</w:t>
            </w:r>
          </w:p>
        </w:tc>
        <w:tc>
          <w:tcPr>
            <w:tcW w:type="dxa" w:w="907"/>
            <w:tcMar>
              <w:top w:w="60" w:type="dxa"/>
              <w:left w:w="100" w:type="dxa"/>
              <w:bottom w:w="60" w:type="dxa"/>
              <w:right w:w="100" w:type="dxa"/>
            </w:tcMar>
          </w:tcPr>
          <w:p>
            <w:pPr>
              <w:spacing w:after="0" w:line="240" w:lineRule="auto"/>
              <w:jc w:val="right"/>
            </w:pPr>
            <w:r>
              <w:rPr>
                <w:sz w:val="18"/>
              </w:rPr>
              <w:t>$0.039</w:t>
            </w:r>
          </w:p>
        </w:tc>
        <w:tc>
          <w:tcPr>
            <w:tcW w:type="dxa" w:w="1020"/>
            <w:tcMar>
              <w:top w:w="60" w:type="dxa"/>
              <w:left w:w="100" w:type="dxa"/>
              <w:bottom w:w="60" w:type="dxa"/>
              <w:right w:w="100" w:type="dxa"/>
            </w:tcMar>
          </w:tcPr>
          <w:p>
            <w:pPr>
              <w:spacing w:after="0" w:line="240" w:lineRule="auto"/>
              <w:jc w:val="right"/>
            </w:pPr>
            <w:r>
              <w:rPr>
                <w:sz w:val="18"/>
              </w:rPr>
              <w:t>$0.038</w:t>
            </w:r>
          </w:p>
        </w:tc>
        <w:tc>
          <w:tcPr>
            <w:tcW w:type="dxa" w:w="907"/>
            <w:tcMar>
              <w:top w:w="60" w:type="dxa"/>
              <w:left w:w="100" w:type="dxa"/>
              <w:bottom w:w="60" w:type="dxa"/>
              <w:right w:w="100" w:type="dxa"/>
            </w:tcMar>
          </w:tcPr>
          <w:p>
            <w:pPr>
              <w:spacing w:after="0" w:line="240" w:lineRule="auto"/>
            </w:pPr>
            <w:r>
              <w:rPr>
                <w:sz w:val="18"/>
              </w:rPr>
              <w:t>+2%</w:t>
            </w:r>
          </w:p>
        </w:tc>
      </w:tr>
      <w:tr>
        <w:trPr>
          <w:cantSplit/>
        </w:trPr>
        <w:tc>
          <w:tcPr>
            <w:tcW w:type="dxa" w:w="2608"/>
            <w:tcMar>
              <w:top w:w="60" w:type="dxa"/>
              <w:left w:w="100" w:type="dxa"/>
              <w:bottom w:w="60" w:type="dxa"/>
              <w:right w:w="100" w:type="dxa"/>
            </w:tcMar>
          </w:tcPr>
          <w:p>
            <w:pPr>
              <w:spacing w:after="0" w:line="240" w:lineRule="auto"/>
            </w:pPr>
            <w:r>
              <w:rPr>
                <w:sz w:val="18"/>
              </w:rPr>
              <w:t>D hybrid-ML + x4 spike</w:t>
            </w:r>
          </w:p>
        </w:tc>
        <w:tc>
          <w:tcPr>
            <w:tcW w:type="dxa" w:w="1247"/>
            <w:tcMar>
              <w:top w:w="60" w:type="dxa"/>
              <w:left w:w="100" w:type="dxa"/>
              <w:bottom w:w="60" w:type="dxa"/>
              <w:right w:w="100" w:type="dxa"/>
            </w:tcMar>
          </w:tcPr>
          <w:p>
            <w:pPr>
              <w:spacing w:after="0" w:line="240" w:lineRule="auto"/>
              <w:jc w:val="right"/>
            </w:pPr>
            <w:r>
              <w:rPr>
                <w:sz w:val="18"/>
              </w:rPr>
              <w:t>20.0%</w:t>
            </w:r>
          </w:p>
        </w:tc>
        <w:tc>
          <w:tcPr>
            <w:tcW w:type="dxa" w:w="1361"/>
            <w:tcMar>
              <w:top w:w="60" w:type="dxa"/>
              <w:left w:w="100" w:type="dxa"/>
              <w:bottom w:w="60" w:type="dxa"/>
              <w:right w:w="100" w:type="dxa"/>
            </w:tcMar>
          </w:tcPr>
          <w:p>
            <w:pPr>
              <w:spacing w:after="0" w:line="240" w:lineRule="auto"/>
              <w:jc w:val="right"/>
            </w:pPr>
            <w:r>
              <w:rPr>
                <w:sz w:val="18"/>
              </w:rPr>
              <w:t>34.2%</w:t>
            </w:r>
          </w:p>
        </w:tc>
        <w:tc>
          <w:tcPr>
            <w:tcW w:type="dxa" w:w="1020"/>
            <w:tcMar>
              <w:top w:w="60" w:type="dxa"/>
              <w:left w:w="100" w:type="dxa"/>
              <w:bottom w:w="60" w:type="dxa"/>
              <w:right w:w="100" w:type="dxa"/>
            </w:tcMar>
          </w:tcPr>
          <w:p>
            <w:pPr>
              <w:spacing w:after="0" w:line="240" w:lineRule="auto"/>
              <w:jc w:val="right"/>
            </w:pPr>
            <w:r>
              <w:rPr>
                <w:sz w:val="18"/>
              </w:rPr>
              <w:t>-14.1</w:t>
            </w:r>
          </w:p>
        </w:tc>
        <w:tc>
          <w:tcPr>
            <w:tcW w:type="dxa" w:w="907"/>
            <w:tcMar>
              <w:top w:w="60" w:type="dxa"/>
              <w:left w:w="100" w:type="dxa"/>
              <w:bottom w:w="60" w:type="dxa"/>
              <w:right w:w="100" w:type="dxa"/>
            </w:tcMar>
          </w:tcPr>
          <w:p>
            <w:pPr>
              <w:spacing w:after="0" w:line="240" w:lineRule="auto"/>
              <w:jc w:val="right"/>
            </w:pPr>
            <w:r>
              <w:rPr>
                <w:sz w:val="18"/>
              </w:rPr>
              <w:t>$0.124</w:t>
            </w:r>
          </w:p>
        </w:tc>
        <w:tc>
          <w:tcPr>
            <w:tcW w:type="dxa" w:w="1020"/>
            <w:tcMar>
              <w:top w:w="60" w:type="dxa"/>
              <w:left w:w="100" w:type="dxa"/>
              <w:bottom w:w="60" w:type="dxa"/>
              <w:right w:w="100" w:type="dxa"/>
            </w:tcMar>
          </w:tcPr>
          <w:p>
            <w:pPr>
              <w:spacing w:after="0" w:line="240" w:lineRule="auto"/>
              <w:jc w:val="right"/>
            </w:pPr>
            <w:r>
              <w:rPr>
                <w:sz w:val="18"/>
              </w:rPr>
              <w:t>$0.203</w:t>
            </w:r>
          </w:p>
        </w:tc>
        <w:tc>
          <w:tcPr>
            <w:tcW w:type="dxa" w:w="907"/>
            <w:tcMar>
              <w:top w:w="60" w:type="dxa"/>
              <w:left w:w="100" w:type="dxa"/>
              <w:bottom w:w="60" w:type="dxa"/>
              <w:right w:w="100" w:type="dxa"/>
            </w:tcMar>
          </w:tcPr>
          <w:p>
            <w:pPr>
              <w:spacing w:after="0" w:line="240" w:lineRule="auto"/>
              <w:jc w:val="right"/>
            </w:pPr>
            <w:r>
              <w:rPr>
                <w:sz w:val="18"/>
              </w:rPr>
              <w:t>-39%</w:t>
            </w:r>
          </w:p>
        </w:tc>
      </w:tr>
    </w:tbl>
    <w:p>
      <w:pPr>
        <w:spacing w:after="120"/>
      </w:pPr>
    </w:p>
    <w:p>
      <w:pPr>
        <w:spacing w:after="140" w:before="0" w:line="340" w:lineRule="auto"/>
        <w:jc w:val="both"/>
      </w:pPr>
      <w:r>
        <w:rPr>
          <w:b/>
        </w:rPr>
        <w:t>Reactive against hybrid (arms A and C).</w:t>
      </w:r>
      <w:r>
        <w:rPr/>
        <w:t xml:space="preserve"> On this window the two are practically equal. Arm A had 31 failed requests out of 23,511 (0.13%), a p95 of 566 ms and a total cost of $0.0380; arm C had no failed requests, a p95 of 585 ms and $0.0386. Both used about 0.84 instance-hours. The window is a smooth ramp (from about 3 to 18 requests per second on average over 38 minutes, minute-level coefficient of variation 0.21), so CPU-based target tracking kept up. The simulator's dropped load for reactive scaling comes from minute-level bursts across the whole population of heavy functions, which this one window does not contain. The honest reading is that arms A to C show the hybrid works and costs about the same as reactive scaling here; they do </w:t>
      </w:r>
      <w:r>
        <w:rPr>
          <w:b/>
        </w:rPr>
        <w:t>not</w:t>
      </w:r>
      <w:r>
        <w:rPr/>
        <w:t xml:space="preserve"> reproduce the simulated advantage.</w:t>
      </w:r>
    </w:p>
    <w:p>
      <w:pPr>
        <w:spacing w:after="140" w:before="0" w:line="340" w:lineRule="auto"/>
        <w:jc w:val="both"/>
      </w:pPr>
      <w:r>
        <w:rPr>
          <w:b/>
        </w:rPr>
        <w:t>Static against ML (arms B and C).</w:t>
      </w:r>
      <w:r>
        <w:rPr/>
        <w:t xml:space="preserve"> Arm B cost $0.0853, 2.2 times arm C ($0.0386). The static base is the q* quantile of the training period, 45.5 requests per second, which is 3 instances for the whole run, while the window ramps up from a few requests per second; arm B therefore pays for idle capacity (mean CPU 11% against 30% in arm C). The forecast follows the ramp. This is the clearest live benefit of forecasting, and it is against a static base, not against the rolling baseline.</w:t>
      </w:r>
    </w:p>
    <w:p>
      <w:pPr>
        <w:spacing w:after="140" w:before="0" w:line="340" w:lineRule="auto"/>
        <w:jc w:val="both"/>
      </w:pPr>
      <w:r>
        <w:rPr>
          <w:b/>
        </w:rPr>
        <w:t>Unseen spike (arm D).</w:t>
      </w:r>
      <w:r>
        <w:rPr/>
        <w:t xml:space="preserve"> In the spiked hour the planned load was 50.5 requests per second against a base of one instance (16 requests per second). No request failed in the whole run, and 48% of that hour's requests went to Lambda. But the hour's p95 latency was 3266 ms and the median latency of requests served by EC2 was 1946 ms, so 20% of all requests in arm D were slower than the 800 ms target or failed. Two causes are visible. First, the weights give EC2 its full measured capacity (about 16 requests per second), which leaves no headroom: with random arrivals a server fed at its limit builds a queue, so the p95-at-capacity measured in calibration does not hold on a sustained basis. Second, the load balancer's weight change takes about 12 s to apply and the observed rate is a 10-second average, so the first seconds of the spike went to EC2 unchanged. A safety factor on capacity (for example weights based on 70 to 80% of the measured capacity) would be the first fix; we did not test it. The Lambda-served requests in this arm were fast (p95 505 ms).</w:t>
      </w:r>
    </w:p>
    <w:p>
      <w:pPr>
        <w:spacing w:after="140" w:before="0" w:line="340" w:lineRule="auto"/>
        <w:jc w:val="both"/>
      </w:pPr>
      <w:r>
        <w:rPr>
          <w:b/>
        </w:rPr>
        <w:t>Delivered load.</w:t>
      </w:r>
      <w:r>
        <w:rPr/>
        <w:t xml:space="preserve"> The load generator is closed-loop: each simulated user waits for its response before sending the next request, so when latency rises the offered rate falls. In the spiked hour the generator delivered 31.8 requests per second against 50.5 planned, and arm D served 30,988 requests in total against 37,928 planned. The spike was therefore smaller in practice than intended. The same effect makes the slow EC2 tail self-limiting, which means the latency numbers are, if anything, optimistic.</w:t>
      </w:r>
    </w:p>
    <w:p>
      <w:pPr>
        <w:spacing w:after="140" w:before="0" w:line="340" w:lineRule="auto"/>
        <w:jc w:val="both"/>
      </w:pPr>
      <w:r>
        <w:rPr>
          <w:b/>
        </w:rPr>
        <w:t>Sim-to-real gap.</w:t>
      </w:r>
      <w:r>
        <w:rPr/>
        <w:t xml:space="preserve"> The replay assumes capacity is available instantly and that only the overflow reaches Lambda. For arms A, B and C the live Lambda share is +0.17 to +0.66 percentage points from the replay and the measured cost is +1.3% to +1.7% from it, which is small and, for arms B and C, in the direction of leakage (a little load reaches Lambda that the replay keeps on EC2). The replay of arm A uses the instance counts that the Auto Scaling Group actually had, so its cost agrees by construction. For arm D the gap is large: the live Lambda share is -14.1 points and the cost -39% from the replay, because the replay assumes the full planned spike is delivered and that exactly the overflow goes to Lambda, whereas live the generator delivered about 82% of the planned requests and EC2 absorbed more than its share. Weight changes take about 12 s to apply and new instances need 29 to 31 s to become healthy.</w:t>
      </w:r>
    </w:p>
    <w:p>
      <w:pPr>
        <w:spacing w:after="140" w:before="0" w:line="340" w:lineRule="auto"/>
        <w:jc w:val="both"/>
      </w:pPr>
      <w:r>
        <w:rPr>
          <w:b/>
        </w:rPr>
        <w:t>Start-up transient.</w:t>
      </w:r>
      <w:r>
        <w:rPr/>
        <w:t xml:space="preserve"> In each arm the first trace hour shows a slow tail (for example arm D hour 0: EC2 p95 of about 2.4 s), when the first instance has only just become healthy and is serving its first requests.</w:t>
      </w:r>
    </w:p>
    <w:p>
      <w:pPr>
        <w:pStyle w:val="Heading2"/>
      </w:pPr>
      <w:r>
        <w:t>8.9 Validation of the newsvendor rule</w:t>
      </w:r>
    </w:p>
    <w:p>
      <w:pPr>
        <w:spacing w:after="140" w:before="0" w:line="340" w:lineRule="auto"/>
        <w:jc w:val="both"/>
      </w:pPr>
      <w:r>
        <w:rPr/>
        <w:t>For every function and every test hour, a brute-force search over 401 candidate bases between zero and the hour's maximum was compared with the q*-quantile rule. Over all function-hours the rule's cost differs from the brute-force optimum by -0.0013% (a negative sign means the rule is marginally cheaper, because the grid is discrete). The preliminary exploration observed agreement within 0.5%; this check agrees to well under that. The check validates the rule against hindsight within an hour, not the forecast itself.</w:t>
      </w:r>
    </w:p>
    <w:p>
      <w:pPr>
        <w:pStyle w:val="Heading1"/>
        <w:pageBreakBefore/>
      </w:pPr>
      <w:r>
        <w:t>9. What happens when the prediction is wrong</w:t>
      </w:r>
    </w:p>
    <w:p>
      <w:pPr>
        <w:spacing w:after="140" w:before="0" w:line="340" w:lineRule="auto"/>
        <w:jc w:val="both"/>
      </w:pPr>
      <w:r>
        <w:rPr/>
        <w:t>The two directions of error behave differently, and the design makes the expensive direction mild.</w:t>
      </w:r>
    </w:p>
    <w:p>
      <w:pPr>
        <w:pStyle w:val="ListParagraph"/>
        <w:spacing w:after="80" w:line="340" w:lineRule="auto"/>
        <w:ind w:left="567" w:hanging="340"/>
        <w:jc w:val="both"/>
      </w:pPr>
      <w:r>
        <w:rPr/>
        <w:t xml:space="preserve">•  </w:t>
      </w:r>
      <w:r>
        <w:rPr>
          <w:b/>
        </w:rPr>
        <w:t>Under-prediction (base too small).</w:t>
      </w:r>
      <w:r>
        <w:rPr/>
        <w:t xml:space="preserve"> Load above the base goes to Lambda, so in the simulation nothing is dropped and cost rises only by the Lambda price difference for the excess. The live spike arm (Section 8.8) showed the caveat: no request failed, but latency suffered while EC2 was fed up to its full capacity and the weights caught up. The architecture absorbs the load; it does not by itself protect latency.</w:t>
      </w:r>
    </w:p>
    <w:p>
      <w:pPr>
        <w:pStyle w:val="ListParagraph"/>
        <w:spacing w:after="80" w:line="340" w:lineRule="auto"/>
        <w:ind w:left="567" w:hanging="340"/>
        <w:jc w:val="both"/>
      </w:pPr>
      <w:r>
        <w:rPr/>
        <w:t xml:space="preserve">•  </w:t>
      </w:r>
      <w:r>
        <w:rPr>
          <w:b/>
        </w:rPr>
        <w:t>Over-prediction (base too large).</w:t>
      </w:r>
      <w:r>
        <w:rPr/>
        <w:t xml:space="preserve"> Containers run idle. Cost rises by f per idle unit-minute until the next decision; no request is harmed. The asymmetry f versus L is what pushes q* above 0.5.</w:t>
      </w:r>
    </w:p>
    <w:p>
      <w:pPr>
        <w:pStyle w:val="ListParagraph"/>
        <w:spacing w:after="80" w:line="340" w:lineRule="auto"/>
        <w:ind w:left="567" w:hanging="340"/>
        <w:jc w:val="both"/>
      </w:pPr>
      <w:r>
        <w:rPr/>
        <w:t xml:space="preserve">•  </w:t>
      </w:r>
      <w:r>
        <w:rPr>
          <w:b/>
        </w:rPr>
        <w:t>Slow reaction.</w:t>
      </w:r>
      <w:r>
        <w:rPr/>
        <w:t xml:space="preserve"> A purely reactive scaler is wrong in the damaging way: it under-provisions during a rise and has no fallback, so load is dropped or delayed.</w:t>
      </w:r>
    </w:p>
    <w:p>
      <w:pPr>
        <w:spacing w:after="140" w:before="0" w:line="340" w:lineRule="auto"/>
        <w:jc w:val="both"/>
      </w:pPr>
      <w:r>
        <w:rPr>
          <w:b/>
        </w:rPr>
        <w:t>Simulated unseen spike.</w:t>
      </w:r>
      <w:r>
        <w:rPr/>
        <w:t xml:space="preserve"> In the test period one hour per function was multiplied by 3, 4 or 5 after the forecast for that hour had been made, with forecasts for later hours computed from the spiked history.</w:t>
      </w:r>
    </w:p>
    <w:p>
      <w:pPr>
        <w:keepNext/>
        <w:spacing w:after="80" w:before="120" w:line="276" w:lineRule="auto"/>
        <w:jc w:val="center"/>
      </w:pPr>
      <w:r>
        <w:rPr>
          <w:sz w:val="22"/>
        </w:rPr>
        <w:t>Table 16: Simulated spike results (monthly cost, test)</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4"/>
        <w:gridCol w:w="1504"/>
        <w:gridCol w:w="1504"/>
        <w:gridCol w:w="1504"/>
        <w:gridCol w:w="1504"/>
        <w:gridCol w:w="1504"/>
      </w:tblGrid>
      <w:tr>
        <w:trPr>
          <w:cantSplit/>
          <w:tblHeader/>
        </w:trPr>
        <w:tc>
          <w:tcPr>
            <w:tcW w:type="dxa" w:w="907"/>
            <w:tcMar>
              <w:top w:w="60" w:type="dxa"/>
              <w:left w:w="100" w:type="dxa"/>
              <w:bottom w:w="60" w:type="dxa"/>
              <w:right w:w="100" w:type="dxa"/>
            </w:tcMar>
            <w:shd w:val="clear" w:color="auto" w:fill="D9D9D9"/>
          </w:tcPr>
          <w:p>
            <w:pPr>
              <w:spacing w:after="0" w:line="240" w:lineRule="auto"/>
            </w:pPr>
            <w:r>
              <w:rPr>
                <w:b/>
                <w:sz w:val="20"/>
              </w:rPr>
              <w:t>Spike</w:t>
            </w:r>
          </w:p>
        </w:tc>
        <w:tc>
          <w:tcPr>
            <w:tcW w:type="dxa" w:w="1531"/>
            <w:tcMar>
              <w:top w:w="60" w:type="dxa"/>
              <w:left w:w="100" w:type="dxa"/>
              <w:bottom w:w="60" w:type="dxa"/>
              <w:right w:w="100" w:type="dxa"/>
            </w:tcMar>
            <w:shd w:val="clear" w:color="auto" w:fill="D9D9D9"/>
          </w:tcPr>
          <w:p>
            <w:pPr>
              <w:spacing w:after="0" w:line="240" w:lineRule="auto"/>
            </w:pPr>
            <w:r>
              <w:rPr>
                <w:b/>
                <w:sz w:val="20"/>
              </w:rPr>
              <w:t>Hybrid-ML cost</w:t>
            </w:r>
          </w:p>
        </w:tc>
        <w:tc>
          <w:tcPr>
            <w:tcW w:type="dxa" w:w="1644"/>
            <w:tcMar>
              <w:top w:w="60" w:type="dxa"/>
              <w:left w:w="100" w:type="dxa"/>
              <w:bottom w:w="60" w:type="dxa"/>
              <w:right w:w="100" w:type="dxa"/>
            </w:tcMar>
            <w:shd w:val="clear" w:color="auto" w:fill="D9D9D9"/>
          </w:tcPr>
          <w:p>
            <w:pPr>
              <w:spacing w:after="0" w:line="240" w:lineRule="auto"/>
            </w:pPr>
            <w:r>
              <w:rPr>
                <w:b/>
                <w:sz w:val="20"/>
              </w:rPr>
              <w:t>Hybrid-rolling cost</w:t>
            </w:r>
          </w:p>
        </w:tc>
        <w:tc>
          <w:tcPr>
            <w:tcW w:type="dxa" w:w="1701"/>
            <w:tcMar>
              <w:top w:w="60" w:type="dxa"/>
              <w:left w:w="100" w:type="dxa"/>
              <w:bottom w:w="60" w:type="dxa"/>
              <w:right w:w="100" w:type="dxa"/>
            </w:tcMar>
            <w:shd w:val="clear" w:color="auto" w:fill="D9D9D9"/>
          </w:tcPr>
          <w:p>
            <w:pPr>
              <w:spacing w:after="0" w:line="240" w:lineRule="auto"/>
            </w:pPr>
            <w:r>
              <w:rPr>
                <w:b/>
                <w:sz w:val="20"/>
              </w:rPr>
              <w:t>Reactive u=0.7 cost</w:t>
            </w:r>
          </w:p>
        </w:tc>
        <w:tc>
          <w:tcPr>
            <w:tcW w:type="dxa" w:w="1814"/>
            <w:tcMar>
              <w:top w:w="60" w:type="dxa"/>
              <w:left w:w="100" w:type="dxa"/>
              <w:bottom w:w="60" w:type="dxa"/>
              <w:right w:w="100" w:type="dxa"/>
            </w:tcMar>
            <w:shd w:val="clear" w:color="auto" w:fill="D9D9D9"/>
          </w:tcPr>
          <w:p>
            <w:pPr>
              <w:spacing w:after="0" w:line="240" w:lineRule="auto"/>
            </w:pPr>
            <w:r>
              <w:rPr>
                <w:b/>
                <w:sz w:val="20"/>
              </w:rPr>
              <w:t>Reactive u=0.7 unserved</w:t>
            </w:r>
          </w:p>
        </w:tc>
        <w:tc>
          <w:tcPr>
            <w:tcW w:type="dxa" w:w="1474"/>
            <w:tcMar>
              <w:top w:w="60" w:type="dxa"/>
              <w:left w:w="100" w:type="dxa"/>
              <w:bottom w:w="60" w:type="dxa"/>
              <w:right w:w="100" w:type="dxa"/>
            </w:tcMar>
            <w:shd w:val="clear" w:color="auto" w:fill="D9D9D9"/>
          </w:tcPr>
          <w:p>
            <w:pPr>
              <w:spacing w:after="0" w:line="240" w:lineRule="auto"/>
            </w:pPr>
            <w:r>
              <w:rPr>
                <w:b/>
                <w:sz w:val="20"/>
              </w:rPr>
              <w:t>Hybrid unserved</w:t>
            </w:r>
          </w:p>
        </w:tc>
      </w:tr>
      <w:tr>
        <w:trPr>
          <w:cantSplit/>
        </w:trPr>
        <w:tc>
          <w:tcPr>
            <w:tcW w:type="dxa" w:w="907"/>
            <w:tcMar>
              <w:top w:w="60" w:type="dxa"/>
              <w:left w:w="100" w:type="dxa"/>
              <w:bottom w:w="60" w:type="dxa"/>
              <w:right w:w="100" w:type="dxa"/>
            </w:tcMar>
          </w:tcPr>
          <w:p>
            <w:pPr>
              <w:spacing w:after="0" w:line="240" w:lineRule="auto"/>
            </w:pPr>
            <w:r>
              <w:rPr>
                <w:sz w:val="20"/>
              </w:rPr>
              <w:t>none</w:t>
            </w:r>
          </w:p>
        </w:tc>
        <w:tc>
          <w:tcPr>
            <w:tcW w:type="dxa" w:w="1531"/>
            <w:tcMar>
              <w:top w:w="60" w:type="dxa"/>
              <w:left w:w="100" w:type="dxa"/>
              <w:bottom w:w="60" w:type="dxa"/>
              <w:right w:w="100" w:type="dxa"/>
            </w:tcMar>
          </w:tcPr>
          <w:p>
            <w:pPr>
              <w:spacing w:after="0" w:line="240" w:lineRule="auto"/>
              <w:jc w:val="right"/>
            </w:pPr>
            <w:r>
              <w:rPr>
                <w:sz w:val="20"/>
              </w:rPr>
              <w:t>$32,140</w:t>
            </w:r>
          </w:p>
        </w:tc>
        <w:tc>
          <w:tcPr>
            <w:tcW w:type="dxa" w:w="1644"/>
            <w:tcMar>
              <w:top w:w="60" w:type="dxa"/>
              <w:left w:w="100" w:type="dxa"/>
              <w:bottom w:w="60" w:type="dxa"/>
              <w:right w:w="100" w:type="dxa"/>
            </w:tcMar>
          </w:tcPr>
          <w:p>
            <w:pPr>
              <w:spacing w:after="0" w:line="240" w:lineRule="auto"/>
              <w:jc w:val="right"/>
            </w:pPr>
            <w:r>
              <w:rPr>
                <w:sz w:val="20"/>
              </w:rPr>
              <w:t>$32,221</w:t>
            </w:r>
          </w:p>
        </w:tc>
        <w:tc>
          <w:tcPr>
            <w:tcW w:type="dxa" w:w="1701"/>
            <w:tcMar>
              <w:top w:w="60" w:type="dxa"/>
              <w:left w:w="100" w:type="dxa"/>
              <w:bottom w:w="60" w:type="dxa"/>
              <w:right w:w="100" w:type="dxa"/>
            </w:tcMar>
          </w:tcPr>
          <w:p>
            <w:pPr>
              <w:spacing w:after="0" w:line="240" w:lineRule="auto"/>
              <w:jc w:val="right"/>
            </w:pPr>
            <w:r>
              <w:rPr>
                <w:sz w:val="20"/>
              </w:rPr>
              <w:t>$37,485</w:t>
            </w:r>
          </w:p>
        </w:tc>
        <w:tc>
          <w:tcPr>
            <w:tcW w:type="dxa" w:w="1814"/>
            <w:tcMar>
              <w:top w:w="60" w:type="dxa"/>
              <w:left w:w="100" w:type="dxa"/>
              <w:bottom w:w="60" w:type="dxa"/>
              <w:right w:w="100" w:type="dxa"/>
            </w:tcMar>
          </w:tcPr>
          <w:p>
            <w:pPr>
              <w:spacing w:after="0" w:line="240" w:lineRule="auto"/>
              <w:jc w:val="right"/>
            </w:pPr>
            <w:r>
              <w:rPr>
                <w:sz w:val="20"/>
              </w:rPr>
              <w:t>9.2%</w:t>
            </w:r>
          </w:p>
        </w:tc>
        <w:tc>
          <w:tcPr>
            <w:tcW w:type="dxa" w:w="1474"/>
            <w:tcMar>
              <w:top w:w="60" w:type="dxa"/>
              <w:left w:w="100" w:type="dxa"/>
              <w:bottom w:w="60" w:type="dxa"/>
              <w:right w:w="100" w:type="dxa"/>
            </w:tcMar>
          </w:tcPr>
          <w:p>
            <w:pPr>
              <w:spacing w:after="0" w:line="240" w:lineRule="auto"/>
              <w:jc w:val="right"/>
            </w:pPr>
            <w:r>
              <w:rPr>
                <w:sz w:val="20"/>
              </w:rPr>
              <w:t>0.0%</w:t>
            </w:r>
          </w:p>
        </w:tc>
      </w:tr>
      <w:tr>
        <w:trPr>
          <w:cantSplit/>
        </w:trPr>
        <w:tc>
          <w:tcPr>
            <w:tcW w:type="dxa" w:w="907"/>
            <w:tcMar>
              <w:top w:w="60" w:type="dxa"/>
              <w:left w:w="100" w:type="dxa"/>
              <w:bottom w:w="60" w:type="dxa"/>
              <w:right w:w="100" w:type="dxa"/>
            </w:tcMar>
          </w:tcPr>
          <w:p>
            <w:pPr>
              <w:spacing w:after="0" w:line="240" w:lineRule="auto"/>
            </w:pPr>
            <w:r>
              <w:rPr>
                <w:sz w:val="20"/>
              </w:rPr>
              <w:t>x3</w:t>
            </w:r>
          </w:p>
        </w:tc>
        <w:tc>
          <w:tcPr>
            <w:tcW w:type="dxa" w:w="1531"/>
            <w:tcMar>
              <w:top w:w="60" w:type="dxa"/>
              <w:left w:w="100" w:type="dxa"/>
              <w:bottom w:w="60" w:type="dxa"/>
              <w:right w:w="100" w:type="dxa"/>
            </w:tcMar>
          </w:tcPr>
          <w:p>
            <w:pPr>
              <w:spacing w:after="0" w:line="240" w:lineRule="auto"/>
              <w:jc w:val="right"/>
            </w:pPr>
            <w:r>
              <w:rPr>
                <w:sz w:val="20"/>
              </w:rPr>
              <w:t>$34,898</w:t>
            </w:r>
          </w:p>
        </w:tc>
        <w:tc>
          <w:tcPr>
            <w:tcW w:type="dxa" w:w="1644"/>
            <w:tcMar>
              <w:top w:w="60" w:type="dxa"/>
              <w:left w:w="100" w:type="dxa"/>
              <w:bottom w:w="60" w:type="dxa"/>
              <w:right w:w="100" w:type="dxa"/>
            </w:tcMar>
          </w:tcPr>
          <w:p>
            <w:pPr>
              <w:spacing w:after="0" w:line="240" w:lineRule="auto"/>
              <w:jc w:val="right"/>
            </w:pPr>
            <w:r>
              <w:rPr>
                <w:sz w:val="20"/>
              </w:rPr>
              <w:t>$34,387</w:t>
            </w:r>
          </w:p>
        </w:tc>
        <w:tc>
          <w:tcPr>
            <w:tcW w:type="dxa" w:w="1701"/>
            <w:tcMar>
              <w:top w:w="60" w:type="dxa"/>
              <w:left w:w="100" w:type="dxa"/>
              <w:bottom w:w="60" w:type="dxa"/>
              <w:right w:w="100" w:type="dxa"/>
            </w:tcMar>
          </w:tcPr>
          <w:p>
            <w:pPr>
              <w:spacing w:after="0" w:line="240" w:lineRule="auto"/>
              <w:jc w:val="right"/>
            </w:pPr>
            <w:r>
              <w:rPr>
                <w:sz w:val="20"/>
              </w:rPr>
              <w:t>$39,027</w:t>
            </w:r>
          </w:p>
        </w:tc>
        <w:tc>
          <w:tcPr>
            <w:tcW w:type="dxa" w:w="1814"/>
            <w:tcMar>
              <w:top w:w="60" w:type="dxa"/>
              <w:left w:w="100" w:type="dxa"/>
              <w:bottom w:w="60" w:type="dxa"/>
              <w:right w:w="100" w:type="dxa"/>
            </w:tcMar>
          </w:tcPr>
          <w:p>
            <w:pPr>
              <w:spacing w:after="0" w:line="240" w:lineRule="auto"/>
              <w:jc w:val="right"/>
            </w:pPr>
            <w:r>
              <w:rPr>
                <w:sz w:val="20"/>
              </w:rPr>
              <w:t>9.4%</w:t>
            </w:r>
          </w:p>
        </w:tc>
        <w:tc>
          <w:tcPr>
            <w:tcW w:type="dxa" w:w="1474"/>
            <w:tcMar>
              <w:top w:w="60" w:type="dxa"/>
              <w:left w:w="100" w:type="dxa"/>
              <w:bottom w:w="60" w:type="dxa"/>
              <w:right w:w="100" w:type="dxa"/>
            </w:tcMar>
          </w:tcPr>
          <w:p>
            <w:pPr>
              <w:spacing w:after="0" w:line="240" w:lineRule="auto"/>
              <w:jc w:val="right"/>
            </w:pPr>
            <w:r>
              <w:rPr>
                <w:sz w:val="20"/>
              </w:rPr>
              <w:t>0.0%</w:t>
            </w:r>
          </w:p>
        </w:tc>
      </w:tr>
      <w:tr>
        <w:trPr>
          <w:cantSplit/>
        </w:trPr>
        <w:tc>
          <w:tcPr>
            <w:tcW w:type="dxa" w:w="907"/>
            <w:tcMar>
              <w:top w:w="60" w:type="dxa"/>
              <w:left w:w="100" w:type="dxa"/>
              <w:bottom w:w="60" w:type="dxa"/>
              <w:right w:w="100" w:type="dxa"/>
            </w:tcMar>
          </w:tcPr>
          <w:p>
            <w:pPr>
              <w:spacing w:after="0" w:line="240" w:lineRule="auto"/>
            </w:pPr>
            <w:r>
              <w:rPr>
                <w:sz w:val="20"/>
              </w:rPr>
              <w:t>x4</w:t>
            </w:r>
          </w:p>
        </w:tc>
        <w:tc>
          <w:tcPr>
            <w:tcW w:type="dxa" w:w="1531"/>
            <w:tcMar>
              <w:top w:w="60" w:type="dxa"/>
              <w:left w:w="100" w:type="dxa"/>
              <w:bottom w:w="60" w:type="dxa"/>
              <w:right w:w="100" w:type="dxa"/>
            </w:tcMar>
          </w:tcPr>
          <w:p>
            <w:pPr>
              <w:spacing w:after="0" w:line="240" w:lineRule="auto"/>
              <w:jc w:val="right"/>
            </w:pPr>
            <w:r>
              <w:rPr>
                <w:sz w:val="20"/>
              </w:rPr>
              <w:t>$36,296</w:t>
            </w:r>
          </w:p>
        </w:tc>
        <w:tc>
          <w:tcPr>
            <w:tcW w:type="dxa" w:w="1644"/>
            <w:tcMar>
              <w:top w:w="60" w:type="dxa"/>
              <w:left w:w="100" w:type="dxa"/>
              <w:bottom w:w="60" w:type="dxa"/>
              <w:right w:w="100" w:type="dxa"/>
            </w:tcMar>
          </w:tcPr>
          <w:p>
            <w:pPr>
              <w:spacing w:after="0" w:line="240" w:lineRule="auto"/>
              <w:jc w:val="right"/>
            </w:pPr>
            <w:r>
              <w:rPr>
                <w:sz w:val="20"/>
              </w:rPr>
              <w:t>$35,492</w:t>
            </w:r>
          </w:p>
        </w:tc>
        <w:tc>
          <w:tcPr>
            <w:tcW w:type="dxa" w:w="1701"/>
            <w:tcMar>
              <w:top w:w="60" w:type="dxa"/>
              <w:left w:w="100" w:type="dxa"/>
              <w:bottom w:w="60" w:type="dxa"/>
              <w:right w:w="100" w:type="dxa"/>
            </w:tcMar>
          </w:tcPr>
          <w:p>
            <w:pPr>
              <w:spacing w:after="0" w:line="240" w:lineRule="auto"/>
              <w:jc w:val="right"/>
            </w:pPr>
            <w:r>
              <w:rPr>
                <w:sz w:val="20"/>
              </w:rPr>
              <w:t>$39,799</w:t>
            </w:r>
          </w:p>
        </w:tc>
        <w:tc>
          <w:tcPr>
            <w:tcW w:type="dxa" w:w="1814"/>
            <w:tcMar>
              <w:top w:w="60" w:type="dxa"/>
              <w:left w:w="100" w:type="dxa"/>
              <w:bottom w:w="60" w:type="dxa"/>
              <w:right w:w="100" w:type="dxa"/>
            </w:tcMar>
          </w:tcPr>
          <w:p>
            <w:pPr>
              <w:spacing w:after="0" w:line="240" w:lineRule="auto"/>
              <w:jc w:val="right"/>
            </w:pPr>
            <w:r>
              <w:rPr>
                <w:sz w:val="20"/>
              </w:rPr>
              <w:t>9.5%</w:t>
            </w:r>
          </w:p>
        </w:tc>
        <w:tc>
          <w:tcPr>
            <w:tcW w:type="dxa" w:w="1474"/>
            <w:tcMar>
              <w:top w:w="60" w:type="dxa"/>
              <w:left w:w="100" w:type="dxa"/>
              <w:bottom w:w="60" w:type="dxa"/>
              <w:right w:w="100" w:type="dxa"/>
            </w:tcMar>
          </w:tcPr>
          <w:p>
            <w:pPr>
              <w:spacing w:after="0" w:line="240" w:lineRule="auto"/>
              <w:jc w:val="right"/>
            </w:pPr>
            <w:r>
              <w:rPr>
                <w:sz w:val="20"/>
              </w:rPr>
              <w:t>0.0%</w:t>
            </w:r>
          </w:p>
        </w:tc>
      </w:tr>
      <w:tr>
        <w:trPr>
          <w:cantSplit/>
        </w:trPr>
        <w:tc>
          <w:tcPr>
            <w:tcW w:type="dxa" w:w="907"/>
            <w:tcMar>
              <w:top w:w="60" w:type="dxa"/>
              <w:left w:w="100" w:type="dxa"/>
              <w:bottom w:w="60" w:type="dxa"/>
              <w:right w:w="100" w:type="dxa"/>
            </w:tcMar>
          </w:tcPr>
          <w:p>
            <w:pPr>
              <w:spacing w:after="0" w:line="240" w:lineRule="auto"/>
            </w:pPr>
            <w:r>
              <w:rPr>
                <w:sz w:val="20"/>
              </w:rPr>
              <w:t>x5</w:t>
            </w:r>
          </w:p>
        </w:tc>
        <w:tc>
          <w:tcPr>
            <w:tcW w:type="dxa" w:w="1531"/>
            <w:tcMar>
              <w:top w:w="60" w:type="dxa"/>
              <w:left w:w="100" w:type="dxa"/>
              <w:bottom w:w="60" w:type="dxa"/>
              <w:right w:w="100" w:type="dxa"/>
            </w:tcMar>
          </w:tcPr>
          <w:p>
            <w:pPr>
              <w:spacing w:after="0" w:line="240" w:lineRule="auto"/>
              <w:jc w:val="right"/>
            </w:pPr>
            <w:r>
              <w:rPr>
                <w:sz w:val="20"/>
              </w:rPr>
              <w:t>$37,822</w:t>
            </w:r>
          </w:p>
        </w:tc>
        <w:tc>
          <w:tcPr>
            <w:tcW w:type="dxa" w:w="1644"/>
            <w:tcMar>
              <w:top w:w="60" w:type="dxa"/>
              <w:left w:w="100" w:type="dxa"/>
              <w:bottom w:w="60" w:type="dxa"/>
              <w:right w:w="100" w:type="dxa"/>
            </w:tcMar>
          </w:tcPr>
          <w:p>
            <w:pPr>
              <w:spacing w:after="0" w:line="240" w:lineRule="auto"/>
              <w:jc w:val="right"/>
            </w:pPr>
            <w:r>
              <w:rPr>
                <w:sz w:val="20"/>
              </w:rPr>
              <w:t>$36,599</w:t>
            </w:r>
          </w:p>
        </w:tc>
        <w:tc>
          <w:tcPr>
            <w:tcW w:type="dxa" w:w="1701"/>
            <w:tcMar>
              <w:top w:w="60" w:type="dxa"/>
              <w:left w:w="100" w:type="dxa"/>
              <w:bottom w:w="60" w:type="dxa"/>
              <w:right w:w="100" w:type="dxa"/>
            </w:tcMar>
          </w:tcPr>
          <w:p>
            <w:pPr>
              <w:spacing w:after="0" w:line="240" w:lineRule="auto"/>
              <w:jc w:val="right"/>
            </w:pPr>
            <w:r>
              <w:rPr>
                <w:sz w:val="20"/>
              </w:rPr>
              <w:t>$40,570</w:t>
            </w:r>
          </w:p>
        </w:tc>
        <w:tc>
          <w:tcPr>
            <w:tcW w:type="dxa" w:w="1814"/>
            <w:tcMar>
              <w:top w:w="60" w:type="dxa"/>
              <w:left w:w="100" w:type="dxa"/>
              <w:bottom w:w="60" w:type="dxa"/>
              <w:right w:w="100" w:type="dxa"/>
            </w:tcMar>
          </w:tcPr>
          <w:p>
            <w:pPr>
              <w:spacing w:after="0" w:line="240" w:lineRule="auto"/>
              <w:jc w:val="right"/>
            </w:pPr>
            <w:r>
              <w:rPr>
                <w:sz w:val="20"/>
              </w:rPr>
              <w:t>9.7%</w:t>
            </w:r>
          </w:p>
        </w:tc>
        <w:tc>
          <w:tcPr>
            <w:tcW w:type="dxa" w:w="1474"/>
            <w:tcMar>
              <w:top w:w="60" w:type="dxa"/>
              <w:left w:w="100" w:type="dxa"/>
              <w:bottom w:w="60" w:type="dxa"/>
              <w:right w:w="100" w:type="dxa"/>
            </w:tcMar>
          </w:tcPr>
          <w:p>
            <w:pPr>
              <w:spacing w:after="0" w:line="240" w:lineRule="auto"/>
              <w:jc w:val="right"/>
            </w:pPr>
            <w:r>
              <w:rPr>
                <w:sz w:val="20"/>
              </w:rPr>
              <w:t>0.0%</w:t>
            </w:r>
          </w:p>
        </w:tc>
      </w:tr>
    </w:tbl>
    <w:p>
      <w:pPr>
        <w:spacing w:after="120"/>
      </w:pPr>
    </w:p>
    <w:p>
      <w:pPr>
        <w:keepNext/>
        <w:spacing w:after="80"/>
        <w:jc w:val="center"/>
      </w:pPr>
      <w:r>
        <w:drawing>
          <wp:inline xmlns:a="http://schemas.openxmlformats.org/drawingml/2006/main" xmlns:pic="http://schemas.openxmlformats.org/drawingml/2006/picture">
            <wp:extent cx="5220000" cy="2247437"/>
            <wp:docPr id="9" name="Picture 9"/>
            <wp:cNvGraphicFramePr>
              <a:graphicFrameLocks noChangeAspect="1"/>
            </wp:cNvGraphicFramePr>
            <a:graphic>
              <a:graphicData uri="http://schemas.openxmlformats.org/drawingml/2006/picture">
                <pic:pic>
                  <pic:nvPicPr>
                    <pic:cNvPr id="0" name="spike.png"/>
                    <pic:cNvPicPr/>
                  </pic:nvPicPr>
                  <pic:blipFill>
                    <a:blip r:embed="rId30"/>
                    <a:stretch>
                      <a:fillRect/>
                    </a:stretch>
                  </pic:blipFill>
                  <pic:spPr>
                    <a:xfrm>
                      <a:off x="0" y="0"/>
                      <a:ext cx="5220000" cy="2247437"/>
                    </a:xfrm>
                    <a:prstGeom prst="rect"/>
                  </pic:spPr>
                </pic:pic>
              </a:graphicData>
            </a:graphic>
          </wp:inline>
        </w:drawing>
      </w:r>
    </w:p>
    <w:p>
      <w:pPr>
        <w:spacing w:after="200" w:before="0" w:line="276" w:lineRule="auto"/>
        <w:jc w:val="center"/>
      </w:pPr>
      <w:r>
        <w:rPr>
          <w:sz w:val="22"/>
        </w:rPr>
        <w:t>Figure 9: Effect of an unseen spike on cost and unserved load</w:t>
      </w:r>
    </w:p>
    <w:p>
      <w:pPr>
        <w:spacing w:after="140" w:before="0" w:line="340" w:lineRule="auto"/>
        <w:jc w:val="both"/>
      </w:pPr>
      <w:r>
        <w:rPr/>
        <w:t>The hybrids serve all load in every case; the cost of a x5 spike is $4.4k (rolling) to $5.7k (ML) per month above the no-spike case. The ML forecaster reacts worse than the rolling quantile after a spike (x5: $37.8k against $36.6k), because its features also include the spiked hour and it over-raises the next base. A production system would clip forecasts that follow a detected anomaly. The reactive controller is unaffected in kind but still drops about 9.5% of load in every case. Live arm D repeats this test on AWS (Section 8.8): there too nothing failed, but about 20% of requests exceeded the latency target, a cost the simulator does not model.</w:t>
      </w:r>
    </w:p>
    <w:p>
      <w:pPr>
        <w:spacing w:after="140" w:before="0" w:line="340" w:lineRule="auto"/>
        <w:jc w:val="both"/>
      </w:pPr>
      <w:r>
        <w:rPr>
          <w:b/>
        </w:rPr>
        <w:t>Remaining risks.</w:t>
      </w:r>
      <w:r>
        <w:rPr/>
        <w:t xml:space="preserve"> The newsvendor argument assumes the forecast quantile is calibrated. Coverage at the median is not (Table 7), so a forecaster used at low q* (cheap containers relative to Lambda) would be miscalibrated where it matters most. A sustained level shift larger than the lookback window would be absorbed by Lambda for several hours at higher cost before the base catches up, and a fully new function with no history has no forecast at all and must start on Lambda.</w:t>
      </w:r>
    </w:p>
    <w:p>
      <w:pPr>
        <w:pStyle w:val="Heading1"/>
        <w:pageBreakBefore/>
      </w:pPr>
      <w:r>
        <w:t>10. Limitations</w:t>
      </w:r>
    </w:p>
    <w:p>
      <w:pPr>
        <w:pStyle w:val="ListParagraph"/>
        <w:spacing w:after="80" w:line="340" w:lineRule="auto"/>
        <w:ind w:left="567" w:hanging="340"/>
        <w:jc w:val="both"/>
      </w:pPr>
      <w:r>
        <w:rPr/>
        <w:t xml:space="preserve">•  </w:t>
      </w:r>
      <w:r>
        <w:rPr>
          <w:b/>
        </w:rPr>
        <w:t>Azure traffic, AWS prices.</w:t>
      </w:r>
      <w:r>
        <w:rPr/>
        <w:t xml:space="preserve"> The trace was recorded on Azure Functions; running the same traffic on AWS with AWS prices is a modelling assumption, not an observation of an AWS customer.</w:t>
      </w:r>
    </w:p>
    <w:p>
      <w:pPr>
        <w:pStyle w:val="ListParagraph"/>
        <w:spacing w:after="80" w:line="340" w:lineRule="auto"/>
        <w:ind w:left="567" w:hanging="340"/>
        <w:jc w:val="both"/>
      </w:pPr>
      <w:r>
        <w:rPr/>
        <w:t xml:space="preserve">•  </w:t>
      </w:r>
      <w:r>
        <w:rPr>
          <w:b/>
        </w:rPr>
        <w:t>Capacity assumptions.</w:t>
      </w:r>
      <w:r>
        <w:rPr/>
        <w:t xml:space="preserve"> Container capacity per unit is measured for one synthetic request type (400 ms service time, 20% CPU) on one instance type, from a coarse grid (16 req/s sustainable, 20 req/s failing). Real functions differ. Fargate capacity was never measured. Burstable t3 instances can run out of CPU credits under sustained load; credit balances were not measured in the short experiments.</w:t>
      </w:r>
    </w:p>
    <w:p>
      <w:pPr>
        <w:pStyle w:val="ListParagraph"/>
        <w:spacing w:after="80" w:line="340" w:lineRule="auto"/>
        <w:ind w:left="567" w:hanging="340"/>
        <w:jc w:val="both"/>
      </w:pPr>
      <w:r>
        <w:rPr/>
        <w:t xml:space="preserve">•  </w:t>
      </w:r>
      <w:r>
        <w:rPr>
          <w:b/>
        </w:rPr>
        <w:t>Fractional capacity in the simulator.</w:t>
      </w:r>
      <w:r>
        <w:rPr/>
        <w:t xml:space="preserve"> Containers are billed as a shared pool; the whole-instance sensitivity row shows a small effect, but real fleets also have minimum sizes and availability-zone constraints.</w:t>
      </w:r>
    </w:p>
    <w:p>
      <w:pPr>
        <w:pStyle w:val="ListParagraph"/>
        <w:spacing w:after="80" w:line="340" w:lineRule="auto"/>
        <w:ind w:left="567" w:hanging="340"/>
        <w:jc w:val="both"/>
      </w:pPr>
      <w:r>
        <w:rPr/>
        <w:t xml:space="preserve">•  </w:t>
      </w:r>
      <w:r>
        <w:rPr>
          <w:b/>
        </w:rPr>
        <w:t>Heavy-function filter.</w:t>
      </w:r>
      <w:r>
        <w:rPr/>
        <w:t xml:space="preserve"> Only 101 functions qualify; conclusions are about busy functions, not the median function, which is idle most of the day.</w:t>
      </w:r>
    </w:p>
    <w:p>
      <w:pPr>
        <w:pStyle w:val="ListParagraph"/>
        <w:spacing w:after="80" w:line="340" w:lineRule="auto"/>
        <w:ind w:left="567" w:hanging="340"/>
        <w:jc w:val="both"/>
      </w:pPr>
      <w:r>
        <w:rPr/>
        <w:t xml:space="preserve">•  </w:t>
      </w:r>
      <w:r>
        <w:rPr>
          <w:b/>
        </w:rPr>
        <w:t>Forecaster scale.</w:t>
      </w:r>
      <w:r>
        <w:rPr/>
        <w:t xml:space="preserve"> The model trains on a small population (218k sampled rows); it is not tuned beyond a fixed configuration, and the benefit over rolling quantiles is within noise on test.</w:t>
      </w:r>
    </w:p>
    <w:p>
      <w:pPr>
        <w:pStyle w:val="ListParagraph"/>
        <w:spacing w:after="80" w:line="340" w:lineRule="auto"/>
        <w:ind w:left="567" w:hanging="340"/>
        <w:jc w:val="both"/>
      </w:pPr>
      <w:r>
        <w:rPr/>
        <w:t xml:space="preserve">•  </w:t>
      </w:r>
      <w:r>
        <w:rPr>
          <w:b/>
        </w:rPr>
        <w:t>ALB leakage.</w:t>
      </w:r>
      <w:r>
        <w:rPr/>
        <w:t xml:space="preserve"> The load balancer splits by percentage, not overflow-only, and weight changes take about 12 s to propagate; the live system cannot match the simulator exactly (Section 8.8).</w:t>
      </w:r>
    </w:p>
    <w:p>
      <w:pPr>
        <w:pStyle w:val="ListParagraph"/>
        <w:spacing w:after="80" w:line="340" w:lineRule="auto"/>
        <w:ind w:left="567" w:hanging="340"/>
        <w:jc w:val="both"/>
      </w:pPr>
      <w:r>
        <w:rPr/>
        <w:t xml:space="preserve">•  </w:t>
      </w:r>
      <w:r>
        <w:rPr>
          <w:b/>
        </w:rPr>
        <w:t>Short live runs.</w:t>
      </w:r>
      <w:r>
        <w:rPr/>
        <w:t xml:space="preserve"> Each arm is a time-compressed six-hour window run once, from one laptop and one function; no confidence intervals can be given. Cold-start behaviour of Lambda depends on how long environments stayed warm between arms. The window is a smooth ramp, so it does not stress reactive scaling the way the simulated population does.</w:t>
      </w:r>
    </w:p>
    <w:p>
      <w:pPr>
        <w:pStyle w:val="ListParagraph"/>
        <w:spacing w:after="80" w:line="340" w:lineRule="auto"/>
        <w:ind w:left="567" w:hanging="340"/>
        <w:jc w:val="both"/>
      </w:pPr>
      <w:r>
        <w:rPr/>
        <w:t xml:space="preserve">•  </w:t>
      </w:r>
      <w:r>
        <w:rPr>
          <w:b/>
        </w:rPr>
        <w:t>Closed-loop load generator.</w:t>
      </w:r>
      <w:r>
        <w:rPr/>
        <w:t xml:space="preserve"> Locust users wait for each response, so when latency rises the offered load falls (arm D delivered about 63% of the planned rate in the spiked hour). Latency under overload is therefore understated.</w:t>
      </w:r>
    </w:p>
    <w:p>
      <w:pPr>
        <w:pStyle w:val="ListParagraph"/>
        <w:spacing w:after="80" w:line="340" w:lineRule="auto"/>
        <w:ind w:left="567" w:hanging="340"/>
        <w:jc w:val="both"/>
      </w:pPr>
      <w:r>
        <w:rPr/>
        <w:t xml:space="preserve">•  </w:t>
      </w:r>
      <w:r>
        <w:rPr>
          <w:b/>
        </w:rPr>
        <w:t>No capacity headroom.</w:t>
      </w:r>
      <w:r>
        <w:rPr/>
        <w:t xml:space="preserve"> The controller gives EC2 its full measured capacity; the spike arm shows this leaves no margin. A safety factor was not tested.</w:t>
      </w:r>
    </w:p>
    <w:p>
      <w:pPr>
        <w:pStyle w:val="ListParagraph"/>
        <w:spacing w:after="80" w:line="340" w:lineRule="auto"/>
        <w:ind w:left="567" w:hanging="340"/>
        <w:jc w:val="both"/>
      </w:pPr>
      <w:r>
        <w:rPr/>
        <w:t xml:space="preserve">•  </w:t>
      </w:r>
      <w:r>
        <w:rPr>
          <w:b/>
        </w:rPr>
        <w:t>Energy</w:t>
      </w:r>
      <w:r>
        <w:rPr/>
        <w:t xml:space="preserve"> is an estimate from a published methodology, not a measurement, and is sensitive to the idle-power coefficient.</w:t>
      </w:r>
    </w:p>
    <w:p>
      <w:pPr>
        <w:pStyle w:val="ListParagraph"/>
        <w:spacing w:after="80" w:line="340" w:lineRule="auto"/>
        <w:ind w:left="567" w:hanging="340"/>
        <w:jc w:val="both"/>
      </w:pPr>
      <w:r>
        <w:rPr/>
        <w:t xml:space="preserve">•  </w:t>
      </w:r>
      <w:r>
        <w:rPr>
          <w:b/>
        </w:rPr>
        <w:t>Not covered.</w:t>
      </w:r>
      <w:r>
        <w:rPr/>
        <w:t xml:space="preserve"> Storage, networking, multi-region operation, security, and AWS predictive scaling (not run live) are outside this work.</w:t>
      </w:r>
    </w:p>
    <w:p>
      <w:pPr>
        <w:pStyle w:val="Heading1"/>
        <w:pageBreakBefore/>
      </w:pPr>
      <w:r>
        <w:t>11. Conclusion</w:t>
      </w:r>
    </w:p>
    <w:p>
      <w:pPr>
        <w:spacing w:after="140" w:before="0" w:line="340" w:lineRule="auto"/>
        <w:jc w:val="both"/>
      </w:pPr>
      <w:r>
        <w:rPr/>
        <w:t>CostScale keeps a cheap always-on base sized by a newsvendor quantile and sends the rest to Lambda. In simulation over 101 heavy Azure functions priced at AWS ap-south-1 rates with the container capacity measured on AWS, the hybrid with a rolling base costs $32.2k per month, 41% less than all-Lambda and 14% less than the cheapest reactive setting, while serving all load; reactive scaling drops between 5.7% and 9.2% of load at every utilisation target tried. The newsvendor rule matches brute-force search almost exactly.</w:t>
      </w:r>
    </w:p>
    <w:p>
      <w:pPr>
        <w:spacing w:after="140" w:before="0" w:line="340" w:lineRule="auto"/>
        <w:jc w:val="both"/>
      </w:pPr>
      <w:r>
        <w:rPr/>
        <w:t>Three results are weaker than the idea might suggest and are reported as found. The ML forecaster is only 0.25% cheaper than a rolling six-hour quantile on test, inside the noise of the assumptions, and the whole remaining headroom to the oracle is 5.4%. The advantage depends strongly on measured capacity per container and on the Lambda price (Section 8.7). By a documented estimate, the hybrid does not save energy relative to all-Lambda.</w:t>
      </w:r>
    </w:p>
    <w:p>
      <w:pPr>
        <w:spacing w:after="140" w:before="0" w:line="340" w:lineRule="auto"/>
        <w:jc w:val="both"/>
      </w:pPr>
      <w:r>
        <w:rPr/>
        <w:t>The live AWS runs confirm that the mechanism works: the controller sets instance counts from the forecast, shifts traffic to Lambda when load exceeds healthy capacity, and the replay of arms A to C agrees with the measurements to within about 2% in cost. They do not confirm a cost advantage over reactive scaling: on a smooth ramp arms A and C cost the same ($0.038 and $0.039), and the benefit shown was against a static base (arm B cost 2.2 times as much). The spike arm exposed a real weakness: with no failed requests, 20% of requests exceeded the latency target because EC2 was fed up to its measured capacity. Each live arm ran once, in compressed time, from one laptop, so the live evidence supports the design rather than a statistical ranking.</w:t>
      </w:r>
    </w:p>
    <w:p>
      <w:pPr>
        <w:pStyle w:val="Heading1"/>
        <w:pageBreakBefore/>
      </w:pPr>
      <w:r>
        <w:t>12. Future work</w:t>
      </w:r>
    </w:p>
    <w:p>
      <w:pPr>
        <w:pStyle w:val="ListParagraph"/>
        <w:spacing w:after="80" w:line="340" w:lineRule="auto"/>
        <w:ind w:left="567" w:hanging="340"/>
        <w:jc w:val="both"/>
      </w:pPr>
      <w:r>
        <w:rPr/>
        <w:t xml:space="preserve">•  </w:t>
      </w:r>
      <w:r>
        <w:rPr>
          <w:b/>
        </w:rPr>
        <w:t>Storage tiering.</w:t>
      </w:r>
      <w:r>
        <w:rPr/>
        <w:t xml:space="preserve"> Extend the base-plus-overflow idea to storage classes once access-pattern data is available.</w:t>
      </w:r>
    </w:p>
    <w:p>
      <w:pPr>
        <w:pStyle w:val="ListParagraph"/>
        <w:spacing w:after="80" w:line="340" w:lineRule="auto"/>
        <w:ind w:left="567" w:hanging="340"/>
        <w:jc w:val="both"/>
      </w:pPr>
      <w:r>
        <w:rPr/>
        <w:t xml:space="preserve">•  </w:t>
      </w:r>
      <w:r>
        <w:rPr>
          <w:b/>
        </w:rPr>
        <w:t>Network cost.</w:t>
      </w:r>
      <w:r>
        <w:rPr/>
        <w:t xml:space="preserve"> Include data-transfer and load-balancer charges, which this compute-only model omits.</w:t>
      </w:r>
    </w:p>
    <w:p>
      <w:pPr>
        <w:pStyle w:val="ListParagraph"/>
        <w:spacing w:after="80" w:line="340" w:lineRule="auto"/>
        <w:ind w:left="567" w:hanging="340"/>
        <w:jc w:val="both"/>
      </w:pPr>
      <w:r>
        <w:rPr/>
        <w:t xml:space="preserve">•  </w:t>
      </w:r>
      <w:r>
        <w:rPr>
          <w:b/>
        </w:rPr>
        <w:t>Fargate base.</w:t>
      </w:r>
      <w:r>
        <w:rPr/>
        <w:t xml:space="preserve"> Measure Fargate capacity and run it live; the simulator prices it only under an assumed capacity.</w:t>
      </w:r>
    </w:p>
    <w:p>
      <w:pPr>
        <w:pStyle w:val="ListParagraph"/>
        <w:spacing w:after="80" w:line="340" w:lineRule="auto"/>
        <w:ind w:left="567" w:hanging="340"/>
        <w:jc w:val="both"/>
      </w:pPr>
      <w:r>
        <w:rPr/>
        <w:t xml:space="preserve">•  </w:t>
      </w:r>
      <w:r>
        <w:rPr>
          <w:b/>
        </w:rPr>
        <w:t>Multi-region.</w:t>
      </w:r>
      <w:r>
        <w:rPr/>
        <w:t xml:space="preserve"> Place the base in the cheapest region and route overflow by latency and price.</w:t>
      </w:r>
    </w:p>
    <w:p>
      <w:pPr>
        <w:pStyle w:val="ListParagraph"/>
        <w:spacing w:after="80" w:line="340" w:lineRule="auto"/>
        <w:ind w:left="567" w:hanging="340"/>
        <w:jc w:val="both"/>
      </w:pPr>
      <w:r>
        <w:rPr/>
        <w:t xml:space="preserve">•  </w:t>
      </w:r>
      <w:r>
        <w:rPr>
          <w:b/>
        </w:rPr>
        <w:t>Anomaly-aware forecasting.</w:t>
      </w:r>
      <w:r>
        <w:rPr/>
        <w:t xml:space="preserve"> Clip or down-weight history that follows a detected spike so the ML forecaster does not over-react (Section 9).</w:t>
      </w:r>
    </w:p>
    <w:p>
      <w:pPr>
        <w:pStyle w:val="ListParagraph"/>
        <w:spacing w:after="80" w:line="340" w:lineRule="auto"/>
        <w:ind w:left="567" w:hanging="340"/>
        <w:jc w:val="both"/>
      </w:pPr>
      <w:r>
        <w:rPr/>
        <w:t xml:space="preserve">•  </w:t>
      </w:r>
      <w:r>
        <w:rPr>
          <w:b/>
        </w:rPr>
        <w:t>Overflow-only routing.</w:t>
      </w:r>
      <w:r>
        <w:rPr/>
        <w:t xml:space="preserve"> Replace weighted routing with an overflow-aware mechanism to remove the ALB leakage measured in Section 8.8.</w:t>
      </w:r>
    </w:p>
    <w:p>
      <w:pPr>
        <w:pStyle w:val="ListParagraph"/>
        <w:spacing w:after="80" w:line="340" w:lineRule="auto"/>
        <w:ind w:left="567" w:hanging="340"/>
        <w:jc w:val="both"/>
      </w:pPr>
      <w:r>
        <w:rPr/>
        <w:t xml:space="preserve">•  </w:t>
      </w:r>
      <w:r>
        <w:rPr>
          <w:b/>
        </w:rPr>
        <w:t>Provider predictive scaling.</w:t>
      </w:r>
      <w:r>
        <w:rPr/>
        <w:t xml:space="preserve"> Run AWS predictive scaling [3] on a workload with 24 hours of history and compare directly.</w:t>
      </w:r>
    </w:p>
    <w:p>
      <w:pPr>
        <w:pStyle w:val="Heading1"/>
        <w:pageBreakBefore/>
      </w:pPr>
      <w:r>
        <w:t>References</w:t>
      </w:r>
    </w:p>
    <w:p>
      <w:pPr>
        <w:spacing w:after="120" w:before="0" w:line="276" w:lineRule="auto"/>
        <w:ind w:left="540" w:hanging="540"/>
        <w:jc w:val="left"/>
      </w:pPr>
      <w:r>
        <w:rPr/>
        <w:t>[1] M. Shahrad, R. Fonseca, I. Goiri, G. Chaudhry, P. Batum, J. Cooke, E. Laureano, C. Tresness, M. Russinovich and R. Bianchini, "Serverless in the Wild: Characterizing and Optimizing the Serverless Workload at a Large Cloud Provider," in Proc. 2020 USENIX Annual Technical Conference (USENIX ATC '20), pp. 205-218. https://www.usenix.org/conference/atc20/presentation/shahrad</w:t>
      </w:r>
    </w:p>
    <w:p>
      <w:pPr>
        <w:spacing w:after="120" w:before="0" w:line="276" w:lineRule="auto"/>
        <w:ind w:left="540" w:hanging="540"/>
        <w:jc w:val="left"/>
      </w:pPr>
      <w:r>
        <w:rPr/>
        <w:t>[2] C. Zhang, M. Yu, W. Wang and F. Yan, "MArk: Exploiting Cloud Services for Cost-Effective, SLO-Aware Machine Learning Inference Serving," in Proc. 2019 USENIX Annual Technical Conference (USENIX ATC '19), pp. 1049-1062. https://www.usenix.org/conference/atc19/presentation/zhang-chengliang</w:t>
      </w:r>
    </w:p>
    <w:p>
      <w:pPr>
        <w:spacing w:after="120" w:before="0" w:line="276" w:lineRule="auto"/>
        <w:ind w:left="540" w:hanging="540"/>
        <w:jc w:val="left"/>
      </w:pPr>
      <w:r>
        <w:rPr/>
        <w:t>[3] Amazon Web Services, "How predictive scaling works," Amazon EC2 Auto Scaling User Guide. https://docs.aws.amazon.com/autoscaling/ec2/userguide/predictive-scaling-policy-overview.html (accessed 24 October 2026).</w:t>
      </w:r>
    </w:p>
    <w:p>
      <w:pPr>
        <w:spacing w:after="120" w:before="0" w:line="276" w:lineRule="auto"/>
        <w:ind w:left="540" w:hanging="540"/>
        <w:jc w:val="left"/>
      </w:pPr>
      <w:r>
        <w:rPr/>
        <w:t>[4] Amazon Web Services, "Configure Lambda function memory," AWS Lambda Developer Guide. https://docs.aws.amazon.com/lambda/latest/dg/configuration-memory.html (accessed 24 October 2026).</w:t>
      </w:r>
    </w:p>
    <w:p>
      <w:pPr>
        <w:spacing w:after="120" w:before="0" w:line="276" w:lineRule="auto"/>
        <w:ind w:left="540" w:hanging="540"/>
        <w:jc w:val="left"/>
      </w:pPr>
      <w:r>
        <w:rPr/>
        <w:t>[5] Amazon Web Services, "Action types for listener rules" (forward actions and weighted target groups), Elastic Load Balancing User Guide. https://docs.aws.amazon.com/elasticloadbalancing/latest/application/rule-action-types.html (accessed 24 October 2026).</w:t>
      </w:r>
    </w:p>
    <w:p>
      <w:pPr>
        <w:spacing w:after="120" w:before="0" w:line="276" w:lineRule="auto"/>
        <w:ind w:left="540" w:hanging="540"/>
        <w:jc w:val="left"/>
      </w:pPr>
      <w:r>
        <w:rPr/>
        <w:t>[6] "Newsvendor model," Wikipedia. https://en.wikipedia.org/wiki/Newsvendor_model (accessed 24 October 2026). The article cites F. Y. Edgeworth (1888) and K. J. Arrow, T. Harris and J. Marschak (1951) for the original results; those originals were not opened.</w:t>
      </w:r>
    </w:p>
    <w:p>
      <w:pPr>
        <w:spacing w:after="120" w:before="0" w:line="276" w:lineRule="auto"/>
        <w:ind w:left="540" w:hanging="540"/>
        <w:jc w:val="left"/>
      </w:pPr>
      <w:r>
        <w:rPr/>
        <w:t>[7] G. Ke, Q. Meng, T. Finley, T. Wang, W. Chen, W. Ma, Q. Ye and T.-Y. Liu, "LightGBM: A Highly Efficient Gradient Boosting Decision Tree," Advances in Neural Information Processing Systems 30 (NIPS 2017). https://papers.nips.cc/paper_files/paper/2017/hash/6449f44a102fde848669bdd9eb6b76fa-Abstract.html</w:t>
      </w:r>
    </w:p>
    <w:p>
      <w:pPr>
        <w:spacing w:after="120" w:before="0" w:line="276" w:lineRule="auto"/>
        <w:ind w:left="540" w:hanging="540"/>
        <w:jc w:val="left"/>
      </w:pPr>
      <w:r>
        <w:rPr/>
        <w:t>[8] Microsoft Azure, "Azure Functions Trace 2019," Azure Public Dataset (CC-BY). https://github.com/Azure/AzurePublicDataset/blob/master/AzureFunctionsDataset2019.md (accessed 24 October 2026).</w:t>
      </w:r>
    </w:p>
    <w:p>
      <w:pPr>
        <w:spacing w:after="120" w:before="0" w:line="276" w:lineRule="auto"/>
        <w:ind w:left="540" w:hanging="540"/>
        <w:jc w:val="left"/>
      </w:pPr>
      <w:r>
        <w:rPr/>
        <w:t>[9] Cloud Carbon Footprint, "Methodology." https://www.cloudcarbonfootprint.org/docs/methodology/ (accessed 24 October 2026).</w:t>
      </w:r>
    </w:p>
    <w:p>
      <w:pPr>
        <w:pStyle w:val="Heading1"/>
        <w:pageBreakBefore/>
      </w:pPr>
      <w:r>
        <w:t>Appendix A: Reproduction steps</w:t>
      </w:r>
    </w:p>
    <w:p>
      <w:pPr>
        <w:spacing w:after="140" w:before="0" w:line="340" w:lineRule="auto"/>
        <w:jc w:val="both"/>
      </w:pPr>
      <w:r>
        <w:rPr/>
        <w:t xml:space="preserve">All commands are run from the repository root. Credentials are read from </w:t>
      </w:r>
      <w:r>
        <w:rPr>
          <w:rFonts w:ascii="Courier New" w:hAnsi="Courier New"/>
          <w:sz w:val="20"/>
        </w:rPr>
        <w:t>.env</w:t>
      </w:r>
      <w:r>
        <w:rPr/>
        <w:t xml:space="preserve"> and mapped to standard AWS variable names by </w:t>
      </w:r>
      <w:r>
        <w:rPr>
          <w:rFonts w:ascii="Courier New" w:hAnsi="Courier New"/>
          <w:sz w:val="20"/>
        </w:rPr>
        <w:t>infra/env.sh</w:t>
      </w:r>
      <w:r>
        <w:rPr/>
        <w:t>; they are never printed or committed.</w:t>
      </w:r>
    </w:p>
    <w:p>
      <w:pPr>
        <w:spacing w:after="0"/>
        <w:ind w:left="340"/>
      </w:pPr>
      <w:r>
        <w:rPr>
          <w:rFonts w:ascii="Courier New" w:hAnsi="Courier New"/>
          <w:sz w:val="18"/>
        </w:rPr>
        <w:t>python3 -m venv .venv &amp;&amp; .venv/bin/pip install numpy pandas pyarrow lightgbm scikit-learn matplotlib boto3 locust python-docx python-pptx</w:t>
      </w:r>
    </w:p>
    <w:p>
      <w:pPr>
        <w:spacing w:after="0"/>
        <w:ind w:left="340"/>
      </w:pPr>
      <w:r>
        <w:rPr>
          <w:rFonts w:ascii="Courier New" w:hAnsi="Courier New"/>
          <w:sz w:val="18"/>
        </w:rPr>
        <w:t>tar -xJf azurefunctions_dataset2019_*.tar.xz -C data/raw        # about 2.2 GB</w:t>
      </w:r>
    </w:p>
    <w:p>
      <w:pPr>
        <w:spacing w:after="0"/>
        <w:ind w:left="340"/>
      </w:pPr>
      <w:r>
        <w:rPr>
          <w:rFonts w:ascii="Courier New" w:hAnsi="Courier New"/>
          <w:sz w:val="18"/>
        </w:rPr>
        <w:t>make data        # two-pass pipeline -&gt; results/dataset_summary.json</w:t>
      </w:r>
    </w:p>
    <w:p>
      <w:pPr>
        <w:spacing w:after="0"/>
        <w:ind w:left="340"/>
      </w:pPr>
      <w:r>
        <w:rPr>
          <w:rFonts w:ascii="Courier New" w:hAnsi="Courier New"/>
          <w:sz w:val="18"/>
        </w:rPr>
        <w:t>make sim         # simulator -&gt; results/sim_results.json</w:t>
      </w:r>
    </w:p>
    <w:p>
      <w:pPr>
        <w:spacing w:after="0"/>
        <w:ind w:left="340"/>
      </w:pPr>
      <w:r>
        <w:rPr>
          <w:rFonts w:ascii="Courier New" w:hAnsi="Courier New"/>
          <w:sz w:val="18"/>
        </w:rPr>
        <w:t>make forecast    # LightGBM + baselines + spike test -&gt; results/forecast_results.json</w:t>
      </w:r>
    </w:p>
    <w:p>
      <w:pPr>
        <w:spacing w:after="0"/>
        <w:ind w:left="340"/>
      </w:pPr>
      <w:r>
        <w:rPr>
          <w:rFonts w:ascii="Courier New" w:hAnsi="Courier New"/>
          <w:sz w:val="18"/>
        </w:rPr>
        <w:t>. infra/env.sh &amp;&amp; .venv/bin/python infra/budgets.py &lt;email&gt;    # budget alerts</w:t>
      </w:r>
    </w:p>
    <w:p>
      <w:pPr>
        <w:spacing w:after="0"/>
        <w:ind w:left="340"/>
      </w:pPr>
      <w:r>
        <w:rPr>
          <w:rFonts w:ascii="Courier New" w:hAnsi="Courier New"/>
          <w:sz w:val="18"/>
        </w:rPr>
        <w:t>make up          # create the stack (ASG at 0 instances; ALB bills about $0.024/h)</w:t>
      </w:r>
    </w:p>
    <w:p>
      <w:pPr>
        <w:spacing w:after="0"/>
        <w:ind w:left="340"/>
      </w:pPr>
      <w:r>
        <w:rPr>
          <w:rFonts w:ascii="Courier New" w:hAnsi="Courier New"/>
          <w:sz w:val="18"/>
        </w:rPr>
        <w:t>make calibrate   # -&gt; results/calibration.json ; then re-run make sim and make forecast</w:t>
      </w:r>
    </w:p>
    <w:p>
      <w:pPr>
        <w:spacing w:after="0"/>
        <w:ind w:left="340"/>
      </w:pPr>
      <w:r>
        <w:rPr>
          <w:rFonts w:ascii="Courier New" w:hAnsi="Courier New"/>
          <w:sz w:val="18"/>
        </w:rPr>
        <w:t>make run         # arms A-D, about 2.8 h, -&gt; results/live/</w:t>
      </w:r>
    </w:p>
    <w:p>
      <w:pPr>
        <w:spacing w:after="0"/>
        <w:ind w:left="340"/>
      </w:pPr>
      <w:r>
        <w:rPr>
          <w:rFonts w:ascii="Courier New" w:hAnsi="Courier New"/>
          <w:sz w:val="18"/>
        </w:rPr>
        <w:t>make down        # destroy everything and verify with the tagging API</w:t>
      </w:r>
    </w:p>
    <w:p>
      <w:pPr>
        <w:spacing w:after="0"/>
        <w:ind w:left="340"/>
      </w:pPr>
      <w:r>
        <w:rPr>
          <w:rFonts w:ascii="Courier New" w:hAnsi="Courier New"/>
          <w:sz w:val="18"/>
        </w:rPr>
        <w:t>.venv/bin/python controller/analyze.py ; make report ; make ppt</w:t>
      </w:r>
    </w:p>
    <w:p>
      <w:pPr>
        <w:spacing w:after="80"/>
      </w:pPr>
    </w:p>
    <w:p>
      <w:pPr>
        <w:pStyle w:val="Heading2"/>
      </w:pPr>
      <w:r>
        <w:t>A.1 Parameters</w:t>
      </w:r>
    </w:p>
    <w:p>
      <w:pPr>
        <w:keepNext/>
        <w:spacing w:after="80" w:before="120" w:line="276" w:lineRule="auto"/>
        <w:jc w:val="center"/>
      </w:pPr>
      <w:r>
        <w:rPr>
          <w:sz w:val="22"/>
        </w:rPr>
        <w:t>Table 17: Key parameters</w:t>
      </w:r>
    </w:p>
    <w:tbl>
      <w:tblPr>
        <w:tblW w:type="auto" w:w="0"/>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513"/>
        <w:gridCol w:w="4513"/>
      </w:tblGrid>
      <w:tr>
        <w:trPr>
          <w:cantSplit/>
          <w:tblHeader/>
        </w:trPr>
        <w:tc>
          <w:tcPr>
            <w:tcW w:type="dxa" w:w="2268"/>
            <w:tcMar>
              <w:top w:w="60" w:type="dxa"/>
              <w:left w:w="100" w:type="dxa"/>
              <w:bottom w:w="60" w:type="dxa"/>
              <w:right w:w="100" w:type="dxa"/>
            </w:tcMar>
            <w:shd w:val="clear" w:color="auto" w:fill="D9D9D9"/>
          </w:tcPr>
          <w:p>
            <w:pPr>
              <w:spacing w:after="0" w:line="240" w:lineRule="auto"/>
            </w:pPr>
            <w:r>
              <w:rPr>
                <w:b/>
                <w:sz w:val="20"/>
              </w:rPr>
              <w:t>Parameter</w:t>
            </w:r>
          </w:p>
        </w:tc>
        <w:tc>
          <w:tcPr>
            <w:tcW w:type="dxa" w:w="6803"/>
            <w:tcMar>
              <w:top w:w="60" w:type="dxa"/>
              <w:left w:w="100" w:type="dxa"/>
              <w:bottom w:w="60" w:type="dxa"/>
              <w:right w:w="100" w:type="dxa"/>
            </w:tcMar>
            <w:shd w:val="clear" w:color="auto" w:fill="D9D9D9"/>
          </w:tcPr>
          <w:p>
            <w:pPr>
              <w:spacing w:after="0" w:line="240" w:lineRule="auto"/>
            </w:pPr>
            <w:r>
              <w:rPr>
                <w:b/>
                <w:sz w:val="20"/>
              </w:rPr>
              <w:t>Value</w:t>
            </w:r>
          </w:p>
        </w:tc>
      </w:tr>
      <w:tr>
        <w:trPr>
          <w:cantSplit/>
        </w:trPr>
        <w:tc>
          <w:tcPr>
            <w:tcW w:type="dxa" w:w="2268"/>
            <w:tcMar>
              <w:top w:w="60" w:type="dxa"/>
              <w:left w:w="100" w:type="dxa"/>
              <w:bottom w:w="60" w:type="dxa"/>
              <w:right w:w="100" w:type="dxa"/>
            </w:tcMar>
          </w:tcPr>
          <w:p>
            <w:pPr>
              <w:spacing w:after="0" w:line="240" w:lineRule="auto"/>
            </w:pPr>
            <w:r>
              <w:rPr>
                <w:sz w:val="20"/>
              </w:rPr>
              <w:t>Region</w:t>
            </w:r>
          </w:p>
        </w:tc>
        <w:tc>
          <w:tcPr>
            <w:tcW w:type="dxa" w:w="6803"/>
            <w:tcMar>
              <w:top w:w="60" w:type="dxa"/>
              <w:left w:w="100" w:type="dxa"/>
              <w:bottom w:w="60" w:type="dxa"/>
              <w:right w:w="100" w:type="dxa"/>
            </w:tcMar>
          </w:tcPr>
          <w:p>
            <w:pPr>
              <w:spacing w:after="0" w:line="240" w:lineRule="auto"/>
            </w:pPr>
            <w:r>
              <w:rPr>
                <w:sz w:val="20"/>
              </w:rPr>
              <w:t>ap-south-1</w:t>
            </w:r>
          </w:p>
        </w:tc>
      </w:tr>
      <w:tr>
        <w:trPr>
          <w:cantSplit/>
        </w:trPr>
        <w:tc>
          <w:tcPr>
            <w:tcW w:type="dxa" w:w="2268"/>
            <w:tcMar>
              <w:top w:w="60" w:type="dxa"/>
              <w:left w:w="100" w:type="dxa"/>
              <w:bottom w:w="60" w:type="dxa"/>
              <w:right w:w="100" w:type="dxa"/>
            </w:tcMar>
          </w:tcPr>
          <w:p>
            <w:pPr>
              <w:spacing w:after="0" w:line="240" w:lineRule="auto"/>
            </w:pPr>
            <w:r>
              <w:rPr>
                <w:sz w:val="20"/>
              </w:rPr>
              <w:t>Split</w:t>
            </w:r>
          </w:p>
        </w:tc>
        <w:tc>
          <w:tcPr>
            <w:tcW w:type="dxa" w:w="6803"/>
            <w:tcMar>
              <w:top w:w="60" w:type="dxa"/>
              <w:left w:w="100" w:type="dxa"/>
              <w:bottom w:w="60" w:type="dxa"/>
              <w:right w:w="100" w:type="dxa"/>
            </w:tcMar>
          </w:tcPr>
          <w:p>
            <w:pPr>
              <w:spacing w:after="0" w:line="240" w:lineRule="auto"/>
            </w:pPr>
            <w:r>
              <w:rPr>
                <w:sz w:val="20"/>
              </w:rPr>
              <w:t>days 1-10 train, 11-12 validation, 13-14 test</w:t>
            </w:r>
          </w:p>
        </w:tc>
      </w:tr>
      <w:tr>
        <w:trPr>
          <w:cantSplit/>
        </w:trPr>
        <w:tc>
          <w:tcPr>
            <w:tcW w:type="dxa" w:w="2268"/>
            <w:tcMar>
              <w:top w:w="60" w:type="dxa"/>
              <w:left w:w="100" w:type="dxa"/>
              <w:bottom w:w="60" w:type="dxa"/>
              <w:right w:w="100" w:type="dxa"/>
            </w:tcMar>
          </w:tcPr>
          <w:p>
            <w:pPr>
              <w:spacing w:after="0" w:line="240" w:lineRule="auto"/>
            </w:pPr>
            <w:r>
              <w:rPr>
                <w:sz w:val="20"/>
              </w:rPr>
              <w:t>Quantiles</w:t>
            </w:r>
          </w:p>
        </w:tc>
        <w:tc>
          <w:tcPr>
            <w:tcW w:type="dxa" w:w="6803"/>
            <w:tcMar>
              <w:top w:w="60" w:type="dxa"/>
              <w:left w:w="100" w:type="dxa"/>
              <w:bottom w:w="60" w:type="dxa"/>
              <w:right w:w="100" w:type="dxa"/>
            </w:tcMar>
          </w:tcPr>
          <w:p>
            <w:pPr>
              <w:spacing w:after="0" w:line="240" w:lineRule="auto"/>
            </w:pPr>
            <w:r>
              <w:rPr>
                <w:sz w:val="20"/>
              </w:rPr>
              <w:t>0.5, 0.7, 0.8, 0.9, 0.95, 0.99</w:t>
            </w:r>
          </w:p>
        </w:tc>
      </w:tr>
      <w:tr>
        <w:trPr>
          <w:cantSplit/>
        </w:trPr>
        <w:tc>
          <w:tcPr>
            <w:tcW w:type="dxa" w:w="2268"/>
            <w:tcMar>
              <w:top w:w="60" w:type="dxa"/>
              <w:left w:w="100" w:type="dxa"/>
              <w:bottom w:w="60" w:type="dxa"/>
              <w:right w:w="100" w:type="dxa"/>
            </w:tcMar>
          </w:tcPr>
          <w:p>
            <w:pPr>
              <w:spacing w:after="0" w:line="240" w:lineRule="auto"/>
            </w:pPr>
            <w:r>
              <w:rPr>
                <w:sz w:val="20"/>
              </w:rPr>
              <w:t>LightGBM</w:t>
            </w:r>
          </w:p>
        </w:tc>
        <w:tc>
          <w:tcPr>
            <w:tcW w:type="dxa" w:w="6803"/>
            <w:tcMar>
              <w:top w:w="60" w:type="dxa"/>
              <w:left w:w="100" w:type="dxa"/>
              <w:bottom w:w="60" w:type="dxa"/>
              <w:right w:w="100" w:type="dxa"/>
            </w:tcMar>
          </w:tcPr>
          <w:p>
            <w:pPr>
              <w:spacing w:after="0" w:line="240" w:lineRule="auto"/>
            </w:pPr>
            <w:r>
              <w:rPr>
                <w:sz w:val="20"/>
              </w:rPr>
              <w:t>300 trees, learning rate 0.05, 15 leaves, min 50 samples per leaf, subsample 0.8, seed 0</w:t>
            </w:r>
          </w:p>
        </w:tc>
      </w:tr>
      <w:tr>
        <w:trPr>
          <w:cantSplit/>
        </w:trPr>
        <w:tc>
          <w:tcPr>
            <w:tcW w:type="dxa" w:w="2268"/>
            <w:tcMar>
              <w:top w:w="60" w:type="dxa"/>
              <w:left w:w="100" w:type="dxa"/>
              <w:bottom w:w="60" w:type="dxa"/>
              <w:right w:w="100" w:type="dxa"/>
            </w:tcMar>
          </w:tcPr>
          <w:p>
            <w:pPr>
              <w:spacing w:after="0" w:line="240" w:lineRule="auto"/>
            </w:pPr>
            <w:r>
              <w:rPr>
                <w:sz w:val="20"/>
              </w:rPr>
              <w:t>Lambda</w:t>
            </w:r>
          </w:p>
        </w:tc>
        <w:tc>
          <w:tcPr>
            <w:tcW w:type="dxa" w:w="6803"/>
            <w:tcMar>
              <w:top w:w="60" w:type="dxa"/>
              <w:left w:w="100" w:type="dxa"/>
              <w:bottom w:w="60" w:type="dxa"/>
              <w:right w:w="100" w:type="dxa"/>
            </w:tcMar>
          </w:tcPr>
          <w:p>
            <w:pPr>
              <w:spacing w:after="0" w:line="240" w:lineRule="auto"/>
            </w:pPr>
            <w:r>
              <w:rPr>
                <w:sz w:val="20"/>
              </w:rPr>
              <w:t>python3.12, 1769 MB, 30 s timeout</w:t>
            </w:r>
          </w:p>
        </w:tc>
      </w:tr>
      <w:tr>
        <w:trPr>
          <w:cantSplit/>
        </w:trPr>
        <w:tc>
          <w:tcPr>
            <w:tcW w:type="dxa" w:w="2268"/>
            <w:tcMar>
              <w:top w:w="60" w:type="dxa"/>
              <w:left w:w="100" w:type="dxa"/>
              <w:bottom w:w="60" w:type="dxa"/>
              <w:right w:w="100" w:type="dxa"/>
            </w:tcMar>
          </w:tcPr>
          <w:p>
            <w:pPr>
              <w:spacing w:after="0" w:line="240" w:lineRule="auto"/>
            </w:pPr>
            <w:r>
              <w:rPr>
                <w:sz w:val="20"/>
              </w:rPr>
              <w:t>Instance</w:t>
            </w:r>
          </w:p>
        </w:tc>
        <w:tc>
          <w:tcPr>
            <w:tcW w:type="dxa" w:w="6803"/>
            <w:tcMar>
              <w:top w:w="60" w:type="dxa"/>
              <w:left w:w="100" w:type="dxa"/>
              <w:bottom w:w="60" w:type="dxa"/>
              <w:right w:w="100" w:type="dxa"/>
            </w:tcMar>
          </w:tcPr>
          <w:p>
            <w:pPr>
              <w:spacing w:after="0" w:line="240" w:lineRule="auto"/>
            </w:pPr>
            <w:r>
              <w:rPr>
                <w:sz w:val="20"/>
              </w:rPr>
              <w:t>t3.medium, AL2023, ASG 0-8, ALB health check every 5 s</w:t>
            </w:r>
          </w:p>
        </w:tc>
      </w:tr>
      <w:tr>
        <w:trPr>
          <w:cantSplit/>
        </w:trPr>
        <w:tc>
          <w:tcPr>
            <w:tcW w:type="dxa" w:w="2268"/>
            <w:tcMar>
              <w:top w:w="60" w:type="dxa"/>
              <w:left w:w="100" w:type="dxa"/>
              <w:bottom w:w="60" w:type="dxa"/>
              <w:right w:w="100" w:type="dxa"/>
            </w:tcMar>
          </w:tcPr>
          <w:p>
            <w:pPr>
              <w:spacing w:after="0" w:line="240" w:lineRule="auto"/>
            </w:pPr>
            <w:r>
              <w:rPr>
                <w:sz w:val="20"/>
              </w:rPr>
              <w:t>Live request</w:t>
            </w:r>
          </w:p>
        </w:tc>
        <w:tc>
          <w:tcPr>
            <w:tcW w:type="dxa" w:w="6803"/>
            <w:tcMar>
              <w:top w:w="60" w:type="dxa"/>
              <w:left w:w="100" w:type="dxa"/>
              <w:bottom w:w="60" w:type="dxa"/>
              <w:right w:w="100" w:type="dxa"/>
            </w:tcMar>
          </w:tcPr>
          <w:p>
            <w:pPr>
              <w:spacing w:after="0" w:line="240" w:lineRule="auto"/>
            </w:pPr>
            <w:r>
              <w:rPr>
                <w:sz w:val="20"/>
              </w:rPr>
              <w:t>400 ms total, 80 ms CPU</w:t>
            </w:r>
          </w:p>
        </w:tc>
      </w:tr>
    </w:tbl>
    <w:p>
      <w:pPr>
        <w:spacing w:after="120"/>
      </w:pPr>
    </w:p>
    <w:sectPr w:rsidR="00A20BD4">
      <w:headerReference w:type="default" r:id="rId16"/>
      <w:footerReference w:type="default" r:id="rId17"/>
      <w:headerReference w:type="first" r:id="rId18"/>
      <w:footerReference w:type="first" r:id="rId19"/>
      <w:pgSz w:w="11906" w:h="16838"/>
      <w:pgMar w:top="108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240"/>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6"/>
      <w:szCs w:val="26"/>
    </w:rPr>
  </w:style>
  <w:style w:type="paragraph" w:styleId="Heading3">
    <w:name w:val="heading 3"/>
    <w:uiPriority w:val="9"/>
    <w:semiHidden/>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Skyline Weather: Detailed Project Report</dc:title>
  <dc:creator>Anamay Narkar</dc:creator>
  <cp:lastModifiedBy>Anamay Narkar</cp:lastModifiedBy>
  <cp:revision>7</cp:revision>
  <dcterms:created xsi:type="dcterms:W3CDTF">2026-10-02T14:18:00Z</dcterms:created>
  <dcterms:modified xsi:type="dcterms:W3CDTF">2026-10-06T15:44:00Z</dcterms:modified>
</cp:coreProperties>
</file>