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Overview</w:t>
      </w:r>
    </w:p>
    <w:p>
      <w:r>
        <w:t>MSA-ACME-GLB-2021-003. Term Jan–Dec 2024. ACV $8,400,000. Annual upfront payment.</w:t>
      </w:r>
    </w:p>
    <w:p>
      <w:pPr>
        <w:pStyle w:val="Heading1"/>
      </w:pPr>
      <w:r>
        <w:t>SLA Commitments</w:t>
      </w:r>
    </w:p>
    <w:p>
      <w:r>
        <w:t>Uptime 99.9% monthly. P1 resolution within 4 hours. ISO 27001 cert by Q3 2024.</w:t>
      </w:r>
    </w:p>
    <w:p>
      <w:pPr>
        <w:pStyle w:val="Heading1"/>
      </w:pPr>
      <w:r>
        <w:t>Termination Clause</w:t>
      </w:r>
    </w:p>
    <w:p>
      <w:r>
        <w:t>Globex may terminate for cause if 3+ P1 SLA breaches in rolling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