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DB" w:rsidRDefault="005073DB">
      <w:pPr>
        <w:ind w:firstLine="360"/>
        <w:jc w:val="center"/>
        <w:rPr>
          <w:rFonts w:ascii="Verdana" w:eastAsia="Verdana" w:hAnsi="Verdana" w:cs="Verdana"/>
          <w:sz w:val="20"/>
          <w:szCs w:val="20"/>
        </w:rPr>
      </w:pPr>
    </w:p>
    <w:p w:rsidR="005073DB" w:rsidRDefault="005073DB">
      <w:pPr>
        <w:ind w:firstLine="360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1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3945"/>
      </w:tblGrid>
      <w:tr w:rsidR="005073DB">
        <w:trPr>
          <w:trHeight w:val="860"/>
        </w:trPr>
        <w:tc>
          <w:tcPr>
            <w:tcW w:w="8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DB" w:rsidRDefault="00B3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hyperlink r:id="rId7">
              <w:r>
                <w:rPr>
                  <w:rFonts w:ascii="Verdana" w:eastAsia="Verdana" w:hAnsi="Verdana" w:cs="Verdana"/>
                  <w:noProof/>
                  <w:color w:val="1155CC"/>
                  <w:sz w:val="20"/>
                  <w:szCs w:val="20"/>
                  <w:u w:val="single"/>
                </w:rPr>
                <w:drawing>
                  <wp:inline distT="114300" distB="114300" distL="114300" distR="114300">
                    <wp:extent cx="1914525" cy="361950"/>
                    <wp:effectExtent l="0" t="0" r="0" b="0"/>
                    <wp:docPr id="1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14525" cy="3619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3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DB" w:rsidRDefault="00B3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 xml:space="preserve">Free Tax E-Filing For </w:t>
            </w:r>
          </w:p>
          <w:p w:rsidR="005073DB" w:rsidRDefault="00B31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SAP employees</w:t>
            </w:r>
          </w:p>
        </w:tc>
      </w:tr>
    </w:tbl>
    <w:p w:rsidR="005073DB" w:rsidRDefault="00B31997">
      <w:pPr>
        <w:ind w:firstLine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</w:t>
      </w:r>
    </w:p>
    <w:p w:rsidR="005073DB" w:rsidRDefault="00127B7F">
      <w:pPr>
        <w:ind w:firstLine="360"/>
        <w:jc w:val="center"/>
        <w:rPr>
          <w:rFonts w:ascii="Verdana" w:eastAsia="Verdana" w:hAnsi="Verdana" w:cs="Verdana"/>
          <w:sz w:val="20"/>
          <w:szCs w:val="20"/>
        </w:rPr>
      </w:pPr>
      <w:hyperlink r:id="rId9">
        <w:r w:rsidR="00B31997">
          <w:rPr>
            <w:rFonts w:ascii="Verdana" w:eastAsia="Verdana" w:hAnsi="Verdana" w:cs="Verdana"/>
            <w:noProof/>
            <w:color w:val="1155CC"/>
            <w:sz w:val="20"/>
            <w:szCs w:val="20"/>
            <w:u w:val="single"/>
          </w:rPr>
          <w:drawing>
            <wp:inline distT="114300" distB="114300" distL="114300" distR="114300">
              <wp:extent cx="7374948" cy="2386013"/>
              <wp:effectExtent l="0" t="0" r="0" b="0"/>
              <wp:docPr id="3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74948" cy="23860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5073DB" w:rsidRDefault="00B31997">
      <w:pPr>
        <w:rPr>
          <w:color w:val="202020"/>
          <w:sz w:val="21"/>
          <w:szCs w:val="21"/>
          <w:highlight w:val="white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</w:t>
      </w:r>
    </w:p>
    <w:p w:rsidR="005073DB" w:rsidRDefault="00127B7F">
      <w:pPr>
        <w:ind w:left="900"/>
        <w:rPr>
          <w:color w:val="202020"/>
          <w:sz w:val="21"/>
          <w:szCs w:val="21"/>
          <w:highlight w:val="white"/>
        </w:rPr>
      </w:pPr>
      <w:hyperlink r:id="rId11">
        <w:proofErr w:type="spellStart"/>
        <w:r w:rsidR="00B31997">
          <w:rPr>
            <w:color w:val="1155CC"/>
            <w:sz w:val="21"/>
            <w:szCs w:val="21"/>
            <w:highlight w:val="white"/>
            <w:u w:val="single"/>
          </w:rPr>
          <w:t>ClearTax</w:t>
        </w:r>
        <w:proofErr w:type="spellEnd"/>
        <w:r w:rsidR="00B31997">
          <w:rPr>
            <w:color w:val="1155CC"/>
            <w:sz w:val="21"/>
            <w:szCs w:val="21"/>
            <w:highlight w:val="white"/>
            <w:u w:val="single"/>
          </w:rPr>
          <w:t>,</w:t>
        </w:r>
      </w:hyperlink>
      <w:r w:rsidR="00B31997">
        <w:rPr>
          <w:color w:val="202020"/>
          <w:sz w:val="21"/>
          <w:szCs w:val="21"/>
          <w:highlight w:val="white"/>
        </w:rPr>
        <w:t xml:space="preserve"> India's largest E-filing website offers completely free of cost e-filing for all Deloitte employees. The last date for e-filing is 31st August 2019.</w:t>
      </w:r>
    </w:p>
    <w:p w:rsidR="005073DB" w:rsidRDefault="005073DB">
      <w:pPr>
        <w:ind w:left="1350"/>
        <w:rPr>
          <w:color w:val="202020"/>
          <w:sz w:val="21"/>
          <w:szCs w:val="21"/>
          <w:highlight w:val="white"/>
        </w:rPr>
      </w:pPr>
    </w:p>
    <w:p w:rsidR="005073DB" w:rsidRDefault="00B31997">
      <w:pPr>
        <w:ind w:left="900"/>
        <w:rPr>
          <w:color w:val="202020"/>
          <w:sz w:val="21"/>
          <w:szCs w:val="21"/>
          <w:highlight w:val="white"/>
        </w:rPr>
      </w:pPr>
      <w:r>
        <w:rPr>
          <w:color w:val="202020"/>
          <w:sz w:val="21"/>
          <w:szCs w:val="21"/>
          <w:highlight w:val="white"/>
        </w:rPr>
        <w:t xml:space="preserve">You just need to upload your Form-16 PDF on </w:t>
      </w:r>
      <w:proofErr w:type="spellStart"/>
      <w:r>
        <w:rPr>
          <w:color w:val="202020"/>
          <w:sz w:val="21"/>
          <w:szCs w:val="21"/>
          <w:highlight w:val="white"/>
        </w:rPr>
        <w:t>ClearTax</w:t>
      </w:r>
      <w:proofErr w:type="spellEnd"/>
      <w:r>
        <w:rPr>
          <w:color w:val="202020"/>
          <w:sz w:val="21"/>
          <w:szCs w:val="21"/>
          <w:highlight w:val="white"/>
        </w:rPr>
        <w:t xml:space="preserve"> to e-file.</w:t>
      </w:r>
    </w:p>
    <w:p w:rsidR="005073DB" w:rsidRDefault="005073DB">
      <w:pPr>
        <w:rPr>
          <w:rFonts w:ascii="Verdana" w:eastAsia="Verdana" w:hAnsi="Verdana" w:cs="Verdana"/>
          <w:sz w:val="20"/>
          <w:szCs w:val="20"/>
          <w:highlight w:val="white"/>
        </w:rPr>
      </w:pPr>
    </w:p>
    <w:p w:rsidR="005073DB" w:rsidRDefault="00127B7F">
      <w:pPr>
        <w:ind w:left="180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  <w:hyperlink r:id="rId12">
        <w:r w:rsidR="00B31997">
          <w:rPr>
            <w:rFonts w:ascii="Verdana" w:eastAsia="Verdana" w:hAnsi="Verdana" w:cs="Verdana"/>
            <w:noProof/>
            <w:color w:val="1155CC"/>
            <w:sz w:val="20"/>
            <w:szCs w:val="20"/>
            <w:highlight w:val="white"/>
            <w:u w:val="single"/>
          </w:rPr>
          <w:drawing>
            <wp:inline distT="114300" distB="114300" distL="114300" distR="114300">
              <wp:extent cx="6091238" cy="1248570"/>
              <wp:effectExtent l="0" t="0" r="0" b="0"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1238" cy="124857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5073DB" w:rsidRDefault="00127B7F">
      <w:pPr>
        <w:ind w:left="4500" w:firstLine="180"/>
        <w:rPr>
          <w:sz w:val="21"/>
          <w:szCs w:val="21"/>
          <w:highlight w:val="white"/>
        </w:rPr>
      </w:pPr>
      <w:hyperlink r:id="rId14">
        <w:r w:rsidR="00B31997">
          <w:rPr>
            <w:noProof/>
            <w:color w:val="1155CC"/>
            <w:sz w:val="21"/>
            <w:szCs w:val="21"/>
            <w:highlight w:val="white"/>
            <w:u w:val="single"/>
          </w:rPr>
          <w:drawing>
            <wp:inline distT="114300" distB="114300" distL="114300" distR="114300">
              <wp:extent cx="1800225" cy="657225"/>
              <wp:effectExtent l="0" t="0" r="0" b="0"/>
              <wp:docPr id="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6572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5073DB" w:rsidRDefault="00B31997">
      <w:pPr>
        <w:ind w:left="990" w:firstLine="18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You can also e-File on </w:t>
      </w:r>
      <w:hyperlink r:id="rId16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ClearTax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</w:t>
        </w:r>
      </w:hyperlink>
      <w:r>
        <w:rPr>
          <w:sz w:val="21"/>
          <w:szCs w:val="21"/>
          <w:highlight w:val="white"/>
        </w:rPr>
        <w:t>completely FREE for:</w:t>
      </w:r>
    </w:p>
    <w:p w:rsidR="005073DB" w:rsidRDefault="005073DB">
      <w:pPr>
        <w:ind w:left="990" w:firstLine="180"/>
        <w:rPr>
          <w:sz w:val="21"/>
          <w:szCs w:val="21"/>
          <w:highlight w:val="white"/>
        </w:rPr>
      </w:pPr>
    </w:p>
    <w:p w:rsidR="005073DB" w:rsidRDefault="00B31997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Single Form-16 Income, Multiple Form-16 Income.</w:t>
      </w:r>
    </w:p>
    <w:p w:rsidR="005073DB" w:rsidRDefault="00B31997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Other Income (Interest, FD, etc.), Multiple House Property.</w:t>
      </w:r>
    </w:p>
    <w:p w:rsidR="005073DB" w:rsidRDefault="00B31997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Capital Gains.</w:t>
      </w:r>
    </w:p>
    <w:p w:rsidR="005073DB" w:rsidRDefault="00B31997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Foreign Income, NRI Tax Filing.</w:t>
      </w:r>
    </w:p>
    <w:p w:rsidR="005073DB" w:rsidRDefault="00B3199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For any Income Tax queries, please email </w:t>
      </w:r>
      <w:hyperlink r:id="rId17">
        <w:r>
          <w:rPr>
            <w:color w:val="1155CC"/>
            <w:sz w:val="21"/>
            <w:szCs w:val="21"/>
            <w:highlight w:val="white"/>
            <w:u w:val="single"/>
          </w:rPr>
          <w:t>ClearTax</w:t>
        </w:r>
      </w:hyperlink>
      <w:r>
        <w:rPr>
          <w:sz w:val="21"/>
          <w:szCs w:val="21"/>
          <w:highlight w:val="white"/>
        </w:rPr>
        <w:t xml:space="preserve"> at </w:t>
      </w:r>
      <w:hyperlink r:id="rId18">
        <w:r>
          <w:rPr>
            <w:color w:val="1155CC"/>
            <w:sz w:val="21"/>
            <w:szCs w:val="21"/>
            <w:highlight w:val="white"/>
            <w:u w:val="single"/>
          </w:rPr>
          <w:t>support@cleartax.in</w:t>
        </w:r>
      </w:hyperlink>
    </w:p>
    <w:p w:rsidR="005073DB" w:rsidRDefault="00B31997">
      <w:pPr>
        <w:ind w:left="468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hyperlink r:id="rId19">
        <w:r>
          <w:rPr>
            <w:rFonts w:ascii="Verdana" w:eastAsia="Verdana" w:hAnsi="Verdana" w:cs="Verdana"/>
            <w:noProof/>
            <w:color w:val="1155CC"/>
            <w:sz w:val="20"/>
            <w:szCs w:val="20"/>
            <w:highlight w:val="white"/>
            <w:u w:val="single"/>
          </w:rPr>
          <w:drawing>
            <wp:inline distT="114300" distB="114300" distL="114300" distR="114300">
              <wp:extent cx="1733550" cy="590550"/>
              <wp:effectExtent l="0" t="0" r="0" b="0"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3550" cy="5905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5073DB" w:rsidRDefault="005073DB">
      <w:pPr>
        <w:rPr>
          <w:rFonts w:ascii="Verdana" w:eastAsia="Verdana" w:hAnsi="Verdana" w:cs="Verdana"/>
          <w:sz w:val="28"/>
          <w:szCs w:val="28"/>
          <w:highlight w:val="white"/>
        </w:rPr>
      </w:pPr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  <w:r>
        <w:rPr>
          <w:rFonts w:ascii="Verdana" w:eastAsia="Verdana" w:hAnsi="Verdana" w:cs="Verdana"/>
          <w:sz w:val="28"/>
          <w:szCs w:val="28"/>
          <w:highlight w:val="white"/>
        </w:rPr>
        <w:t xml:space="preserve">     Email ID’s to contact </w:t>
      </w:r>
      <w:proofErr w:type="spellStart"/>
      <w:r>
        <w:rPr>
          <w:rFonts w:ascii="Verdana" w:eastAsia="Verdana" w:hAnsi="Verdana" w:cs="Verdana"/>
          <w:sz w:val="28"/>
          <w:szCs w:val="28"/>
          <w:highlight w:val="white"/>
        </w:rPr>
        <w:t>Clearta</w:t>
      </w:r>
      <w:r w:rsidR="00FB6687">
        <w:rPr>
          <w:rFonts w:ascii="Verdana" w:eastAsia="Verdana" w:hAnsi="Verdana" w:cs="Verdana"/>
          <w:sz w:val="28"/>
          <w:szCs w:val="28"/>
          <w:highlight w:val="white"/>
        </w:rPr>
        <w:t>x</w:t>
      </w:r>
      <w:proofErr w:type="spellEnd"/>
    </w:p>
    <w:p w:rsidR="00B31997" w:rsidRDefault="00B31997" w:rsidP="00B319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Email id to contact </w:t>
      </w:r>
      <w:proofErr w:type="spellStart"/>
      <w:r>
        <w:t>cleartax</w:t>
      </w:r>
      <w:proofErr w:type="spellEnd"/>
      <w:r>
        <w:t xml:space="preserve">- </w:t>
      </w:r>
      <w:hyperlink r:id="rId21" w:history="1">
        <w:r>
          <w:rPr>
            <w:rStyle w:val="Hyperlink"/>
          </w:rPr>
          <w:t>sneha.yadav@cleartax.in</w:t>
        </w:r>
      </w:hyperlink>
      <w:r>
        <w:t xml:space="preserve"> , </w:t>
      </w:r>
      <w:hyperlink r:id="rId22" w:history="1">
        <w:r>
          <w:rPr>
            <w:rStyle w:val="Hyperlink"/>
          </w:rPr>
          <w:t>support@cleartax.in</w:t>
        </w:r>
      </w:hyperlink>
    </w:p>
    <w:p w:rsidR="00B31997" w:rsidRDefault="00B31997" w:rsidP="00B31997">
      <w:pPr>
        <w:spacing w:before="100" w:beforeAutospacing="1" w:after="100" w:afterAutospacing="1" w:line="240" w:lineRule="auto"/>
        <w:ind w:left="720"/>
      </w:pPr>
    </w:p>
    <w:p w:rsidR="00B31997" w:rsidRDefault="00B31997" w:rsidP="00B319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Escalation Email Ids-</w:t>
      </w:r>
    </w:p>
    <w:p w:rsidR="00B31997" w:rsidRDefault="00B31997" w:rsidP="00B319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Level I -</w:t>
      </w:r>
      <w:hyperlink r:id="rId23" w:history="1">
        <w:r>
          <w:rPr>
            <w:rStyle w:val="Hyperlink"/>
          </w:rPr>
          <w:t>support@cleartax.in</w:t>
        </w:r>
      </w:hyperlink>
      <w:r>
        <w:t> </w:t>
      </w:r>
    </w:p>
    <w:p w:rsidR="00B31997" w:rsidRDefault="00B31997" w:rsidP="00B319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Level II - </w:t>
      </w:r>
      <w:hyperlink r:id="rId24" w:history="1">
        <w:r>
          <w:rPr>
            <w:rStyle w:val="Hyperlink"/>
          </w:rPr>
          <w:t>sneha.yadav@cleartax.in</w:t>
        </w:r>
      </w:hyperlink>
    </w:p>
    <w:p w:rsidR="00B31997" w:rsidRDefault="00B31997" w:rsidP="00B319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Level III - </w:t>
      </w:r>
      <w:hyperlink r:id="rId25" w:history="1">
        <w:r>
          <w:rPr>
            <w:rStyle w:val="Hyperlink"/>
          </w:rPr>
          <w:t>shrutisagar@cleartax.in</w:t>
        </w:r>
      </w:hyperlink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</w:p>
    <w:p w:rsidR="00B31997" w:rsidRDefault="00B31997">
      <w:pPr>
        <w:rPr>
          <w:rFonts w:ascii="Verdana" w:eastAsia="Verdana" w:hAnsi="Verdana" w:cs="Verdana"/>
          <w:sz w:val="28"/>
          <w:szCs w:val="28"/>
          <w:highlight w:val="white"/>
        </w:rPr>
      </w:pPr>
      <w:bookmarkStart w:id="0" w:name="_GoBack"/>
      <w:bookmarkEnd w:id="0"/>
    </w:p>
    <w:sectPr w:rsidR="00B31997">
      <w:headerReference w:type="default" r:id="rId26"/>
      <w:pgSz w:w="12240" w:h="15840"/>
      <w:pgMar w:top="90" w:right="270" w:bottom="144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B7F" w:rsidRDefault="00127B7F">
      <w:pPr>
        <w:spacing w:line="240" w:lineRule="auto"/>
      </w:pPr>
      <w:r>
        <w:separator/>
      </w:r>
    </w:p>
  </w:endnote>
  <w:endnote w:type="continuationSeparator" w:id="0">
    <w:p w:rsidR="00127B7F" w:rsidRDefault="00127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B7F" w:rsidRDefault="00127B7F">
      <w:pPr>
        <w:spacing w:line="240" w:lineRule="auto"/>
      </w:pPr>
      <w:r>
        <w:separator/>
      </w:r>
    </w:p>
  </w:footnote>
  <w:footnote w:type="continuationSeparator" w:id="0">
    <w:p w:rsidR="00127B7F" w:rsidRDefault="00127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3DB" w:rsidRDefault="005073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B5"/>
    <w:multiLevelType w:val="multilevel"/>
    <w:tmpl w:val="DF5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0C4"/>
    <w:multiLevelType w:val="multilevel"/>
    <w:tmpl w:val="AFA277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6A20831"/>
    <w:multiLevelType w:val="multilevel"/>
    <w:tmpl w:val="DD86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DB"/>
    <w:rsid w:val="00127B7F"/>
    <w:rsid w:val="005073DB"/>
    <w:rsid w:val="006C1FD8"/>
    <w:rsid w:val="00B31997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E310"/>
  <w15:docId w15:val="{85FE0C59-9DC4-4C43-B79E-88DF9D7A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31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mailto:support@cleartax.in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mailto:sneha.yadav@cleartax.in" TargetMode="External"/><Relationship Id="rId7" Type="http://schemas.openxmlformats.org/officeDocument/2006/relationships/hyperlink" Target="https://cleartax.in/s/partner-sap-labs/" TargetMode="External"/><Relationship Id="rId12" Type="http://schemas.openxmlformats.org/officeDocument/2006/relationships/hyperlink" Target="https://cleartax.in/s/partner-sap-labs/" TargetMode="External"/><Relationship Id="rId17" Type="http://schemas.openxmlformats.org/officeDocument/2006/relationships/hyperlink" Target="https://cleartax.in/s/partner-sap-labs/" TargetMode="External"/><Relationship Id="rId25" Type="http://schemas.openxmlformats.org/officeDocument/2006/relationships/hyperlink" Target="mailto:shrutisagar@cleartax.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eartax.in/s/partner-sap-labs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eartax.in/s/partner-sap-labs/" TargetMode="External"/><Relationship Id="rId24" Type="http://schemas.openxmlformats.org/officeDocument/2006/relationships/hyperlink" Target="mailto:sneha.yadav@cleartax.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mailto:support@cleartax.i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leartax.in/s/partner-sap-la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artax.in/s/partner-sap-labs/" TargetMode="External"/><Relationship Id="rId14" Type="http://schemas.openxmlformats.org/officeDocument/2006/relationships/hyperlink" Target="https://cleartax.in/s/partner-sap-labs/" TargetMode="External"/><Relationship Id="rId22" Type="http://schemas.openxmlformats.org/officeDocument/2006/relationships/hyperlink" Target="mailto:support@cleartax.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Bhuvaneshwari</dc:creator>
  <cp:lastModifiedBy>K, Bhuvaneshwari</cp:lastModifiedBy>
  <cp:revision>3</cp:revision>
  <dcterms:created xsi:type="dcterms:W3CDTF">2019-07-24T10:27:00Z</dcterms:created>
  <dcterms:modified xsi:type="dcterms:W3CDTF">2019-07-25T06:38:00Z</dcterms:modified>
</cp:coreProperties>
</file>