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Trader Performance vs. Bitcoin Market Sentiment</w:t>
      </w:r>
    </w:p>
    <w:p>
      <w:pPr>
        <w:spacing w:after="400"/>
        <w:jc w:val="center"/>
      </w:pPr>
      <w:r>
        <w:rPr>
          <w:i/>
          <w:iCs/>
          <w:color w:val="555555"/>
          <w:sz w:val="24"/>
          <w:szCs w:val="24"/>
        </w:rPr>
        <w:t xml:space="preserve">Data Science Assignment — Primetrade.ai</w:t>
      </w:r>
    </w:p>
    <w:p>
      <w:pPr>
        <w:pStyle w:val="Heading1"/>
        <w:spacing w:after="150" w:before="300"/>
      </w:pPr>
      <w:r>
        <w:t xml:space="preserve">1. Objective</w:t>
      </w:r>
    </w:p>
    <w:p>
      <w:pPr>
        <w:spacing w:after="120"/>
      </w:pPr>
      <w:r>
        <w:t xml:space="preserve">This analysis explores the relationship between Bitcoin market sentiment (Fear/Greed Index) and trader performance using historical trading data from Hyperliquid. The goal is to uncover patterns that could inform smarter trading strategies.</w:t>
      </w:r>
    </w:p>
    <w:p>
      <w:pPr>
        <w:pStyle w:val="Heading1"/>
        <w:spacing w:after="150" w:before="300"/>
      </w:pPr>
      <w:r>
        <w:t xml:space="preserve">2. Data Overview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Trader Dataset: 211,224 individual trade executions across multiple accounts and coins (Account, Coin, Execution Price, Size, Side, Closed PnL, Leverage-related fields, Timestamp, etc.)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Sentiment Dataset: Daily Fear &amp; Greed Index classification (Extreme Fear, Fear, Neutral, Greed, Extreme Greed) from 2018–2025.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Datasets were merged on trade date. Only 6 of 211,224 trades (&lt;0.01%) had no matching sentiment value and were excluded.</w:t>
      </w:r>
    </w:p>
    <w:p>
      <w:pPr>
        <w:pStyle w:val="Heading1"/>
        <w:spacing w:after="150" w:before="300"/>
      </w:pPr>
      <w:r>
        <w:t xml:space="preserve">3. Key Findings</w:t>
      </w:r>
    </w:p>
    <w:p>
      <w:pPr>
        <w:pStyle w:val="Heading2"/>
        <w:spacing w:after="120" w:before="250"/>
      </w:pPr>
      <w:r>
        <w:t xml:space="preserve">3.1 Profitability by Sentiment</w:t>
      </w:r>
    </w:p>
    <w:p>
      <w:pPr>
        <w:spacing w:after="120"/>
      </w:pPr>
      <w:r>
        <w:t xml:space="preserve">Average Closed PnL per trade is highest during Extreme Greed and lowest during Extreme Fear and Neutral periods:</w:t>
      </w:r>
    </w:p>
    <w:p>
      <w:pPr>
        <w:spacing w:after="200"/>
        <w:jc w:val="center"/>
      </w:pPr>
      <w:r>
        <w:drawing>
          <wp:inline distT="0" distB="0" distL="0" distR="0">
            <wp:extent cx="4762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Sentiment</w:t>
            </w:r>
          </w:p>
        </w:tc>
        <w:tc>
          <w:tcPr>
            <w:tcW w:type="dxa" w:w="225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Avg PnL/Trade ($)</w:t>
            </w:r>
          </w:p>
        </w:tc>
        <w:tc>
          <w:tcPr>
            <w:tcW w:type="dxa" w:w="225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Total PnL ($)</w:t>
            </w:r>
          </w:p>
        </w:tc>
        <w:tc>
          <w:tcPr>
            <w:tcW w:type="dxa" w:w="225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Trade Count</w:t>
            </w:r>
          </w:p>
        </w:tc>
      </w:tr>
      <w:tr>
        <w:tc>
          <w:tcPr>
            <w:tcW w:type="dxa" w:w="2250"/>
          </w:tcPr>
          <w:p>
            <w:r>
              <w:t xml:space="preserve">Extreme Fear</w:t>
            </w:r>
          </w:p>
        </w:tc>
        <w:tc>
          <w:tcPr>
            <w:tcW w:type="dxa" w:w="2250"/>
          </w:tcPr>
          <w:p>
            <w:r>
              <w:t xml:space="preserve">34.54</w:t>
            </w:r>
          </w:p>
        </w:tc>
        <w:tc>
          <w:tcPr>
            <w:tcW w:type="dxa" w:w="2250"/>
          </w:tcPr>
          <w:p>
            <w:r>
              <w:t xml:space="preserve">739,110</w:t>
            </w:r>
          </w:p>
        </w:tc>
        <w:tc>
          <w:tcPr>
            <w:tcW w:type="dxa" w:w="2250"/>
          </w:tcPr>
          <w:p>
            <w:r>
              <w:t xml:space="preserve">21,400</w:t>
            </w:r>
          </w:p>
        </w:tc>
      </w:tr>
      <w:tr>
        <w:tc>
          <w:tcPr>
            <w:tcW w:type="dxa" w:w="2250"/>
          </w:tcPr>
          <w:p>
            <w:r>
              <w:t xml:space="preserve">Fear</w:t>
            </w:r>
          </w:p>
        </w:tc>
        <w:tc>
          <w:tcPr>
            <w:tcW w:type="dxa" w:w="2250"/>
          </w:tcPr>
          <w:p>
            <w:r>
              <w:t xml:space="preserve">54.29</w:t>
            </w:r>
          </w:p>
        </w:tc>
        <w:tc>
          <w:tcPr>
            <w:tcW w:type="dxa" w:w="2250"/>
          </w:tcPr>
          <w:p>
            <w:r>
              <w:t xml:space="preserve">3,357,155</w:t>
            </w:r>
          </w:p>
        </w:tc>
        <w:tc>
          <w:tcPr>
            <w:tcW w:type="dxa" w:w="2250"/>
          </w:tcPr>
          <w:p>
            <w:r>
              <w:t xml:space="preserve">61,837</w:t>
            </w:r>
          </w:p>
        </w:tc>
      </w:tr>
      <w:tr>
        <w:tc>
          <w:tcPr>
            <w:tcW w:type="dxa" w:w="2250"/>
          </w:tcPr>
          <w:p>
            <w:r>
              <w:t xml:space="preserve">Neutral</w:t>
            </w:r>
          </w:p>
        </w:tc>
        <w:tc>
          <w:tcPr>
            <w:tcW w:type="dxa" w:w="2250"/>
          </w:tcPr>
          <w:p>
            <w:r>
              <w:t xml:space="preserve">34.31</w:t>
            </w:r>
          </w:p>
        </w:tc>
        <w:tc>
          <w:tcPr>
            <w:tcW w:type="dxa" w:w="2250"/>
          </w:tcPr>
          <w:p>
            <w:r>
              <w:t xml:space="preserve">1,292,921</w:t>
            </w:r>
          </w:p>
        </w:tc>
        <w:tc>
          <w:tcPr>
            <w:tcW w:type="dxa" w:w="2250"/>
          </w:tcPr>
          <w:p>
            <w:r>
              <w:t xml:space="preserve">37,686</w:t>
            </w:r>
          </w:p>
        </w:tc>
      </w:tr>
      <w:tr>
        <w:tc>
          <w:tcPr>
            <w:tcW w:type="dxa" w:w="2250"/>
          </w:tcPr>
          <w:p>
            <w:r>
              <w:t xml:space="preserve">Greed</w:t>
            </w:r>
          </w:p>
        </w:tc>
        <w:tc>
          <w:tcPr>
            <w:tcW w:type="dxa" w:w="2250"/>
          </w:tcPr>
          <w:p>
            <w:r>
              <w:t xml:space="preserve">42.74</w:t>
            </w:r>
          </w:p>
        </w:tc>
        <w:tc>
          <w:tcPr>
            <w:tcW w:type="dxa" w:w="2250"/>
          </w:tcPr>
          <w:p>
            <w:r>
              <w:t xml:space="preserve">2,150,129</w:t>
            </w:r>
          </w:p>
        </w:tc>
        <w:tc>
          <w:tcPr>
            <w:tcW w:type="dxa" w:w="2250"/>
          </w:tcPr>
          <w:p>
            <w:r>
              <w:t xml:space="preserve">50,303</w:t>
            </w:r>
          </w:p>
        </w:tc>
      </w:tr>
      <w:tr>
        <w:tc>
          <w:tcPr>
            <w:tcW w:type="dxa" w:w="2250"/>
          </w:tcPr>
          <w:p>
            <w:r>
              <w:t xml:space="preserve">Extreme Greed</w:t>
            </w:r>
          </w:p>
        </w:tc>
        <w:tc>
          <w:tcPr>
            <w:tcW w:type="dxa" w:w="2250"/>
          </w:tcPr>
          <w:p>
            <w:r>
              <w:t xml:space="preserve">67.89</w:t>
            </w:r>
          </w:p>
        </w:tc>
        <w:tc>
          <w:tcPr>
            <w:tcW w:type="dxa" w:w="2250"/>
          </w:tcPr>
          <w:p>
            <w:r>
              <w:t xml:space="preserve">2,715,171</w:t>
            </w:r>
          </w:p>
        </w:tc>
        <w:tc>
          <w:tcPr>
            <w:tcW w:type="dxa" w:w="2250"/>
          </w:tcPr>
          <w:p>
            <w:r>
              <w:t xml:space="preserve">39,992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Insight: Extreme Greed periods produced the highest average profit per trade (~$68), nearly double the Neutral/Extreme Fear average (~$34). Fear periods also showed strong average PnL, suggesting traders on this platform capture value both when sentiment is fearful (buying dips) and when it's extremely greedy (riding momentum) — the worst zone is 'Neutral', where conviction and directional moves are weaker.</w:t>
      </w:r>
    </w:p>
    <w:p>
      <w:pPr>
        <w:pStyle w:val="Heading2"/>
        <w:spacing w:after="120" w:before="250"/>
      </w:pPr>
      <w:r>
        <w:t xml:space="preserve">3.2 Win Rate by Sentiment</w:t>
      </w:r>
    </w:p>
    <w:p>
      <w:pPr>
        <w:spacing w:after="200"/>
        <w:jc w:val="center"/>
      </w:pPr>
      <w:r>
        <w:drawing>
          <wp:inline distT="0" distB="0" distL="0" distR="0">
            <wp:extent cx="3810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Win rate (share of trades closed with positive PnL) is fairly stable across regimes (~40-42%), slightly higher during Greed (42.0%) and lowest during Neutral (39.7%). This suggests sentiment affects the SIZE of wins/losses more than the FREQUENCY of winning trades.</w:t>
      </w:r>
    </w:p>
    <w:p>
      <w:pPr>
        <w:pStyle w:val="Heading2"/>
        <w:spacing w:after="120" w:before="250"/>
      </w:pPr>
      <w:r>
        <w:t xml:space="preserve">3.3 Trade Size by Sentiment</w:t>
      </w:r>
    </w:p>
    <w:p>
      <w:pPr>
        <w:spacing w:after="200"/>
        <w:jc w:val="center"/>
      </w:pPr>
      <w:r>
        <w:drawing>
          <wp:inline distT="0" distB="0" distL="0" distR="0">
            <wp:extent cx="3810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Traders place noticeably larger trades during Fear (~$7,182 avg) compared to Neutral (~$4,783) and Greed (~$4,574). This indicates traders take bigger positions when sentiment is fearful — potentially a contrarian/dip-buying behavior or larger risk-taking during volatile downturns.</w:t>
      </w:r>
    </w:p>
    <w:p>
      <w:pPr>
        <w:pStyle w:val="Heading2"/>
        <w:spacing w:after="120" w:before="250"/>
      </w:pPr>
      <w:r>
        <w:t xml:space="preserve">3.4 Trading Activity Volume</w:t>
      </w:r>
    </w:p>
    <w:p>
      <w:pPr>
        <w:spacing w:after="200"/>
        <w:jc w:val="center"/>
      </w:pPr>
      <w:r>
        <w:drawing>
          <wp:inline distT="0" distB="0" distL="0" distR="0">
            <wp:extent cx="4762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The highest trading activity occurs during 'Fear' (61,837 trades) followed by 'Greed' (50,303) — far more than 'Extreme Fear' or 'Extreme Greed'. This suggests most trading activity happens in moderately emotional markets rather than at sentiment extremes, where liquidity/participation may thin out.</w:t>
      </w:r>
    </w:p>
    <w:p>
      <w:pPr>
        <w:pStyle w:val="Heading2"/>
        <w:spacing w:after="120" w:before="250"/>
      </w:pPr>
      <w:r>
        <w:t xml:space="preserve">3.5 Buy/Sell Bias by Sentiment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Sentiment</w:t>
            </w:r>
          </w:p>
        </w:tc>
        <w:tc>
          <w:tcPr>
            <w:tcW w:type="dxa" w:w="30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% Buy</w:t>
            </w:r>
          </w:p>
        </w:tc>
        <w:tc>
          <w:tcPr>
            <w:tcW w:type="dxa" w:w="30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% Sell</w:t>
            </w:r>
          </w:p>
        </w:tc>
      </w:tr>
      <w:tr>
        <w:tc>
          <w:tcPr>
            <w:tcW w:type="dxa" w:w="3000"/>
          </w:tcPr>
          <w:p>
            <w:r>
              <w:t xml:space="preserve">Fear</w:t>
            </w:r>
          </w:p>
        </w:tc>
        <w:tc>
          <w:tcPr>
            <w:tcW w:type="dxa" w:w="3000"/>
          </w:tcPr>
          <w:p>
            <w:r>
              <w:t xml:space="preserve">49.5%</w:t>
            </w:r>
          </w:p>
        </w:tc>
        <w:tc>
          <w:tcPr>
            <w:tcW w:type="dxa" w:w="3000"/>
          </w:tcPr>
          <w:p>
            <w:r>
              <w:t xml:space="preserve">50.5%</w:t>
            </w:r>
          </w:p>
        </w:tc>
      </w:tr>
      <w:tr>
        <w:tc>
          <w:tcPr>
            <w:tcW w:type="dxa" w:w="3000"/>
          </w:tcPr>
          <w:p>
            <w:r>
              <w:t xml:space="preserve">Neutral</w:t>
            </w:r>
          </w:p>
        </w:tc>
        <w:tc>
          <w:tcPr>
            <w:tcW w:type="dxa" w:w="3000"/>
          </w:tcPr>
          <w:p>
            <w:r>
              <w:t xml:space="preserve">50.3%</w:t>
            </w:r>
          </w:p>
        </w:tc>
        <w:tc>
          <w:tcPr>
            <w:tcW w:type="dxa" w:w="3000"/>
          </w:tcPr>
          <w:p>
            <w:r>
              <w:t xml:space="preserve">49.7%</w:t>
            </w:r>
          </w:p>
        </w:tc>
      </w:tr>
      <w:tr>
        <w:tc>
          <w:tcPr>
            <w:tcW w:type="dxa" w:w="3000"/>
          </w:tcPr>
          <w:p>
            <w:r>
              <w:t xml:space="preserve">Greed</w:t>
            </w:r>
          </w:p>
        </w:tc>
        <w:tc>
          <w:tcPr>
            <w:tcW w:type="dxa" w:w="3000"/>
          </w:tcPr>
          <w:p>
            <w:r>
              <w:t xml:space="preserve">47.1%</w:t>
            </w:r>
          </w:p>
        </w:tc>
        <w:tc>
          <w:tcPr>
            <w:tcW w:type="dxa" w:w="3000"/>
          </w:tcPr>
          <w:p>
            <w:r>
              <w:t xml:space="preserve">52.9%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During Greed, traders sell slightly more than they buy (52.9% vs 47.1%) — consistent with profit-taking behavior as prices rise. During Fear/Neutral, buy/sell is close to balanced.</w:t>
      </w:r>
    </w:p>
    <w:p>
      <w:pPr>
        <w:pStyle w:val="Heading2"/>
        <w:spacing w:after="120" w:before="250"/>
      </w:pPr>
      <w:r>
        <w:t xml:space="preserve">3.6 Individual Trader Behavior</w:t>
      </w:r>
    </w:p>
    <w:p>
      <w:pPr>
        <w:spacing w:after="120"/>
      </w:pPr>
      <w:r>
        <w:t xml:space="preserve">Looking at the most active accounts individually, sentiment sensitivity varies a lot by trader — some accounts perform dramatically better during Greed (one top account averaged $217 PnL/trade in Greed vs $27 in Fear), while others perform best during Fear. This means sentiment-based strategy adjustments should likely be personalized rather than applied uniformly to all traders.</w:t>
      </w:r>
    </w:p>
    <w:p>
      <w:pPr>
        <w:pStyle w:val="Heading1"/>
        <w:spacing w:after="150" w:before="300"/>
      </w:pPr>
      <w:r>
        <w:t xml:space="preserve">4. Strategic Takeaways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Extreme Greed periods are the most profitable per trade on average — momentum/trend-following strategies may work best here, with attention to timely exits given the propensity to sell during Greed.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Fear periods attract larger position sizes — position-sizing risk controls (e.g., stricter leverage caps) may be warranted during Fear to avoid amplified losses on bigger bets.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Neutral sentiment is the weakest regime for profitability — may be a signal to reduce trading frequency or tighten strategy criteria when sentiment is flat.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Win rate doesn't vary much by sentiment (~40%), so profitability differences come from trade sizing and magnitude of wins/losses, not from picking more 'correct' trades — risk/reward management matters more than sentiment-based trade selection alone.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Trader-level heterogeneity is high — a single sentiment-based rule won't fit all accounts; segmenting traders by their historical sentiment sensitivity could improve strategy design.</w:t>
      </w:r>
    </w:p>
    <w:p>
      <w:pPr>
        <w:pStyle w:val="Heading1"/>
        <w:spacing w:after="150" w:before="300"/>
      </w:pPr>
      <w:r>
        <w:t xml:space="preserve">5. Methodology Notes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Tool: Python (pandas) for data cleaning, merging, and aggregation; matplotlib for visualization.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Trade dates were parsed from 'Timestamp IST' and matched to the Fear &amp; Greed Index by calendar date.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5-class sentiment (Extreme Fear → Extreme Greed) used for granular analysis; a simplified 3-class (Fear/Neutral/Greed) grouping used for win-rate, trade size, and buy/sell comparisons.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dc3903d5c20761e13f417a1efcd2fff83b3265c.png"/><Relationship Id="rId8" Type="http://schemas.openxmlformats.org/officeDocument/2006/relationships/image" Target="media/01b093e06459da19640a06453382186c274e6456.png"/><Relationship Id="rId9" Type="http://schemas.openxmlformats.org/officeDocument/2006/relationships/image" Target="media/87c038bc864c6664eb511e70943f08d2a951d81f.png"/><Relationship Id="rId10" Type="http://schemas.openxmlformats.org/officeDocument/2006/relationships/image" Target="media/48e8cfb3fb38214b3bb51faa524d4f05bec22f6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2026-07-04T16:50:02.098Z</dcterms:created>
  <dcterms:modified xsi:type="dcterms:W3CDTF">2026-07-04T16:50:02.098Z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