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709"/>
        <w:jc w:val="both"/>
      </w:pPr>
      <w:r>
        <w:rPr>
          <w:rFonts w:ascii="Times New Roman" w:hAnsi="Times New Roman" w:cs="Times New Roman"/>
          <w:rFonts w:ascii="Times New Roman" w:hAnsi="Times New Roman"/>
          <w:b/>
          <w:i w:val="0"/>
          <w:sz w:val="22"/>
          <w:u w:val="none"/>
        </w:rPr>
        <w:t>100506101</w:t>
      </w:r>
      <w:r>
        <w:rPr>
          <w:rFonts w:ascii="Times New Roman" w:hAnsi="Times New Roman" w:cs="Times New Roman"/>
          <w:rFonts w:ascii="Times New Roman" w:hAnsi="Times New Roman"/>
          <w:b w:val="0"/>
          <w:i w:val="0"/>
          <w:sz w:val="22"/>
          <w:u w:val="none"/>
        </w:rPr>
        <w:t xml:space="preserve">  </w:t>
      </w:r>
    </w:p>
    <w:p>
      <w:pPr>
        <w:spacing w:after="0" w:before="0"/>
        <w:ind w:firstLine="709"/>
        <w:jc w:val="both"/>
      </w:pPr>
      <w:r>
        <w:rPr>
          <w:rFonts w:ascii="Times New Roman" w:hAnsi="Times New Roman" w:cs="Times New Roman"/>
          <w:rFonts w:ascii="Times New Roman" w:hAnsi="Times New Roman"/>
          <w:b/>
          <w:i w:val="0"/>
          <w:sz w:val="22"/>
          <w:u w:val="none"/>
        </w:rPr>
        <w:t>JMA</w:t>
      </w:r>
      <w:r>
        <w:rPr>
          <w:rFonts w:ascii="Times New Roman" w:hAnsi="Times New Roman" w:cs="Times New Roman"/>
          <w:rFonts w:ascii="Times New Roman" w:hAnsi="Times New Roman"/>
          <w:b w:val="0"/>
          <w:i w:val="0"/>
          <w:sz w:val="22"/>
          <w:u w:val="none"/>
        </w:rPr>
        <w:t>/</w:t>
      </w:r>
      <w:r>
        <w:rPr>
          <w:rFonts w:ascii="Times New Roman" w:hAnsi="Times New Roman" w:cs="Times New Roman"/>
          <w:rFonts w:ascii="Times New Roman" w:hAnsi="Times New Roman"/>
          <w:b/>
          <w:i w:val="0"/>
          <w:sz w:val="22"/>
          <w:u w:val="none"/>
        </w:rPr>
        <w:t>NSO</w:t>
      </w:r>
      <w:r>
        <w:rPr>
          <w:rFonts w:ascii="Times New Roman" w:hAnsi="Times New Roman" w:cs="Times New Roman"/>
          <w:rFonts w:ascii="Times New Roman" w:hAnsi="Times New Roman"/>
          <w:b w:val="0"/>
          <w:i w:val="0"/>
          <w:sz w:val="22"/>
          <w:u w:val="none"/>
        </w:rPr>
        <w:t>/</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val="0"/>
          <w:sz w:val="22"/>
          <w:u w:val="none"/>
        </w:rPr>
        <w:t xml:space="preserve"> </w:t>
      </w:r>
    </w:p>
    <w:p>
      <w:pPr>
        <w:spacing w:after="0" w:before="0"/>
        <w:ind w:firstLine="709"/>
        <w:jc w:val="both"/>
      </w:pPr>
      <w:r>
        <w:rPr>
          <w:rFonts w:ascii="Times New Roman" w:hAnsi="Times New Roman" w:cs="Times New Roman"/>
          <w:rFonts w:ascii="Times New Roman" w:hAnsi="Times New Roman"/>
          <w:b/>
          <w:i w:val="0"/>
          <w:sz w:val="22"/>
          <w:u w:val="none"/>
        </w:rPr>
        <w:t xml:space="preserve">Du </w:t>
      </w:r>
      <w:r>
        <w:rPr>
          <w:rFonts w:ascii="Times New Roman" w:hAnsi="Times New Roman" w:cs="Times New Roman"/>
          <w:rFonts w:ascii="Times New Roman" w:hAnsi="Times New Roman"/>
          <w:b w:val="0"/>
          <w:i w:val="0"/>
          <w:sz w:val="22"/>
          <w:u w:val="none"/>
        </w:rPr>
        <w:t xml:space="preserve">14 octobre </w:t>
      </w:r>
      <w:r>
        <w:rPr>
          <w:rFonts w:ascii="Times New Roman" w:hAnsi="Times New Roman" w:cs="Times New Roman"/>
          <w:rFonts w:ascii="Times New Roman" w:hAnsi="Times New Roman"/>
          <w:b/>
          <w:i w:val="0"/>
          <w:sz w:val="22"/>
          <w:u w:val="none"/>
        </w:rPr>
        <w:t>2025</w:t>
      </w:r>
    </w:p>
    <w:p>
      <w:pPr>
        <w:spacing w:after="0" w:before="0"/>
        <w:ind w:firstLine="709"/>
        <w:jc w:val="both"/>
      </w:pPr>
      <w:r>
        <w:rPr>
          <w:rFonts w:ascii="Times New Roman" w:hAnsi="Times New Roman" w:cs="Times New Roman"/>
          <w:rFonts w:ascii="Times New Roman" w:hAnsi="Times New Roman"/>
          <w:b/>
          <w:i w:val="0"/>
          <w:sz w:val="22"/>
          <w:u w:val="none"/>
        </w:rPr>
        <w:t xml:space="preserve">MODIFICATION DE L’ETAT DESCRIPTIF DE DIVISION </w:t>
      </w:r>
    </w:p>
    <w:p>
      <w:pPr>
        <w:spacing w:after="0" w:before="0"/>
        <w:ind w:firstLine="709"/>
        <w:jc w:val="both"/>
      </w:pPr>
      <w:r>
        <w:rPr>
          <w:rFonts w:ascii="Times New Roman" w:hAnsi="Times New Roman" w:cs="Times New Roman"/>
          <w:rFonts w:ascii="Times New Roman" w:hAnsi="Times New Roman"/>
          <w:b/>
          <w:i w:val="0"/>
          <w:sz w:val="22"/>
          <w:u w:val="none"/>
        </w:rPr>
        <w:t>ET REGLEMENT DE COPROPRIETE</w:t>
      </w:r>
    </w:p>
    <w:p>
      <w:pPr>
        <w:spacing w:after="0" w:before="0"/>
        <w:ind w:firstLine="709"/>
        <w:jc w:val="both"/>
      </w:pPr>
      <w:r>
        <w:rPr>
          <w:rFonts w:ascii="Times New Roman" w:hAnsi="Times New Roman" w:cs="Times New Roman"/>
          <w:rFonts w:ascii="Times New Roman" w:hAnsi="Times New Roman"/>
          <w:b/>
          <w:i w:val="0"/>
          <w:sz w:val="22"/>
          <w:u w:val="none"/>
        </w:rPr>
        <w:t xml:space="preserve">A la requête du syndic de copropriété de l’immeuble </w:t>
      </w:r>
    </w:p>
    <w:p>
      <w:pPr>
        <w:spacing w:after="0" w:before="0"/>
        <w:ind w:firstLine="709"/>
        <w:jc w:val="both"/>
      </w:pPr>
    </w:p>
    <w:p>
      <w:pPr>
        <w:spacing w:after="0" w:before="0"/>
        <w:ind w:firstLine="709"/>
        <w:jc w:val="both"/>
      </w:pPr>
      <w:r>
        <w:rPr>
          <w:rFonts w:ascii="Times New Roman" w:hAnsi="Times New Roman" w:cs="Times New Roman"/>
          <w:rFonts w:ascii="Times New Roman" w:hAnsi="Times New Roman"/>
          <w:b w:val="0"/>
          <w:i w:val="0"/>
          <w:sz w:val="22"/>
          <w:u w:val="none"/>
        </w:rPr>
        <w:t>L'AN DEUX MILLE VINGT-CINQ,</w:t>
      </w:r>
    </w:p>
    <w:p>
      <w:pPr>
        <w:spacing w:after="0" w:before="0"/>
        <w:ind w:firstLine="709"/>
        <w:jc w:val="both"/>
      </w:pPr>
      <w:r>
        <w:rPr>
          <w:rFonts w:ascii="Times New Roman" w:hAnsi="Times New Roman" w:cs="Times New Roman"/>
          <w:rFonts w:ascii="Times New Roman" w:hAnsi="Times New Roman"/>
          <w:b w:val="0"/>
          <w:i w:val="0"/>
          <w:sz w:val="22"/>
          <w:u w:val="none"/>
        </w:rPr>
        <w:t>LE QUINZE OCTOBRE,</w:t>
      </w:r>
    </w:p>
    <w:p>
      <w:pPr>
        <w:spacing w:after="0" w:before="0"/>
        <w:ind w:firstLine="709"/>
        <w:jc w:val="both"/>
      </w:pPr>
      <w:r>
        <w:rPr>
          <w:rFonts w:ascii="Times New Roman" w:hAnsi="Times New Roman" w:cs="Times New Roman"/>
          <w:rFonts w:ascii="Times New Roman" w:hAnsi="Times New Roman"/>
          <w:b/>
          <w:i w:val="0"/>
          <w:sz w:val="22"/>
          <w:u w:val="none"/>
        </w:rPr>
        <w:t>A TASSIN-LA-DEMI-LUNE (Rhône), 93 avenue du 11 Novembre 1918, au siège de l’Office Notarial, ci-après nommé,</w:t>
      </w:r>
    </w:p>
    <w:p>
      <w:pPr>
        <w:spacing w:after="0" w:before="0"/>
        <w:ind w:firstLine="709"/>
        <w:jc w:val="both"/>
      </w:pPr>
      <w:r>
        <w:rPr>
          <w:rFonts w:ascii="Times New Roman" w:hAnsi="Times New Roman" w:cs="Times New Roman"/>
          <w:rFonts w:ascii="Times New Roman" w:hAnsi="Times New Roman"/>
          <w:b w:val="0"/>
          <w:i w:val="0"/>
          <w:sz w:val="22"/>
          <w:u w:val="none"/>
        </w:rPr>
        <w:t>Maître Jacques MALIGEAY, Notaire  de la société par actions simplifiée dénommée « des CEDRES » dont le siège social est situé à TASSIN-LA-DEMI-LUNE (Rhône), 93 avenue du 11 Novembre 1918, identifié sous le numéro CRPCEN 69182,</w:t>
      </w:r>
    </w:p>
    <w:p>
      <w:pPr>
        <w:spacing w:after="0" w:before="0"/>
        <w:ind w:firstLine="709"/>
        <w:jc w:val="both"/>
      </w:pPr>
      <w:r>
        <w:rPr>
          <w:rFonts w:ascii="Times New Roman" w:hAnsi="Times New Roman" w:cs="Times New Roman"/>
          <w:rFonts w:ascii="Times New Roman" w:hAnsi="Times New Roman"/>
          <w:b/>
          <w:i w:val="0"/>
          <w:sz w:val="22"/>
          <w:u w:val="none"/>
        </w:rPr>
        <w:t xml:space="preserve">A </w:t>
      </w:r>
      <w:r>
        <w:rPr>
          <w:rFonts w:ascii="Times New Roman" w:hAnsi="Times New Roman" w:cs="Times New Roman"/>
          <w:rFonts w:ascii="Times New Roman" w:hAnsi="Times New Roman"/>
          <w:b w:val="0"/>
          <w:i w:val="0"/>
          <w:sz w:val="22"/>
          <w:u w:val="none"/>
        </w:rPr>
        <w:t>reçu</w:t>
      </w:r>
      <w:r>
        <w:rPr>
          <w:rFonts w:ascii="Times New Roman" w:hAnsi="Times New Roman" w:cs="Times New Roman"/>
          <w:rFonts w:ascii="Times New Roman" w:hAnsi="Times New Roman"/>
          <w:b/>
          <w:i w:val="0"/>
          <w:sz w:val="22"/>
          <w:u w:val="none"/>
        </w:rPr>
        <w:t xml:space="preserve"> le présent acte à la requête de :</w:t>
      </w:r>
    </w:p>
    <w:p>
      <w:pPr>
        <w:spacing w:after="0" w:before="0"/>
        <w:ind w:firstLine="709"/>
        <w:jc w:val="both"/>
      </w:pPr>
      <w:r>
        <w:rPr>
          <w:rFonts w:ascii="Times New Roman" w:hAnsi="Times New Roman" w:cs="Times New Roman"/>
          <w:rFonts w:ascii="Times New Roman" w:hAnsi="Times New Roman"/>
          <w:b w:val="0"/>
          <w:i w:val="0"/>
          <w:sz w:val="22"/>
          <w:u w:val="none"/>
        </w:rPr>
        <w:t xml:space="preserve">Le syndicat des copropriétaires </w:t>
      </w:r>
      <w:r>
        <w:rPr>
          <w:rFonts w:ascii="Times New Roman" w:hAnsi="Times New Roman" w:cs="Times New Roman"/>
          <w:rFonts w:ascii="Times New Roman" w:hAnsi="Times New Roman"/>
          <w:b/>
          <w:i w:val="0"/>
          <w:sz w:val="22"/>
          <w:u w:val="none"/>
        </w:rPr>
        <w:t>SDC 20/22 GRANDE RUE DE LA CROIX</w:t>
      </w:r>
      <w:r>
        <w:rPr>
          <w:rFonts w:ascii="Times New Roman" w:hAnsi="Times New Roman" w:cs="Times New Roman"/>
          <w:rFonts w:ascii="Times New Roman" w:hAnsi="Times New Roman"/>
          <w:b w:val="0"/>
          <w:i w:val="0"/>
          <w:sz w:val="22"/>
          <w:u w:val="none"/>
        </w:rPr>
        <w:t>, de l’immeuble situé à LYON 4ÈME ARRONDISSEMENT (69004)      , 20 et 22 Grande Rue de la Croix-Rousse      , Syndicat de copropriété.</w:t>
      </w:r>
    </w:p>
    <w:p>
      <w:pPr>
        <w:spacing w:after="0" w:before="0"/>
        <w:ind w:firstLine="709"/>
        <w:jc w:val="both"/>
      </w:pPr>
      <w:r>
        <w:rPr>
          <w:rFonts w:ascii="Times New Roman" w:hAnsi="Times New Roman" w:cs="Times New Roman"/>
          <w:rFonts w:ascii="Times New Roman" w:hAnsi="Times New Roman"/>
          <w:b w:val="0"/>
          <w:i w:val="0"/>
          <w:sz w:val="22"/>
          <w:u w:val="none"/>
        </w:rPr>
        <w:t xml:space="preserve">Immatriculé au Registre des copropriétés sous le numéro </w:t>
      </w:r>
      <w:r>
        <w:rPr>
          <w:rFonts w:ascii="Times New Roman" w:hAnsi="Times New Roman" w:cs="Times New Roman"/>
          <w:rFonts w:ascii="Times New Roman" w:hAnsi="Times New Roman"/>
          <w:b/>
          <w:i w:val="0"/>
          <w:sz w:val="22"/>
          <w:u w:val="none"/>
        </w:rPr>
        <w:t>AA5-357-991.</w:t>
      </w:r>
    </w:p>
    <w:p>
      <w:pPr>
        <w:spacing w:after="0" w:before="0"/>
        <w:ind w:firstLine="709"/>
        <w:jc w:val="both"/>
      </w:pPr>
      <w:r>
        <w:rPr>
          <w:rFonts w:ascii="Times New Roman" w:hAnsi="Times New Roman" w:cs="Times New Roman"/>
          <w:rFonts w:ascii="Times New Roman" w:hAnsi="Times New Roman"/>
          <w:b w:val="0"/>
          <w:i w:val="0"/>
          <w:sz w:val="22"/>
          <w:u w:val="none"/>
        </w:rPr>
        <w:t xml:space="preserve">Lequel est représenté à l’acte par Madame Emmanuelle </w:t>
      </w:r>
      <w:r>
        <w:rPr>
          <w:rFonts w:ascii="Times New Roman" w:hAnsi="Times New Roman" w:cs="Times New Roman"/>
          <w:rFonts w:ascii="Times New Roman" w:hAnsi="Times New Roman"/>
          <w:b/>
          <w:i w:val="0"/>
          <w:sz w:val="22"/>
          <w:u w:val="none"/>
        </w:rPr>
        <w:t>MONOT</w:t>
      </w:r>
      <w:r>
        <w:rPr>
          <w:rFonts w:ascii="Times New Roman" w:hAnsi="Times New Roman" w:cs="Times New Roman"/>
          <w:rFonts w:ascii="Times New Roman" w:hAnsi="Times New Roman"/>
          <w:b w:val="0"/>
          <w:i w:val="0"/>
          <w:sz w:val="22"/>
          <w:u w:val="none"/>
        </w:rPr>
        <w:t xml:space="preserve">, ainsi qu’il résulte d’une délégation de pouvoirs de Monsieur Michel </w:t>
      </w:r>
      <w:r>
        <w:rPr>
          <w:rFonts w:ascii="Times New Roman" w:hAnsi="Times New Roman" w:cs="Times New Roman"/>
          <w:rFonts w:ascii="Times New Roman" w:hAnsi="Times New Roman"/>
          <w:b/>
          <w:i w:val="0"/>
          <w:sz w:val="22"/>
          <w:u w:val="none"/>
        </w:rPr>
        <w:t>DERACHE</w:t>
      </w:r>
      <w:r>
        <w:rPr>
          <w:rFonts w:ascii="Times New Roman" w:hAnsi="Times New Roman" w:cs="Times New Roman"/>
          <w:rFonts w:ascii="Times New Roman" w:hAnsi="Times New Roman"/>
          <w:b w:val="0"/>
          <w:i w:val="0"/>
          <w:sz w:val="22"/>
          <w:u w:val="none"/>
        </w:rPr>
        <w:t xml:space="preserve">, directeur général de la société dénommée </w:t>
      </w:r>
      <w:r>
        <w:rPr>
          <w:rFonts w:ascii="Times New Roman" w:hAnsi="Times New Roman" w:cs="Times New Roman"/>
          <w:rFonts w:ascii="Times New Roman" w:hAnsi="Times New Roman"/>
          <w:b/>
          <w:i w:val="0"/>
          <w:sz w:val="22"/>
          <w:u w:val="none"/>
        </w:rPr>
        <w:t>REGIE GELAS ET CHOMIENNE</w:t>
      </w:r>
      <w:r>
        <w:rPr>
          <w:rFonts w:ascii="Times New Roman" w:hAnsi="Times New Roman" w:cs="Times New Roman"/>
          <w:rFonts w:ascii="Times New Roman" w:hAnsi="Times New Roman"/>
          <w:b w:val="0"/>
          <w:i w:val="0"/>
          <w:sz w:val="22"/>
          <w:u w:val="none"/>
        </w:rPr>
        <w:t xml:space="preserve">, en date du </w:t>
      </w:r>
      <w:r>
        <w:rPr>
          <w:rFonts w:ascii="Times New Roman" w:hAnsi="Times New Roman" w:cs="Times New Roman"/>
          <w:rFonts w:ascii="Times New Roman" w:hAnsi="Times New Roman"/>
          <w:b/>
          <w:i w:val="0"/>
          <w:sz w:val="22"/>
          <w:u w:val="none"/>
        </w:rPr>
        <w:t>28 août 2025</w:t>
      </w:r>
      <w:r>
        <w:rPr>
          <w:rFonts w:ascii="Times New Roman" w:hAnsi="Times New Roman" w:cs="Times New Roman"/>
          <w:rFonts w:ascii="Times New Roman" w:hAnsi="Times New Roman"/>
          <w:b w:val="0"/>
          <w:i w:val="0"/>
          <w:sz w:val="22"/>
          <w:u w:val="none"/>
        </w:rPr>
        <w:t xml:space="preserve"> et dont une copie dématérialisée demeure jointe et annexée aux présentes.</w:t>
      </w:r>
    </w:p>
    <w:p>
      <w:pPr>
        <w:spacing w:after="0" w:before="0"/>
        <w:ind w:firstLine="709"/>
        <w:jc w:val="both"/>
      </w:pPr>
      <w:r>
        <w:rPr>
          <w:rFonts w:ascii="Times New Roman" w:hAnsi="Times New Roman" w:cs="Times New Roman"/>
          <w:rFonts w:ascii="Times New Roman" w:hAnsi="Times New Roman"/>
          <w:b w:val="0"/>
          <w:i w:val="0"/>
          <w:sz w:val="22"/>
          <w:u w:val="none"/>
        </w:rPr>
        <w:t xml:space="preserve">Agissant au nom et pour le compte de la société dénommée </w:t>
      </w:r>
      <w:r>
        <w:rPr>
          <w:rFonts w:ascii="Times New Roman" w:hAnsi="Times New Roman" w:cs="Times New Roman"/>
          <w:rFonts w:ascii="Times New Roman" w:hAnsi="Times New Roman"/>
          <w:b/>
          <w:i w:val="0"/>
          <w:sz w:val="22"/>
          <w:u w:val="none"/>
        </w:rPr>
        <w:t>REGIE GELAS ET CHOMIENNE</w:t>
      </w:r>
      <w:r>
        <w:rPr>
          <w:rFonts w:ascii="Times New Roman" w:hAnsi="Times New Roman" w:cs="Times New Roman"/>
          <w:rFonts w:ascii="Times New Roman" w:hAnsi="Times New Roman"/>
          <w:b w:val="0"/>
          <w:i w:val="0"/>
          <w:sz w:val="22"/>
          <w:u w:val="none"/>
        </w:rPr>
        <w:t xml:space="preserve">, dont le siège est situé à LYON 2EME (Rhône) 9 Rue Grolée, syndic professionnel, désignée à cette fonction aux termes de l’assemblée générale des copropriétaires en date du </w:t>
      </w:r>
      <w:r>
        <w:rPr>
          <w:rFonts w:ascii="Times New Roman" w:hAnsi="Times New Roman" w:cs="Times New Roman"/>
          <w:rFonts w:ascii="Times New Roman" w:hAnsi="Times New Roman"/>
          <w:b/>
          <w:i w:val="0"/>
          <w:sz w:val="22"/>
          <w:u w:val="none"/>
        </w:rPr>
        <w:t>6 octobre 2025</w:t>
      </w:r>
      <w:r>
        <w:rPr>
          <w:rFonts w:ascii="Times New Roman" w:hAnsi="Times New Roman" w:cs="Times New Roman"/>
          <w:rFonts w:ascii="Times New Roman" w:hAnsi="Times New Roman"/>
          <w:b w:val="0"/>
          <w:i w:val="0"/>
          <w:sz w:val="22"/>
          <w:u w:val="none"/>
        </w:rPr>
        <w:t xml:space="preserve"> pour une durée de </w:t>
      </w:r>
      <w:r>
        <w:rPr>
          <w:rFonts w:ascii="Times New Roman" w:hAnsi="Times New Roman" w:cs="Times New Roman"/>
          <w:rFonts w:ascii="Times New Roman" w:hAnsi="Times New Roman"/>
          <w:b/>
          <w:i w:val="0"/>
          <w:sz w:val="22"/>
          <w:u w:val="none"/>
        </w:rPr>
        <w:t xml:space="preserve">1 </w:t>
      </w:r>
      <w:r>
        <w:rPr>
          <w:rFonts w:ascii="Times New Roman" w:hAnsi="Times New Roman" w:cs="Times New Roman"/>
          <w:rFonts w:ascii="Times New Roman" w:hAnsi="Times New Roman"/>
          <w:b w:val="0"/>
          <w:i w:val="0"/>
          <w:sz w:val="22"/>
          <w:u w:val="none"/>
        </w:rPr>
        <w:t>an 8 mois et 26 jours</w:t>
      </w:r>
      <w:r>
        <w:rPr>
          <w:rFonts w:ascii="Times New Roman" w:hAnsi="Times New Roman" w:cs="Times New Roman"/>
          <w:rFonts w:ascii="Times New Roman" w:hAnsi="Times New Roman"/>
          <w:b/>
          <w:i w:val="0"/>
          <w:sz w:val="22"/>
          <w:u w:val="none"/>
        </w:rPr>
        <w:t xml:space="preserve">, ayant commencé à courir le </w:t>
      </w:r>
      <w:r>
        <w:rPr>
          <w:rFonts w:ascii="Times New Roman" w:hAnsi="Times New Roman" w:cs="Times New Roman"/>
          <w:rFonts w:ascii="Times New Roman" w:hAnsi="Times New Roman"/>
          <w:b w:val="0"/>
          <w:i w:val="0"/>
          <w:sz w:val="22"/>
          <w:u w:val="none"/>
        </w:rPr>
        <w:t xml:space="preserve">6 octobre 2025 </w:t>
      </w:r>
      <w:r>
        <w:rPr>
          <w:rFonts w:ascii="Times New Roman" w:hAnsi="Times New Roman" w:cs="Times New Roman"/>
          <w:rFonts w:ascii="Times New Roman" w:hAnsi="Times New Roman"/>
          <w:b/>
          <w:i w:val="0"/>
          <w:sz w:val="22"/>
          <w:u w:val="none"/>
        </w:rPr>
        <w:t xml:space="preserve">pour se terminer le </w:t>
      </w:r>
      <w:r>
        <w:rPr>
          <w:rFonts w:ascii="Times New Roman" w:hAnsi="Times New Roman" w:cs="Times New Roman"/>
          <w:rFonts w:ascii="Times New Roman" w:hAnsi="Times New Roman"/>
          <w:b w:val="0"/>
          <w:i w:val="0"/>
          <w:sz w:val="22"/>
          <w:u w:val="none"/>
        </w:rPr>
        <w:t>30 juin 2027</w:t>
      </w:r>
      <w:r>
        <w:rPr>
          <w:rFonts w:ascii="Times New Roman" w:hAnsi="Times New Roman" w:cs="Times New Roman"/>
          <w:rFonts w:ascii="Times New Roman" w:hAnsi="Times New Roman"/>
          <w:b/>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Une copie dématérialisée du procès-verbal de cette assemblée, ainsi que du contrat de syndic est demeurée jointe et annexée aux présentes après mention.</w:t>
      </w:r>
    </w:p>
    <w:p>
      <w:pPr>
        <w:spacing w:after="0" w:before="0"/>
        <w:ind w:firstLine="709"/>
        <w:jc w:val="both"/>
      </w:pPr>
      <w:r>
        <w:rPr>
          <w:rFonts w:ascii="Times New Roman" w:hAnsi="Times New Roman" w:cs="Times New Roman"/>
          <w:rFonts w:ascii="Times New Roman" w:hAnsi="Times New Roman"/>
          <w:b/>
          <w:i w:val="0"/>
          <w:sz w:val="22"/>
          <w:u w:val="none"/>
        </w:rPr>
        <w:t>Annexe n°</w:t>
      </w:r>
      <w:r>
        <w:rPr>
          <w:rFonts w:ascii="Times New Roman" w:hAnsi="Times New Roman" w:cs="Times New Roman"/>
          <w:rFonts w:ascii="Times New Roman" w:hAnsi="Times New Roman"/>
          <w:b w:val="0"/>
          <w:i w:val="0"/>
          <w:sz w:val="22"/>
          <w:u w:val="none"/>
        </w:rPr>
        <w:t>1</w:t>
      </w:r>
      <w:r>
        <w:rPr>
          <w:rFonts w:ascii="Times New Roman" w:hAnsi="Times New Roman" w:cs="Times New Roman"/>
          <w:rFonts w:ascii="Times New Roman" w:hAnsi="Times New Roman"/>
          <w:b/>
          <w:i w:val="0"/>
          <w:sz w:val="22"/>
          <w:u w:val="none"/>
        </w:rPr>
        <w:t xml:space="preserve"> : </w:t>
      </w:r>
      <w:r>
        <w:rPr>
          <w:rFonts w:ascii="Times New Roman" w:hAnsi="Times New Roman" w:cs="Times New Roman"/>
          <w:rFonts w:ascii="Times New Roman" w:hAnsi="Times New Roman"/>
          <w:b w:val="0"/>
          <w:i w:val="0"/>
          <w:sz w:val="22"/>
          <w:u w:val="none"/>
        </w:rPr>
        <w:t xml:space="preserve">Pouvoir du syndic </w:t>
      </w:r>
    </w:p>
    <w:p>
      <w:pPr>
        <w:spacing w:after="0" w:before="0"/>
        <w:ind w:firstLine="709"/>
        <w:jc w:val="both"/>
      </w:pPr>
      <w:r>
        <w:rPr>
          <w:rFonts w:ascii="Times New Roman" w:hAnsi="Times New Roman" w:cs="Times New Roman"/>
          <w:rFonts w:ascii="Times New Roman" w:hAnsi="Times New Roman"/>
          <w:b w:val="0"/>
          <w:i w:val="0"/>
          <w:sz w:val="22"/>
          <w:u w:val="none"/>
        </w:rPr>
        <w:t>Laquelle société agissant au nom et pour le compte dudit Syndicat des copropriétaires tant en vertu des pouvoirs qui lui ont été conféré aux termes d’une assemblée générale extraordinaires des copropriétaires en date du</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8 mars 2022</w:t>
      </w:r>
      <w:r>
        <w:rPr>
          <w:rFonts w:ascii="Times New Roman" w:hAnsi="Times New Roman" w:cs="Times New Roman"/>
          <w:rFonts w:ascii="Times New Roman" w:hAnsi="Times New Roman"/>
          <w:b/>
          <w:i w:val="0"/>
          <w:sz w:val="22"/>
          <w:u w:val="none"/>
        </w:rPr>
        <w:t xml:space="preserve"> que de ceux prévus par l’article 18 de la loi n°65-557 du 10 juillet 1965 fixant le statut de la copropriété des immeubles bâtis.</w:t>
      </w:r>
    </w:p>
    <w:p>
      <w:pPr>
        <w:spacing w:after="0" w:before="0"/>
        <w:ind w:firstLine="709"/>
        <w:jc w:val="both"/>
      </w:pPr>
      <w:r>
        <w:rPr>
          <w:rFonts w:ascii="Times New Roman" w:hAnsi="Times New Roman" w:cs="Times New Roman"/>
          <w:rFonts w:ascii="Times New Roman" w:hAnsi="Times New Roman"/>
          <w:b w:val="0"/>
          <w:i w:val="0"/>
          <w:sz w:val="22"/>
          <w:u w:val="none"/>
        </w:rPr>
        <w:t>Le représentant déclare que ces assemblées générales n’ont fait l’objet d’aucun recours en annulation ou contestation dans le délai légal.</w:t>
      </w:r>
    </w:p>
    <w:p>
      <w:pPr>
        <w:spacing w:after="0" w:before="0"/>
        <w:ind w:firstLine="709"/>
        <w:jc w:val="both"/>
      </w:pPr>
      <w:r>
        <w:rPr>
          <w:rFonts w:ascii="Times New Roman" w:hAnsi="Times New Roman" w:cs="Times New Roman"/>
          <w:rFonts w:ascii="Times New Roman" w:hAnsi="Times New Roman"/>
          <w:b w:val="0"/>
          <w:i w:val="0"/>
          <w:sz w:val="22"/>
          <w:u w:val="none"/>
        </w:rPr>
        <w:t>Une copie dématérialisée du procès-verbal de cette assemblée est demeurée jointe et annexée aux présentes après mention.</w:t>
      </w:r>
    </w:p>
    <w:p>
      <w:pPr>
        <w:spacing w:after="0" w:before="0"/>
        <w:ind w:firstLine="709"/>
        <w:jc w:val="both"/>
      </w:pPr>
      <w:r>
        <w:rPr>
          <w:rFonts w:ascii="Times New Roman" w:hAnsi="Times New Roman" w:cs="Times New Roman"/>
          <w:rFonts w:ascii="Times New Roman" w:hAnsi="Times New Roman"/>
          <w:b/>
          <w:i w:val="0"/>
          <w:sz w:val="22"/>
          <w:u w:val="none"/>
        </w:rPr>
        <w:t>Annexe n°</w:t>
      </w:r>
      <w:r>
        <w:rPr>
          <w:rFonts w:ascii="Times New Roman" w:hAnsi="Times New Roman" w:cs="Times New Roman"/>
          <w:rFonts w:ascii="Times New Roman" w:hAnsi="Times New Roman"/>
          <w:b w:val="0"/>
          <w:i w:val="0"/>
          <w:sz w:val="22"/>
          <w:u w:val="none"/>
        </w:rPr>
        <w:t>2</w:t>
      </w:r>
      <w:r>
        <w:rPr>
          <w:rFonts w:ascii="Times New Roman" w:hAnsi="Times New Roman" w:cs="Times New Roman"/>
          <w:rFonts w:ascii="Times New Roman" w:hAnsi="Times New Roman"/>
          <w:b/>
          <w:i w:val="0"/>
          <w:sz w:val="22"/>
          <w:u w:val="none"/>
        </w:rPr>
        <w:t xml:space="preserve"> : Procès-verbal de l’assemblée générale du 8 mars 2022</w:t>
      </w:r>
    </w:p>
    <w:p>
      <w:pPr>
        <w:spacing w:after="0" w:before="0"/>
        <w:ind w:firstLine="709"/>
        <w:jc w:val="both"/>
      </w:pPr>
      <w:r>
        <w:rPr>
          <w:rFonts w:ascii="Times New Roman" w:hAnsi="Times New Roman" w:cs="Times New Roman"/>
          <w:rFonts w:ascii="Times New Roman" w:hAnsi="Times New Roman"/>
          <w:b w:val="0"/>
          <w:i w:val="0"/>
          <w:sz w:val="22"/>
          <w:u w:val="none"/>
        </w:rPr>
        <w:t>A l’effet d’établir ainsi qu'il suit</w:t>
      </w:r>
      <w:r>
        <w:rPr>
          <w:rFonts w:ascii="Times New Roman" w:hAnsi="Times New Roman" w:cs="Times New Roman"/>
          <w:rFonts w:ascii="Times New Roman" w:hAnsi="Times New Roman"/>
          <w:b/>
          <w:i w:val="0"/>
          <w:sz w:val="22"/>
          <w:u w:val="none"/>
        </w:rPr>
        <w:t xml:space="preserve"> </w:t>
      </w:r>
      <w:r>
        <w:rPr>
          <w:rFonts w:ascii="Times New Roman" w:hAnsi="Times New Roman" w:cs="Times New Roman"/>
          <w:rFonts w:ascii="Times New Roman" w:hAnsi="Times New Roman"/>
          <w:b w:val="0"/>
          <w:i w:val="0"/>
          <w:sz w:val="22"/>
          <w:u w:val="none"/>
        </w:rPr>
        <w:t>le</w:t>
      </w:r>
      <w:r>
        <w:rPr>
          <w:rFonts w:ascii="Times New Roman" w:hAnsi="Times New Roman" w:cs="Times New Roman"/>
          <w:rFonts w:ascii="Times New Roman" w:hAnsi="Times New Roman"/>
          <w:b/>
          <w:i w:val="0"/>
          <w:sz w:val="22"/>
          <w:u w:val="none"/>
        </w:rPr>
        <w:t xml:space="preserve"> MODIFICATIF DE L’ETAT DESCRIPTIF DE DIVISION ET REGLEMENT DE COPROPRIETE </w:t>
      </w:r>
      <w:r>
        <w:rPr>
          <w:rFonts w:ascii="Times New Roman" w:hAnsi="Times New Roman" w:cs="Times New Roman"/>
          <w:rFonts w:ascii="Times New Roman" w:hAnsi="Times New Roman"/>
          <w:b w:val="0"/>
          <w:i w:val="0"/>
          <w:sz w:val="22"/>
          <w:u w:val="none"/>
        </w:rPr>
        <w:t xml:space="preserve">concernant un immeuble ou ensemble immobilier situé à </w:t>
      </w:r>
      <w:r>
        <w:rPr>
          <w:rFonts w:ascii="Times New Roman" w:hAnsi="Times New Roman" w:cs="Times New Roman"/>
          <w:rFonts w:ascii="Times New Roman" w:hAnsi="Times New Roman"/>
          <w:b/>
          <w:i w:val="0"/>
          <w:sz w:val="22"/>
          <w:u w:val="none"/>
        </w:rPr>
        <w:t>LYON 4ÈME ARRONDISSEMENT (RHÔNE)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val="0"/>
          <w:sz w:val="22"/>
          <w:u w:val="none"/>
        </w:rPr>
        <w:t>20 et 22 Grande Rue de la Croix-Rousse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 xml:space="preserve">Etant précisé que ce modificatif a été préalablement autorisé aux termes de l’assemblée générale des copropriétaires du </w:t>
      </w:r>
      <w:r>
        <w:rPr>
          <w:rFonts w:ascii="Times New Roman" w:hAnsi="Times New Roman" w:cs="Times New Roman"/>
          <w:rFonts w:ascii="Times New Roman" w:hAnsi="Times New Roman"/>
          <w:b/>
          <w:i w:val="0"/>
          <w:sz w:val="22"/>
          <w:u w:val="none"/>
        </w:rPr>
        <w:t>8 mars 2022</w:t>
      </w:r>
      <w:r>
        <w:rPr>
          <w:rFonts w:ascii="Times New Roman" w:hAnsi="Times New Roman" w:cs="Times New Roman"/>
          <w:rFonts w:ascii="Times New Roman" w:hAnsi="Times New Roman"/>
          <w:b w:val="0"/>
          <w:i w:val="0"/>
          <w:sz w:val="22"/>
          <w:u w:val="none"/>
        </w:rPr>
        <w:t xml:space="preserve"> susvisée, dont une copie délivrée par le syndic est annexée, ainsi que le certificat de non-recours.</w:t>
      </w:r>
    </w:p>
    <w:p>
      <w:pPr>
        <w:spacing w:after="0" w:before="0"/>
        <w:ind w:firstLine="709"/>
        <w:jc w:val="both"/>
      </w:pPr>
      <w:r>
        <w:rPr>
          <w:rFonts w:ascii="Times New Roman" w:hAnsi="Times New Roman" w:cs="Times New Roman"/>
          <w:rFonts w:ascii="Times New Roman" w:hAnsi="Times New Roman"/>
          <w:b/>
          <w:i w:val="0"/>
          <w:sz w:val="22"/>
          <w:u w:val="none"/>
        </w:rPr>
        <w:t>Annexe n°</w:t>
      </w:r>
      <w:r>
        <w:rPr>
          <w:rFonts w:ascii="Times New Roman" w:hAnsi="Times New Roman" w:cs="Times New Roman"/>
          <w:rFonts w:ascii="Times New Roman" w:hAnsi="Times New Roman"/>
          <w:b w:val="0"/>
          <w:i w:val="0"/>
          <w:sz w:val="22"/>
          <w:u w:val="none"/>
        </w:rPr>
        <w:t>3</w:t>
      </w:r>
      <w:r>
        <w:rPr>
          <w:rFonts w:ascii="Times New Roman" w:hAnsi="Times New Roman" w:cs="Times New Roman"/>
          <w:rFonts w:ascii="Times New Roman" w:hAnsi="Times New Roman"/>
          <w:b/>
          <w:i w:val="0"/>
          <w:sz w:val="22"/>
          <w:u w:val="none"/>
        </w:rPr>
        <w:t xml:space="preserve"> : </w:t>
      </w:r>
      <w:r>
        <w:rPr>
          <w:rFonts w:ascii="Times New Roman" w:hAnsi="Times New Roman" w:cs="Times New Roman"/>
          <w:rFonts w:ascii="Times New Roman" w:hAnsi="Times New Roman"/>
          <w:b w:val="0"/>
          <w:i w:val="0"/>
          <w:sz w:val="22"/>
          <w:u w:val="none"/>
        </w:rPr>
        <w:t>Certificat de non-recours assemblée générale du 8 mars 20222</w:t>
      </w:r>
    </w:p>
    <w:p>
      <w:pPr>
        <w:spacing w:after="0" w:before="0"/>
        <w:ind w:firstLine="709"/>
        <w:jc w:val="both"/>
      </w:pPr>
      <w:r>
        <w:rPr>
          <w:rFonts w:ascii="Times New Roman" w:hAnsi="Times New Roman" w:cs="Times New Roman"/>
          <w:rFonts w:ascii="Times New Roman" w:hAnsi="Times New Roman"/>
          <w:b/>
          <w:i w:val="0"/>
          <w:sz w:val="22"/>
          <w:u w:val="none"/>
        </w:rPr>
        <w:t xml:space="preserve">Préalablement à l'établissement du présent </w:t>
      </w:r>
      <w:r>
        <w:rPr>
          <w:rFonts w:ascii="Times New Roman" w:hAnsi="Times New Roman" w:cs="Times New Roman"/>
          <w:rFonts w:ascii="Times New Roman" w:hAnsi="Times New Roman"/>
          <w:b w:val="0"/>
          <w:i w:val="0"/>
          <w:sz w:val="22"/>
          <w:u w:val="none"/>
        </w:rPr>
        <w:t xml:space="preserve">modificatif </w:t>
      </w:r>
      <w:r>
        <w:rPr>
          <w:rFonts w:ascii="Times New Roman" w:hAnsi="Times New Roman" w:cs="Times New Roman"/>
          <w:rFonts w:ascii="Times New Roman" w:hAnsi="Times New Roman"/>
          <w:b/>
          <w:i w:val="0"/>
          <w:sz w:val="22"/>
          <w:u w:val="none"/>
        </w:rPr>
        <w:t>du</w:t>
      </w:r>
      <w:r>
        <w:rPr>
          <w:rFonts w:ascii="Times New Roman" w:hAnsi="Times New Roman" w:cs="Times New Roman"/>
          <w:rFonts w:ascii="Times New Roman" w:hAnsi="Times New Roman"/>
          <w:b w:val="0"/>
          <w:i w:val="0"/>
          <w:sz w:val="22"/>
          <w:u w:val="none"/>
        </w:rPr>
        <w:t xml:space="preserve"> règlement de </w:t>
      </w:r>
      <w:r>
        <w:rPr>
          <w:rFonts w:ascii="Times New Roman" w:hAnsi="Times New Roman" w:cs="Times New Roman"/>
          <w:rFonts w:ascii="Times New Roman" w:hAnsi="Times New Roman"/>
          <w:b/>
          <w:i w:val="0"/>
          <w:sz w:val="22"/>
          <w:u w:val="none"/>
        </w:rPr>
        <w:t>copropriété</w:t>
      </w:r>
      <w:r>
        <w:rPr>
          <w:rFonts w:ascii="Times New Roman" w:hAnsi="Times New Roman" w:cs="Times New Roman"/>
          <w:rFonts w:ascii="Times New Roman" w:hAnsi="Times New Roman"/>
          <w:b w:val="0"/>
          <w:i w:val="0"/>
          <w:sz w:val="22"/>
          <w:u w:val="none"/>
        </w:rPr>
        <w:t xml:space="preserve"> et de l</w:t>
      </w:r>
      <w:r>
        <w:rPr>
          <w:rFonts w:ascii="Times New Roman" w:hAnsi="Times New Roman" w:cs="Times New Roman"/>
          <w:rFonts w:ascii="Times New Roman" w:hAnsi="Times New Roman"/>
          <w:b/>
          <w:i w:val="0"/>
          <w:sz w:val="22"/>
          <w:u w:val="none"/>
        </w:rPr>
        <w:t>'état descriptif de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val="0"/>
          <w:sz w:val="22"/>
          <w:u w:val="none"/>
        </w:rPr>
        <w:t>division, il est exposé ce qui suit :</w:t>
      </w:r>
    </w:p>
    <w:p>
      <w:pPr>
        <w:pStyle w:val="Heading1"/>
      </w:pPr>
      <w:r>
        <w:rPr>
          <w:rFonts w:ascii="Times New Roman" w:hAnsi="Times New Roman" w:cs="Times New Roman"/>
          <w:rFonts w:ascii="Times New Roman" w:hAnsi="Times New Roman"/>
          <w:sz w:val="22"/>
        </w:rPr>
        <w:t>EXPOSE PREALABLE</w:t>
      </w:r>
    </w:p>
    <w:p>
      <w:pPr>
        <w:spacing w:after="0" w:before="0"/>
        <w:ind w:firstLine="709"/>
        <w:jc w:val="both"/>
      </w:pPr>
      <w:r>
        <w:rPr>
          <w:rFonts w:ascii="Times New Roman" w:hAnsi="Times New Roman" w:cs="Times New Roman"/>
          <w:rFonts w:ascii="Times New Roman" w:hAnsi="Times New Roman"/>
          <w:b/>
          <w:i w:val="0"/>
          <w:sz w:val="22"/>
          <w:u w:val="single"/>
        </w:rPr>
        <w:t>I.</w:t>
      </w:r>
      <w:r>
        <w:rPr>
          <w:rFonts w:ascii="Times New Roman" w:hAnsi="Times New Roman" w:cs="Times New Roman"/>
          <w:rFonts w:ascii="Times New Roman" w:hAnsi="Times New Roman"/>
          <w:b/>
          <w:i w:val="0"/>
          <w:sz w:val="22"/>
          <w:u w:val="single"/>
        </w:rPr>
        <w:t xml:space="preserve"> </w:t>
      </w:r>
      <w:r>
        <w:rPr>
          <w:rFonts w:ascii="Times New Roman" w:hAnsi="Times New Roman" w:cs="Times New Roman"/>
          <w:rFonts w:ascii="Times New Roman" w:hAnsi="Times New Roman"/>
          <w:b/>
          <w:i w:val="0"/>
          <w:sz w:val="22"/>
          <w:u w:val="single"/>
        </w:rPr>
        <w:t>DESIGNATIONDE L'IMMEUBLE</w:t>
      </w:r>
    </w:p>
    <w:p>
      <w:pPr>
        <w:pStyle w:val="Heading2"/>
      </w:pPr>
      <w:r>
        <w:rPr>
          <w:rFonts w:ascii="Times New Roman" w:hAnsi="Times New Roman" w:cs="Times New Roman"/>
          <w:rFonts w:ascii="Times New Roman" w:hAnsi="Times New Roman"/>
          <w:sz w:val="22"/>
        </w:rPr>
        <w:t>DESIGNATION</w:t>
      </w:r>
    </w:p>
    <w:p>
      <w:pPr>
        <w:spacing w:after="0" w:before="0"/>
        <w:ind w:firstLine="709"/>
        <w:jc w:val="both"/>
      </w:pPr>
      <w:r>
        <w:rPr>
          <w:rFonts w:ascii="Times New Roman" w:hAnsi="Times New Roman" w:cs="Times New Roman"/>
          <w:rFonts w:ascii="Times New Roman" w:hAnsi="Times New Roman"/>
          <w:b w:val="0"/>
          <w:i w:val="0"/>
          <w:sz w:val="22"/>
          <w:u w:val="none"/>
        </w:rPr>
        <w:t xml:space="preserve">Les présentes s'appliquent à une construction édifiée sur un terrain situé à </w:t>
      </w:r>
      <w:r>
        <w:rPr>
          <w:rFonts w:ascii="Times New Roman" w:hAnsi="Times New Roman" w:cs="Times New Roman"/>
          <w:rFonts w:ascii="Times New Roman" w:hAnsi="Times New Roman"/>
          <w:b/>
          <w:i w:val="0"/>
          <w:sz w:val="22"/>
          <w:u w:val="none"/>
        </w:rPr>
        <w:t>LYON 4ÈME ARRONDISSEMENT (RHÔNE)</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val="0"/>
          <w:sz w:val="22"/>
          <w:u w:val="none"/>
        </w:rPr>
        <w:t>69004</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val="0"/>
          <w:sz w:val="22"/>
          <w:u w:val="none"/>
        </w:rPr>
        <w:t>20 et 22 Grande Rue de la Croix-Rousse</w:t>
      </w:r>
      <w:r>
        <w:rPr>
          <w:rFonts w:ascii="Times New Roman" w:hAnsi="Times New Roman" w:cs="Times New Roman"/>
          <w:rFonts w:ascii="Times New Roman" w:hAnsi="Times New Roman"/>
          <w:b w:val="0"/>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L’ensemble immobilier tel que défini dans le règlement de copropriété d’origine comprend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un bâtiment donnant sur rue dont l’accès s’effectue au numéro 22 de la Grande Rue de la Croix Rousse que l’on nommera « bâtiment A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une construction dans la cour intérieure de l’immeuble appelé « bâtiment B » dont l’accès s’effectue par l’allée numéro 20 de la Grande Rue de la Croix Rousse,</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un hangar situé dans la cour intérieure que l’on nommera « bâtiment C ».</w:t>
      </w:r>
    </w:p>
    <w:p>
      <w:pPr>
        <w:spacing w:after="0" w:before="0"/>
        <w:ind w:firstLine="709"/>
        <w:jc w:val="both"/>
      </w:pPr>
      <w:r>
        <w:rPr>
          <w:rFonts w:ascii="Times New Roman" w:hAnsi="Times New Roman" w:cs="Times New Roman"/>
          <w:rFonts w:ascii="Times New Roman" w:hAnsi="Times New Roman"/>
          <w:b/>
          <w:i w:val="0"/>
          <w:sz w:val="22"/>
          <w:u w:val="single"/>
        </w:rPr>
        <w:t>Description par bâtiment</w:t>
      </w:r>
      <w:r>
        <w:rPr>
          <w:rFonts w:ascii="Times New Roman" w:hAnsi="Times New Roman" w:cs="Times New Roman"/>
          <w:rFonts w:ascii="Times New Roman" w:hAnsi="Times New Roman"/>
          <w:b w:val="0"/>
          <w:i w:val="0"/>
          <w:sz w:val="22"/>
          <w:u w:val="none"/>
        </w:rPr>
        <w:t xml:space="preserve"> :</w:t>
      </w:r>
    </w:p>
    <w:p>
      <w:pPr>
        <w:spacing w:after="0" w:before="0"/>
        <w:ind w:firstLine="709"/>
        <w:jc w:val="both"/>
      </w:pPr>
      <w:r>
        <w:rPr>
          <w:rFonts w:ascii="Times New Roman" w:hAnsi="Times New Roman" w:cs="Times New Roman"/>
          <w:rFonts w:ascii="Times New Roman" w:hAnsi="Times New Roman"/>
          <w:b/>
          <w:i w:val="0"/>
          <w:sz w:val="22"/>
          <w:u w:val="single"/>
        </w:rPr>
        <w:t>Bâtiment A</w:t>
      </w:r>
      <w:r>
        <w:rPr>
          <w:rFonts w:ascii="Times New Roman" w:hAnsi="Times New Roman" w:cs="Times New Roman"/>
          <w:rFonts w:ascii="Times New Roman" w:hAnsi="Times New Roman"/>
          <w:b w:val="0"/>
          <w:i w:val="0"/>
          <w:sz w:val="22"/>
          <w:u w:val="single"/>
        </w:rPr>
        <w:t xml:space="preserve"> (allée n°22 sur Grande Rue de la Croix Rousse)</w:t>
      </w:r>
      <w:r>
        <w:rPr>
          <w:rFonts w:ascii="Times New Roman" w:hAnsi="Times New Roman" w:cs="Times New Roman"/>
          <w:rFonts w:ascii="Times New Roman" w:hAnsi="Times New Roman"/>
          <w:b w:val="0"/>
          <w:i w:val="0"/>
          <w:sz w:val="22"/>
          <w:u w:val="none"/>
        </w:rPr>
        <w:t xml:space="preserve"> :</w:t>
      </w:r>
    </w:p>
    <w:p>
      <w:pPr>
        <w:spacing w:after="0" w:before="0"/>
        <w:ind w:firstLine="709"/>
        <w:jc w:val="both"/>
      </w:pPr>
      <w:r>
        <w:rPr>
          <w:rFonts w:ascii="Times New Roman" w:hAnsi="Times New Roman" w:cs="Times New Roman"/>
          <w:rFonts w:ascii="Times New Roman" w:hAnsi="Times New Roman"/>
          <w:b w:val="0"/>
          <w:i w:val="0"/>
          <w:sz w:val="22"/>
          <w:u w:val="none"/>
        </w:rPr>
        <w:t>· Au sous-sol : un escalier d’accès au sous-sol, un palier d’étage et trois caves.</w:t>
      </w:r>
    </w:p>
    <w:p>
      <w:pPr>
        <w:spacing w:after="0" w:before="0"/>
        <w:ind w:firstLine="709"/>
        <w:jc w:val="both"/>
      </w:pPr>
      <w:r>
        <w:rPr>
          <w:rFonts w:ascii="Times New Roman" w:hAnsi="Times New Roman" w:cs="Times New Roman"/>
          <w:rFonts w:ascii="Times New Roman" w:hAnsi="Times New Roman"/>
          <w:b w:val="0"/>
          <w:i w:val="0"/>
          <w:sz w:val="22"/>
          <w:u w:val="none"/>
        </w:rPr>
        <w:t>· Au rez-de-chaussée : un hall d’entrée avec 5 boites aux lettres, une cage d’escalier et 4 lots à usage de local.</w:t>
      </w:r>
    </w:p>
    <w:p>
      <w:pPr>
        <w:spacing w:after="0" w:before="0"/>
        <w:ind w:firstLine="709"/>
        <w:jc w:val="both"/>
      </w:pPr>
      <w:r>
        <w:rPr>
          <w:rFonts w:ascii="Times New Roman" w:hAnsi="Times New Roman" w:cs="Times New Roman"/>
          <w:rFonts w:ascii="Times New Roman" w:hAnsi="Times New Roman"/>
          <w:b w:val="0"/>
          <w:i w:val="0"/>
          <w:sz w:val="22"/>
          <w:u w:val="none"/>
        </w:rPr>
        <w:t>· Au premier étage : une cage d’escalier, un ancien WC et un palier d’étage desservant deux lots à usage de logement dont un en duplex avec les combles et un lot à usage de local.</w:t>
      </w:r>
    </w:p>
    <w:p>
      <w:pPr>
        <w:spacing w:after="0" w:before="0"/>
        <w:ind w:firstLine="709"/>
        <w:jc w:val="both"/>
      </w:pPr>
      <w:r>
        <w:rPr>
          <w:rFonts w:ascii="Times New Roman" w:hAnsi="Times New Roman" w:cs="Times New Roman"/>
          <w:rFonts w:ascii="Times New Roman" w:hAnsi="Times New Roman"/>
          <w:b w:val="0"/>
          <w:i w:val="0"/>
          <w:sz w:val="22"/>
          <w:u w:val="none"/>
        </w:rPr>
        <w:t>· Au deuxième étage (combles) : un palier d’étage desservant un lot à usage de logement et deux greniers.</w:t>
      </w:r>
    </w:p>
    <w:p>
      <w:pPr>
        <w:spacing w:after="0" w:before="0"/>
        <w:ind w:firstLine="709"/>
        <w:jc w:val="both"/>
      </w:pPr>
      <w:r>
        <w:rPr>
          <w:rFonts w:ascii="Times New Roman" w:hAnsi="Times New Roman" w:cs="Times New Roman"/>
          <w:rFonts w:ascii="Times New Roman" w:hAnsi="Times New Roman"/>
          <w:b/>
          <w:i w:val="0"/>
          <w:sz w:val="22"/>
          <w:u w:val="single"/>
        </w:rPr>
        <w:t>Bâtiment B</w:t>
      </w:r>
      <w:r>
        <w:rPr>
          <w:rFonts w:ascii="Times New Roman" w:hAnsi="Times New Roman" w:cs="Times New Roman"/>
          <w:rFonts w:ascii="Times New Roman" w:hAnsi="Times New Roman"/>
          <w:b w:val="0"/>
          <w:i w:val="0"/>
          <w:sz w:val="22"/>
          <w:u w:val="single"/>
        </w:rPr>
        <w:t xml:space="preserve"> (allée n°20 sur Grande Rue de la Croix Rousse)</w:t>
      </w:r>
      <w:r>
        <w:rPr>
          <w:rFonts w:ascii="Times New Roman" w:hAnsi="Times New Roman" w:cs="Times New Roman"/>
          <w:rFonts w:ascii="Times New Roman" w:hAnsi="Times New Roman"/>
          <w:b w:val="0"/>
          <w:i w:val="0"/>
          <w:sz w:val="22"/>
          <w:u w:val="none"/>
        </w:rPr>
        <w:t xml:space="preserve"> :</w:t>
      </w:r>
    </w:p>
    <w:p>
      <w:pPr>
        <w:spacing w:after="0" w:before="0"/>
        <w:ind w:firstLine="709"/>
        <w:jc w:val="both"/>
      </w:pPr>
      <w:r>
        <w:rPr>
          <w:rFonts w:ascii="Times New Roman" w:hAnsi="Times New Roman" w:cs="Times New Roman"/>
          <w:rFonts w:ascii="Times New Roman" w:hAnsi="Times New Roman"/>
          <w:b w:val="0"/>
          <w:i w:val="0"/>
          <w:sz w:val="22"/>
          <w:u w:val="none"/>
        </w:rPr>
        <w:t>· Au rez-de-chaussée : un lot à usage d’entrepôt.</w:t>
      </w:r>
    </w:p>
    <w:p>
      <w:pPr>
        <w:spacing w:after="0" w:before="0"/>
        <w:ind w:firstLine="709"/>
        <w:jc w:val="both"/>
      </w:pPr>
      <w:r>
        <w:rPr>
          <w:rFonts w:ascii="Times New Roman" w:hAnsi="Times New Roman" w:cs="Times New Roman"/>
          <w:rFonts w:ascii="Times New Roman" w:hAnsi="Times New Roman"/>
          <w:b w:val="0"/>
          <w:i w:val="0"/>
          <w:sz w:val="22"/>
          <w:u w:val="none"/>
        </w:rPr>
        <w:t>· Au premier étage : depuis un escalier privatif sur cour, un lot à usage de logement.</w:t>
      </w:r>
    </w:p>
    <w:p>
      <w:pPr>
        <w:spacing w:after="0" w:before="0"/>
        <w:ind w:firstLine="709"/>
        <w:jc w:val="both"/>
      </w:pPr>
      <w:r>
        <w:rPr>
          <w:rFonts w:ascii="Times New Roman" w:hAnsi="Times New Roman" w:cs="Times New Roman"/>
          <w:rFonts w:ascii="Times New Roman" w:hAnsi="Times New Roman"/>
          <w:b/>
          <w:i w:val="0"/>
          <w:sz w:val="22"/>
          <w:u w:val="single"/>
        </w:rPr>
        <w:t>Bâtiment C</w:t>
      </w:r>
      <w:r>
        <w:rPr>
          <w:rFonts w:ascii="Times New Roman" w:hAnsi="Times New Roman" w:cs="Times New Roman"/>
          <w:rFonts w:ascii="Times New Roman" w:hAnsi="Times New Roman"/>
          <w:b w:val="0"/>
          <w:i w:val="0"/>
          <w:sz w:val="22"/>
          <w:u w:val="single"/>
        </w:rPr>
        <w:t xml:space="preserve"> (allée n°20 sur Grande Rue de la Croix Rousse)</w:t>
      </w:r>
      <w:r>
        <w:rPr>
          <w:rFonts w:ascii="Times New Roman" w:hAnsi="Times New Roman" w:cs="Times New Roman"/>
          <w:rFonts w:ascii="Times New Roman" w:hAnsi="Times New Roman"/>
          <w:b w:val="0"/>
          <w:i w:val="0"/>
          <w:sz w:val="22"/>
          <w:u w:val="none"/>
        </w:rPr>
        <w:t xml:space="preserve"> :</w:t>
      </w:r>
    </w:p>
    <w:p>
      <w:pPr>
        <w:spacing w:after="0" w:before="0"/>
        <w:ind w:firstLine="709"/>
        <w:jc w:val="both"/>
      </w:pPr>
      <w:r>
        <w:rPr>
          <w:rFonts w:ascii="Times New Roman" w:hAnsi="Times New Roman" w:cs="Times New Roman"/>
          <w:rFonts w:ascii="Times New Roman" w:hAnsi="Times New Roman"/>
          <w:b w:val="0"/>
          <w:i w:val="0"/>
          <w:sz w:val="22"/>
          <w:u w:val="none"/>
        </w:rPr>
        <w:t>· Au rez-de-chaussée : un lot à usage de hangar.</w:t>
      </w:r>
    </w:p>
    <w:p>
      <w:pPr>
        <w:spacing w:after="0" w:before="0"/>
        <w:ind w:firstLine="709"/>
        <w:jc w:val="both"/>
      </w:pPr>
      <w:r>
        <w:rPr>
          <w:rFonts w:ascii="Times New Roman" w:hAnsi="Times New Roman" w:cs="Times New Roman"/>
          <w:rFonts w:ascii="Times New Roman" w:hAnsi="Times New Roman"/>
          <w:b w:val="0"/>
          <w:i w:val="0"/>
          <w:sz w:val="22"/>
          <w:u w:val="single"/>
        </w:rPr>
        <w:t>Figurant ainsi au cadastre</w:t>
      </w:r>
      <w:r>
        <w:rPr>
          <w:rFonts w:ascii="Times New Roman" w:hAnsi="Times New Roman" w:cs="Times New Roman"/>
          <w:rFonts w:ascii="Times New Roman" w:hAnsi="Times New Roman"/>
          <w:b w:val="0"/>
          <w:i w:val="0"/>
          <w:sz w:val="22"/>
          <w:u w:val="none"/>
        </w:rPr>
        <w:t xml:space="preserve"> :</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13"/>
        <w:gridCol w:w="1913"/>
        <w:gridCol w:w="1913"/>
        <w:gridCol w:w="1913"/>
      </w:tblGrid>
      <w:tr>
        <w:tc>
          <w:tcPr>
            <w:tcW w:type="dxa" w:w="1913"/>
          </w:tcPr>
          <w:p>
            <w:pPr>
              <w:spacing w:after="0" w:before="0"/>
              <w:jc w:val="left"/>
            </w:pPr>
            <w:r>
              <w:rPr>
                <w:rFonts w:ascii="Times New Roman" w:hAnsi="Times New Roman" w:cs="Times New Roman"/>
                <w:rFonts w:ascii="Times New Roman" w:hAnsi="Times New Roman"/>
                <w:b/>
                <w:i w:val="0"/>
                <w:sz w:val="22"/>
                <w:u w:val="none"/>
              </w:rPr>
              <w:t>Section</w:t>
            </w:r>
          </w:p>
        </w:tc>
        <w:tc>
          <w:tcPr>
            <w:tcW w:type="dxa" w:w="1913"/>
          </w:tcPr>
          <w:p>
            <w:pPr>
              <w:spacing w:after="0" w:before="0"/>
              <w:jc w:val="left"/>
            </w:pPr>
            <w:r>
              <w:rPr>
                <w:rFonts w:ascii="Times New Roman" w:hAnsi="Times New Roman" w:cs="Times New Roman"/>
                <w:rFonts w:ascii="Times New Roman" w:hAnsi="Times New Roman"/>
                <w:b/>
                <w:i w:val="0"/>
                <w:sz w:val="22"/>
                <w:u w:val="none"/>
              </w:rPr>
              <w:t>N°</w:t>
            </w:r>
          </w:p>
        </w:tc>
        <w:tc>
          <w:tcPr>
            <w:tcW w:type="dxa" w:w="1913"/>
          </w:tcPr>
          <w:p>
            <w:pPr>
              <w:spacing w:after="0" w:before="0"/>
              <w:jc w:val="left"/>
            </w:pPr>
            <w:r>
              <w:rPr>
                <w:rFonts w:ascii="Times New Roman" w:hAnsi="Times New Roman" w:cs="Times New Roman"/>
                <w:rFonts w:ascii="Times New Roman" w:hAnsi="Times New Roman"/>
                <w:b/>
                <w:i w:val="0"/>
                <w:sz w:val="22"/>
                <w:u w:val="none"/>
              </w:rPr>
              <w:t>Lieudit</w:t>
            </w:r>
          </w:p>
        </w:tc>
        <w:tc>
          <w:tcPr>
            <w:tcW w:type="dxa" w:w="1913"/>
          </w:tcPr>
          <w:p>
            <w:pPr>
              <w:spacing w:after="0" w:before="0"/>
              <w:jc w:val="left"/>
            </w:pPr>
            <w:r>
              <w:rPr>
                <w:rFonts w:ascii="Times New Roman" w:hAnsi="Times New Roman" w:cs="Times New Roman"/>
                <w:rFonts w:ascii="Times New Roman" w:hAnsi="Times New Roman"/>
                <w:b/>
                <w:i w:val="0"/>
                <w:sz w:val="22"/>
                <w:u w:val="none"/>
              </w:rPr>
              <w:t>Surface</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AS</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0105</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20 GDE RUE DE LA CROIX ROUSSE</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00 ha 03 a 56 ca</w:t>
            </w:r>
          </w:p>
        </w:tc>
      </w:tr>
    </w:tbl>
    <w:p>
      <w:pPr>
        <w:spacing w:after="120" w:before="0"/>
      </w:pPr>
    </w:p>
    <w:p>
      <w:pPr>
        <w:spacing w:after="0" w:before="0"/>
        <w:ind w:firstLine="709"/>
        <w:jc w:val="both"/>
      </w:pPr>
      <w:r>
        <w:rPr>
          <w:rFonts w:ascii="Times New Roman" w:hAnsi="Times New Roman" w:cs="Times New Roman"/>
          <w:rFonts w:ascii="Times New Roman" w:hAnsi="Times New Roman"/>
          <w:b/>
          <w:i w:val="0"/>
          <w:sz w:val="22"/>
          <w:u w:val="single"/>
        </w:rPr>
        <w:t>PLAN CADASTRAL</w:t>
      </w:r>
    </w:p>
    <w:p>
      <w:pPr>
        <w:spacing w:after="0" w:before="0"/>
        <w:ind w:firstLine="709"/>
        <w:jc w:val="both"/>
      </w:pPr>
      <w:r>
        <w:rPr>
          <w:rFonts w:ascii="Times New Roman" w:hAnsi="Times New Roman" w:cs="Times New Roman"/>
          <w:rFonts w:ascii="Times New Roman" w:hAnsi="Times New Roman"/>
          <w:b w:val="0"/>
          <w:i w:val="0"/>
          <w:sz w:val="22"/>
          <w:u w:val="none"/>
        </w:rPr>
        <w:t>Un extrait de plan cadastral est annexé.</w:t>
      </w:r>
    </w:p>
    <w:p>
      <w:pPr>
        <w:spacing w:after="0" w:before="0"/>
        <w:ind w:firstLine="709"/>
        <w:jc w:val="both"/>
      </w:pPr>
      <w:r>
        <w:rPr>
          <w:rFonts w:ascii="Times New Roman" w:hAnsi="Times New Roman" w:cs="Times New Roman"/>
          <w:rFonts w:ascii="Times New Roman" w:hAnsi="Times New Roman"/>
          <w:b/>
          <w:i w:val="0"/>
          <w:sz w:val="22"/>
          <w:u w:val="none"/>
        </w:rPr>
        <w:t>Annexe n°</w:t>
      </w:r>
      <w:r>
        <w:rPr>
          <w:rFonts w:ascii="Times New Roman" w:hAnsi="Times New Roman" w:cs="Times New Roman"/>
          <w:rFonts w:ascii="Times New Roman" w:hAnsi="Times New Roman"/>
          <w:b w:val="0"/>
          <w:i w:val="0"/>
          <w:sz w:val="22"/>
          <w:u w:val="none"/>
        </w:rPr>
        <w:t>4</w:t>
      </w:r>
      <w:r>
        <w:rPr>
          <w:rFonts w:ascii="Times New Roman" w:hAnsi="Times New Roman" w:cs="Times New Roman"/>
          <w:rFonts w:ascii="Times New Roman" w:hAnsi="Times New Roman"/>
          <w:b/>
          <w:i w:val="0"/>
          <w:sz w:val="22"/>
          <w:u w:val="none"/>
        </w:rPr>
        <w:t xml:space="preserve"> : Plan cadastral </w:t>
      </w:r>
    </w:p>
    <w:p>
      <w:pPr>
        <w:spacing w:after="0" w:before="0"/>
        <w:ind w:firstLine="709"/>
        <w:jc w:val="both"/>
      </w:pPr>
      <w:r>
        <w:rPr>
          <w:rFonts w:ascii="Times New Roman" w:hAnsi="Times New Roman" w:cs="Times New Roman"/>
          <w:rFonts w:ascii="Times New Roman" w:hAnsi="Times New Roman"/>
          <w:b/>
          <w:i w:val="0"/>
          <w:sz w:val="22"/>
          <w:u w:val="single"/>
        </w:rPr>
        <w:t>I</w:t>
      </w:r>
      <w:r>
        <w:rPr>
          <w:rFonts w:ascii="Times New Roman" w:hAnsi="Times New Roman" w:cs="Times New Roman"/>
          <w:rFonts w:ascii="Times New Roman" w:hAnsi="Times New Roman"/>
          <w:b/>
          <w:i w:val="0"/>
          <w:sz w:val="22"/>
          <w:u w:val="single"/>
        </w:rPr>
        <w:t>I.</w:t>
      </w:r>
      <w:r>
        <w:rPr>
          <w:rFonts w:ascii="Times New Roman" w:hAnsi="Times New Roman" w:cs="Times New Roman"/>
          <w:rFonts w:ascii="Times New Roman" w:hAnsi="Times New Roman"/>
          <w:b/>
          <w:i w:val="0"/>
          <w:sz w:val="22"/>
          <w:u w:val="single"/>
        </w:rPr>
        <w:t xml:space="preserve"> </w:t>
      </w:r>
      <w:r>
        <w:rPr>
          <w:rFonts w:ascii="Times New Roman" w:hAnsi="Times New Roman" w:cs="Times New Roman"/>
          <w:rFonts w:ascii="Times New Roman" w:hAnsi="Times New Roman"/>
          <w:b/>
          <w:i w:val="0"/>
          <w:sz w:val="22"/>
          <w:u w:val="single"/>
        </w:rPr>
        <w:t>ÉTAT DESCRIPTIF DE DIVISION – REGLEMENT DE COPROPRIETE</w:t>
      </w:r>
    </w:p>
    <w:p>
      <w:pPr>
        <w:spacing w:after="0" w:before="0"/>
        <w:ind w:firstLine="709"/>
        <w:jc w:val="both"/>
      </w:pPr>
      <w:r>
        <w:rPr>
          <w:rFonts w:ascii="Times New Roman" w:hAnsi="Times New Roman" w:cs="Times New Roman"/>
          <w:rFonts w:ascii="Times New Roman" w:hAnsi="Times New Roman"/>
          <w:b w:val="0"/>
          <w:i w:val="0"/>
          <w:sz w:val="22"/>
          <w:u w:val="none"/>
        </w:rPr>
        <w:t>L’ensemble immobilier a fait l'objet d’un état descriptif de division et règlement de copropriété établi aux termes d'un acte sous signature privée en date à LYON 1ER (Rhône), du 25 novembre 1954      , déposé au rang des minutes de Maître Joseph MAGNARD, alors notaire à LYON (Rhône), aux termes d’un acte en date du 29 décembre 1954       publié au service de la publicité foncière de LYON 1, le 27 décembre 1954 volume 2006 numéro 27.</w:t>
      </w:r>
    </w:p>
    <w:p>
      <w:pPr>
        <w:spacing w:after="0" w:before="0"/>
        <w:ind w:firstLine="709"/>
        <w:jc w:val="both"/>
      </w:pPr>
      <w:r>
        <w:rPr>
          <w:rFonts w:ascii="Times New Roman" w:hAnsi="Times New Roman" w:cs="Times New Roman"/>
          <w:rFonts w:ascii="Times New Roman" w:hAnsi="Times New Roman"/>
          <w:b/>
          <w:i w:val="0"/>
          <w:sz w:val="22"/>
          <w:u w:val="none"/>
        </w:rPr>
        <w:t xml:space="preserve"> Aux termes de cet acte, l’ensemble immobilier a é</w:t>
      </w:r>
      <w:r>
        <w:rPr>
          <w:rFonts w:ascii="Times New Roman" w:hAnsi="Times New Roman" w:cs="Times New Roman"/>
          <w:rFonts w:ascii="Times New Roman" w:hAnsi="Times New Roman"/>
          <w:b w:val="0"/>
          <w:i w:val="0"/>
          <w:sz w:val="22"/>
          <w:u w:val="none"/>
        </w:rPr>
        <w:t>t</w:t>
      </w:r>
      <w:r>
        <w:rPr>
          <w:rFonts w:ascii="Times New Roman" w:hAnsi="Times New Roman" w:cs="Times New Roman"/>
          <w:rFonts w:ascii="Times New Roman" w:hAnsi="Times New Roman"/>
          <w:b/>
          <w:i w:val="0"/>
          <w:sz w:val="22"/>
          <w:u w:val="none"/>
        </w:rPr>
        <w:t>é divisé en dix (10) lots numérotés d</w:t>
      </w:r>
      <w:r>
        <w:rPr>
          <w:rFonts w:ascii="Times New Roman" w:hAnsi="Times New Roman" w:cs="Times New Roman"/>
          <w:rFonts w:ascii="Times New Roman" w:hAnsi="Times New Roman"/>
          <w:b w:val="0"/>
          <w:i w:val="0"/>
          <w:sz w:val="22"/>
          <w:u w:val="none"/>
        </w:rPr>
        <w:t>’</w:t>
      </w:r>
      <w:r>
        <w:rPr>
          <w:rFonts w:ascii="Times New Roman" w:hAnsi="Times New Roman" w:cs="Times New Roman"/>
          <w:rFonts w:ascii="Times New Roman" w:hAnsi="Times New Roman"/>
          <w:b/>
          <w:i w:val="0"/>
          <w:sz w:val="22"/>
          <w:u w:val="none"/>
        </w:rPr>
        <w:t>un (1) à dix (10)</w:t>
      </w:r>
    </w:p>
    <w:p>
      <w:pPr>
        <w:spacing w:after="0" w:before="0"/>
        <w:ind w:firstLine="709"/>
        <w:jc w:val="both"/>
      </w:pPr>
      <w:r>
        <w:rPr>
          <w:rFonts w:ascii="Times New Roman" w:hAnsi="Times New Roman" w:cs="Times New Roman"/>
          <w:rFonts w:ascii="Times New Roman" w:hAnsi="Times New Roman"/>
          <w:b w:val="0"/>
          <w:i w:val="0"/>
          <w:sz w:val="22"/>
          <w:u w:val="single"/>
        </w:rPr>
        <w:t>L’état descriptif de division - règlement de copropriété a été modifié</w:t>
      </w:r>
      <w:r>
        <w:rPr>
          <w:rFonts w:ascii="Times New Roman" w:hAnsi="Times New Roman" w:cs="Times New Roman"/>
          <w:rFonts w:ascii="Times New Roman" w:hAnsi="Times New Roman"/>
          <w:b w:val="0"/>
          <w:i w:val="0"/>
          <w:sz w:val="22"/>
          <w:u w:val="none"/>
        </w:rPr>
        <w:t xml:space="preserve">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aux termes d'un acte reçu par Maître PINCON, notaire à LYON 3 ÈME (Rhône) le 10 septembre 1987      , publié au service de la publicité foncière de LYON 1 le 10 novembre 1987, volume 1987P, numéro 8057.</w:t>
      </w:r>
    </w:p>
    <w:p>
      <w:pPr>
        <w:spacing w:after="0" w:before="0"/>
        <w:ind w:firstLine="709"/>
        <w:jc w:val="both"/>
      </w:pPr>
      <w:r>
        <w:rPr>
          <w:rFonts w:ascii="Times New Roman" w:hAnsi="Times New Roman" w:cs="Times New Roman"/>
          <w:rFonts w:ascii="Times New Roman" w:hAnsi="Times New Roman"/>
          <w:b w:val="0"/>
          <w:i w:val="0"/>
          <w:sz w:val="22"/>
          <w:u w:val="none"/>
        </w:rPr>
        <w:t>Une attestation rectificative a été établie par le notaire le 10 février 1988 et publiée au service de la publicité foncière le 12 février 1988 volume 1988P numéro 1385.</w:t>
      </w:r>
    </w:p>
    <w:p>
      <w:pPr>
        <w:spacing w:after="0" w:before="0"/>
        <w:ind w:firstLine="709"/>
        <w:jc w:val="both"/>
      </w:pPr>
      <w:r>
        <w:rPr>
          <w:rFonts w:ascii="Times New Roman" w:hAnsi="Times New Roman" w:cs="Times New Roman"/>
          <w:rFonts w:ascii="Times New Roman" w:hAnsi="Times New Roman"/>
          <w:b/>
          <w:i w:val="0"/>
          <w:sz w:val="22"/>
          <w:u w:val="none"/>
        </w:rPr>
        <w:t>Audit acte il a été constaté la division des lots un (1) et deux (2), et la création des lots onze (11) à quatorze (14).</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aux termes d'un acte reçu par Maître Pierre MAGNIN, alors notaire à CHAZAY D'AZERGUES (Rhône) le 10 mai 1995      , publié au service de la publicité foncière de LYON 1 le 7 juillet 1995, volume 1995P, numéro 4866.</w:t>
      </w:r>
    </w:p>
    <w:p>
      <w:pPr>
        <w:spacing w:after="0" w:before="0"/>
        <w:ind w:firstLine="709"/>
        <w:jc w:val="both"/>
      </w:pPr>
      <w:r>
        <w:rPr>
          <w:rFonts w:ascii="Times New Roman" w:hAnsi="Times New Roman" w:cs="Times New Roman"/>
          <w:rFonts w:ascii="Times New Roman" w:hAnsi="Times New Roman"/>
          <w:b/>
          <w:i w:val="0"/>
          <w:sz w:val="22"/>
          <w:u w:val="none"/>
        </w:rPr>
        <w:t xml:space="preserve"> Audit acte il a été constaté la division du lot numéro quatorze (14) et la création des lots quinze (15) et seize (16) </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aux termes d'un acte reçu par Maître Grégory DUTEL, notaire à LYON 6 ÈME (Rhône) le 30 juin 2014      , publié au service de la publicité foncière de LYON 1 le 9 juillet 2014, volume 2014P, numéro 5149.</w:t>
      </w:r>
    </w:p>
    <w:p>
      <w:pPr>
        <w:spacing w:after="0" w:before="0"/>
        <w:ind w:firstLine="709"/>
        <w:jc w:val="both"/>
      </w:pPr>
      <w:r>
        <w:rPr>
          <w:rFonts w:ascii="Times New Roman" w:hAnsi="Times New Roman" w:cs="Times New Roman"/>
          <w:rFonts w:ascii="Times New Roman" w:hAnsi="Times New Roman"/>
          <w:b/>
          <w:i w:val="0"/>
          <w:sz w:val="22"/>
          <w:u w:val="none"/>
        </w:rPr>
        <w:t xml:space="preserve">Audit acte il a été constaté la </w:t>
      </w:r>
      <w:r>
        <w:rPr>
          <w:rFonts w:ascii="Times New Roman" w:hAnsi="Times New Roman" w:cs="Times New Roman"/>
          <w:rFonts w:ascii="Times New Roman" w:hAnsi="Times New Roman"/>
          <w:b w:val="0"/>
          <w:i w:val="0"/>
          <w:sz w:val="22"/>
          <w:u w:val="none"/>
        </w:rPr>
        <w:t>création du lot dix-sept (17) par prélèvement sur les parties communes.</w:t>
      </w:r>
    </w:p>
    <w:p>
      <w:pPr>
        <w:spacing w:after="40"/>
        <w:ind w:left="340" w:hanging="170"/>
        <w:jc w:val="both"/>
      </w:pPr>
      <w:r>
        <w:rPr>
          <w:rFonts w:ascii="Times New Roman" w:hAnsi="Times New Roman" w:cs="Times New Roman"/>
          <w:rFonts w:ascii="Times New Roman" w:hAnsi="Times New Roman"/>
          <w:sz w:val="22"/>
        </w:rPr>
        <w:t xml:space="preserve">- </w:t>
      </w:r>
      <w:r>
        <w:rPr>
          <w:rFonts w:ascii="Times New Roman" w:hAnsi="Times New Roman" w:cs="Times New Roman"/>
          <w:rFonts w:ascii="Times New Roman" w:hAnsi="Times New Roman"/>
          <w:b w:val="0"/>
          <w:i w:val="0"/>
          <w:sz w:val="22"/>
          <w:u w:val="none"/>
        </w:rPr>
        <w:t>aux termes d'un acte reçu par Maître Grégory DUTEL, notaire à LYON 6 ÈME (Rhône) le 17 juillet 2014      , publié au service de la publicité foncière de LYON 1 le 30 juillet 2014, volume 2014P, numéro 5906.</w:t>
      </w:r>
    </w:p>
    <w:p>
      <w:pPr>
        <w:spacing w:after="0" w:before="0"/>
        <w:ind w:firstLine="709"/>
        <w:jc w:val="both"/>
      </w:pPr>
      <w:r>
        <w:rPr>
          <w:rFonts w:ascii="Times New Roman" w:hAnsi="Times New Roman" w:cs="Times New Roman"/>
          <w:rFonts w:ascii="Times New Roman" w:hAnsi="Times New Roman"/>
          <w:b w:val="0"/>
          <w:i w:val="0"/>
          <w:sz w:val="22"/>
          <w:u w:val="none"/>
        </w:rPr>
        <w:t>Une attestation rectificative a été établie par le notaire le 9 janvier 2015 et publiée au service de la publicité foncière le 14 janvier 2015 volume 2015P numéro 275.</w:t>
      </w:r>
    </w:p>
    <w:p>
      <w:pPr>
        <w:spacing w:after="0" w:before="0"/>
        <w:ind w:firstLine="709"/>
        <w:jc w:val="both"/>
      </w:pPr>
      <w:r>
        <w:rPr>
          <w:rFonts w:ascii="Times New Roman" w:hAnsi="Times New Roman" w:cs="Times New Roman"/>
          <w:rFonts w:ascii="Times New Roman" w:hAnsi="Times New Roman"/>
          <w:b/>
          <w:i w:val="0"/>
          <w:sz w:val="22"/>
          <w:u w:val="none"/>
        </w:rPr>
        <w:t xml:space="preserve">Audit acte il a été constaté la </w:t>
      </w:r>
      <w:r>
        <w:rPr>
          <w:rFonts w:ascii="Times New Roman" w:hAnsi="Times New Roman" w:cs="Times New Roman"/>
          <w:rFonts w:ascii="Times New Roman" w:hAnsi="Times New Roman"/>
          <w:b w:val="0"/>
          <w:i w:val="0"/>
          <w:sz w:val="22"/>
          <w:u w:val="none"/>
        </w:rPr>
        <w:t>réunion des lots numéros douze (12), quinze (15) et dix-sept (17) et la création du lot numéro six-huit (18)</w:t>
      </w:r>
    </w:p>
    <w:p>
      <w:pPr>
        <w:spacing w:after="0" w:before="0"/>
        <w:ind w:firstLine="709"/>
        <w:jc w:val="both"/>
      </w:pPr>
      <w:r>
        <w:rPr>
          <w:rFonts w:ascii="Times New Roman" w:hAnsi="Times New Roman" w:cs="Times New Roman"/>
          <w:rFonts w:ascii="Times New Roman" w:hAnsi="Times New Roman"/>
          <w:b/>
          <w:i w:val="0"/>
          <w:sz w:val="22"/>
          <w:u w:val="single"/>
        </w:rPr>
        <w:t xml:space="preserve">III. </w:t>
      </w:r>
      <w:r>
        <w:rPr>
          <w:rFonts w:ascii="Times New Roman" w:hAnsi="Times New Roman" w:cs="Times New Roman"/>
          <w:rFonts w:ascii="Times New Roman" w:hAnsi="Times New Roman"/>
          <w:b/>
          <w:i w:val="0"/>
          <w:sz w:val="22"/>
          <w:u w:val="single"/>
        </w:rPr>
        <w:t>DIVISION</w:t>
      </w:r>
      <w:r>
        <w:rPr>
          <w:rFonts w:ascii="Times New Roman" w:hAnsi="Times New Roman" w:cs="Times New Roman"/>
          <w:rFonts w:ascii="Times New Roman" w:hAnsi="Times New Roman"/>
          <w:b/>
          <w:i w:val="0"/>
          <w:sz w:val="22"/>
          <w:u w:val="single"/>
        </w:rPr>
        <w:t xml:space="preserve"> </w:t>
      </w:r>
      <w:r>
        <w:rPr>
          <w:rFonts w:ascii="Times New Roman" w:hAnsi="Times New Roman" w:cs="Times New Roman"/>
          <w:rFonts w:ascii="Times New Roman" w:hAnsi="Times New Roman"/>
          <w:b/>
          <w:i w:val="0"/>
          <w:sz w:val="22"/>
          <w:u w:val="single"/>
        </w:rPr>
        <w:t xml:space="preserve">DE L'ENSEMBLE IMMOBILIER– ETAT DESCRIPTIF DE DIVISION </w:t>
      </w:r>
    </w:p>
    <w:p>
      <w:pPr>
        <w:spacing w:after="0" w:before="0"/>
        <w:ind w:firstLine="709"/>
        <w:jc w:val="both"/>
      </w:pPr>
      <w:r>
        <w:rPr>
          <w:rFonts w:ascii="Times New Roman" w:hAnsi="Times New Roman" w:cs="Times New Roman"/>
          <w:rFonts w:ascii="Times New Roman" w:hAnsi="Times New Roman"/>
          <w:b w:val="0"/>
          <w:i w:val="0"/>
          <w:sz w:val="22"/>
          <w:u w:val="none"/>
        </w:rPr>
        <w:t xml:space="preserve">L’ensemble immobilier est à ce jour divisé en </w:t>
      </w:r>
      <w:r>
        <w:rPr>
          <w:rFonts w:ascii="Times New Roman" w:hAnsi="Times New Roman" w:cs="Times New Roman"/>
          <w:rFonts w:ascii="Times New Roman" w:hAnsi="Times New Roman"/>
          <w:b/>
          <w:i w:val="0"/>
          <w:sz w:val="22"/>
          <w:u w:val="single"/>
        </w:rPr>
        <w:t>DOUZE  (12)</w:t>
      </w:r>
      <w:r>
        <w:rPr>
          <w:rFonts w:ascii="Times New Roman" w:hAnsi="Times New Roman" w:cs="Times New Roman"/>
          <w:rFonts w:ascii="Times New Roman" w:hAnsi="Times New Roman"/>
          <w:b w:val="0"/>
          <w:i w:val="0"/>
          <w:sz w:val="22"/>
          <w:u w:val="none"/>
        </w:rPr>
        <w:t xml:space="preserve"> lots numérotés de trois (3) à onze (11), treize (13), seize (16) et dix-huit (18).</w:t>
      </w:r>
    </w:p>
    <w:p>
      <w:pPr>
        <w:spacing w:after="0" w:before="0"/>
        <w:ind w:firstLine="709"/>
        <w:jc w:val="both"/>
      </w:pPr>
      <w:r>
        <w:rPr>
          <w:rFonts w:ascii="Times New Roman" w:hAnsi="Times New Roman" w:cs="Times New Roman"/>
          <w:rFonts w:ascii="Times New Roman" w:hAnsi="Times New Roman"/>
          <w:b w:val="0"/>
          <w:i w:val="0"/>
          <w:sz w:val="22"/>
          <w:u w:val="none"/>
        </w:rPr>
        <w:t>L'état descriptif à ce jour est résumé dans le tableau récapitulatif établi ci-après, en vertu des dispositions de l’article 71-5 du décret modifié n° 55-1350 du 14 octobre 1955, portant réforme de la publicité foncière.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913"/>
        <w:gridCol w:w="1913"/>
        <w:gridCol w:w="1913"/>
        <w:gridCol w:w="1913"/>
      </w:tblGrid>
      <w:tr>
        <w:tc>
          <w:tcPr>
            <w:tcW w:type="dxa" w:w="1913"/>
          </w:tcPr>
          <w:p>
            <w:pPr>
              <w:spacing w:after="0" w:before="0"/>
              <w:jc w:val="left"/>
            </w:pPr>
            <w:r>
              <w:rPr>
                <w:rFonts w:ascii="Times New Roman" w:hAnsi="Times New Roman" w:cs="Times New Roman"/>
                <w:rFonts w:ascii="Times New Roman" w:hAnsi="Times New Roman"/>
                <w:b/>
                <w:i w:val="0"/>
                <w:sz w:val="22"/>
                <w:u w:val="none"/>
              </w:rPr>
              <w:t>Numéro des lots</w:t>
            </w:r>
          </w:p>
        </w:tc>
        <w:tc>
          <w:tcPr>
            <w:tcW w:type="dxa" w:w="1913"/>
          </w:tcPr>
          <w:p>
            <w:pPr>
              <w:spacing w:after="0" w:before="0"/>
              <w:jc w:val="left"/>
            </w:pPr>
            <w:r>
              <w:rPr>
                <w:rFonts w:ascii="Times New Roman" w:hAnsi="Times New Roman" w:cs="Times New Roman"/>
                <w:rFonts w:ascii="Times New Roman" w:hAnsi="Times New Roman"/>
                <w:b/>
                <w:i w:val="0"/>
                <w:sz w:val="22"/>
                <w:u w:val="none"/>
              </w:rPr>
              <w:t>Etage</w:t>
            </w:r>
          </w:p>
        </w:tc>
        <w:tc>
          <w:tcPr>
            <w:tcW w:type="dxa" w:w="1913"/>
          </w:tcPr>
          <w:p>
            <w:pPr>
              <w:spacing w:after="0" w:before="0"/>
              <w:jc w:val="left"/>
            </w:pPr>
            <w:r>
              <w:rPr>
                <w:rFonts w:ascii="Times New Roman" w:hAnsi="Times New Roman" w:cs="Times New Roman"/>
                <w:rFonts w:ascii="Times New Roman" w:hAnsi="Times New Roman"/>
                <w:b/>
                <w:i w:val="0"/>
                <w:sz w:val="22"/>
                <w:u w:val="none"/>
              </w:rPr>
              <w:t>Désignation du lot</w:t>
            </w:r>
          </w:p>
        </w:tc>
        <w:tc>
          <w:tcPr>
            <w:tcW w:type="dxa" w:w="1913"/>
          </w:tcPr>
          <w:p>
            <w:pPr>
              <w:spacing w:after="0" w:before="0"/>
              <w:jc w:val="left"/>
            </w:pPr>
            <w:r>
              <w:rPr>
                <w:rFonts w:ascii="Times New Roman" w:hAnsi="Times New Roman" w:cs="Times New Roman"/>
                <w:rFonts w:ascii="Times New Roman" w:hAnsi="Times New Roman"/>
                <w:b/>
                <w:i w:val="0"/>
                <w:sz w:val="22"/>
                <w:u w:val="none"/>
              </w:rPr>
              <w:t>Quote-part générale de copropriété en 1000èmes</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Lot n° 1</w:t>
            </w:r>
          </w:p>
        </w:tc>
        <w:tc>
          <w:tcPr>
            <w:tcW w:type="dxa" w:w="1913"/>
          </w:tcPr>
          <w:p>
            <w:pPr>
              <w:spacing w:after="0" w:before="0"/>
              <w:jc w:val="left"/>
            </w:pPr>
          </w:p>
        </w:tc>
        <w:tc>
          <w:tcPr>
            <w:tcW w:type="dxa" w:w="1913"/>
          </w:tcPr>
          <w:p>
            <w:pPr>
              <w:spacing w:after="0" w:before="0"/>
              <w:jc w:val="left"/>
            </w:pPr>
          </w:p>
        </w:tc>
        <w:tc>
          <w:tcPr>
            <w:tcW w:type="dxa" w:w="1913"/>
          </w:tcPr>
          <w:p>
            <w:pPr>
              <w:spacing w:after="0" w:before="0"/>
              <w:jc w:val="left"/>
            </w:pP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Lot n° 2</w:t>
            </w:r>
          </w:p>
        </w:tc>
        <w:tc>
          <w:tcPr>
            <w:tcW w:type="dxa" w:w="1913"/>
          </w:tcPr>
          <w:p>
            <w:pPr>
              <w:spacing w:after="0" w:before="0"/>
              <w:jc w:val="left"/>
            </w:pPr>
          </w:p>
        </w:tc>
        <w:tc>
          <w:tcPr>
            <w:tcW w:type="dxa" w:w="1913"/>
          </w:tcPr>
          <w:p>
            <w:pPr>
              <w:spacing w:after="0" w:before="0"/>
              <w:jc w:val="left"/>
            </w:pPr>
          </w:p>
        </w:tc>
        <w:tc>
          <w:tcPr>
            <w:tcW w:type="dxa" w:w="1913"/>
          </w:tcPr>
          <w:p>
            <w:pPr>
              <w:spacing w:after="0" w:before="0"/>
              <w:jc w:val="left"/>
            </w:pP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Lot n° 3</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RDC</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Entrepôt</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2</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Lot n° 4</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1er étage</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Logement</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2</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Lot n° 5</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RDC</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Local avec cave</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26</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Lot n° 6</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RDC</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Local</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13</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Lot n° 7</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1er étage</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Local avec et grenier</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10</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Lot n° 8</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1er étage</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Logement</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4</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Lot n° 9</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2ème étage + combles</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Appartement</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4</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Lot n° 10</w:t>
            </w:r>
          </w:p>
        </w:tc>
        <w:tc>
          <w:tcPr>
            <w:tcW w:type="dxa" w:w="1913"/>
          </w:tcPr>
          <w:p>
            <w:pPr>
              <w:spacing w:after="0" w:before="0"/>
              <w:jc w:val="left"/>
            </w:pPr>
          </w:p>
        </w:tc>
        <w:tc>
          <w:tcPr>
            <w:tcW w:type="dxa" w:w="1913"/>
          </w:tcPr>
          <w:p>
            <w:pPr>
              <w:spacing w:after="0" w:before="0"/>
              <w:jc w:val="left"/>
            </w:pPr>
            <w:r>
              <w:rPr>
                <w:rFonts w:ascii="Times New Roman" w:hAnsi="Times New Roman" w:cs="Times New Roman"/>
                <w:rFonts w:ascii="Times New Roman" w:hAnsi="Times New Roman"/>
                <w:b w:val="0"/>
                <w:i w:val="0"/>
                <w:sz w:val="22"/>
                <w:u w:val="none"/>
              </w:rPr>
              <w:t>Hangar</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2</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Lot n° 11</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RDC</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Local</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8</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Lot n° 12</w:t>
            </w:r>
          </w:p>
        </w:tc>
        <w:tc>
          <w:tcPr>
            <w:tcW w:type="dxa" w:w="1913"/>
          </w:tcPr>
          <w:p>
            <w:pPr>
              <w:spacing w:after="0" w:before="0"/>
              <w:jc w:val="left"/>
            </w:pPr>
          </w:p>
        </w:tc>
        <w:tc>
          <w:tcPr>
            <w:tcW w:type="dxa" w:w="1913"/>
          </w:tcPr>
          <w:p>
            <w:pPr>
              <w:spacing w:after="0" w:before="0"/>
              <w:jc w:val="left"/>
            </w:pPr>
          </w:p>
        </w:tc>
        <w:tc>
          <w:tcPr>
            <w:tcW w:type="dxa" w:w="1913"/>
          </w:tcPr>
          <w:p>
            <w:pPr>
              <w:spacing w:after="0" w:before="0"/>
              <w:jc w:val="left"/>
            </w:pP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Lot n° 13</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RDC</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Local</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9</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Lot n° 14</w:t>
            </w:r>
          </w:p>
        </w:tc>
        <w:tc>
          <w:tcPr>
            <w:tcW w:type="dxa" w:w="1913"/>
          </w:tcPr>
          <w:p>
            <w:pPr>
              <w:spacing w:after="0" w:before="0"/>
              <w:jc w:val="left"/>
            </w:pPr>
          </w:p>
        </w:tc>
        <w:tc>
          <w:tcPr>
            <w:tcW w:type="dxa" w:w="1913"/>
          </w:tcPr>
          <w:p>
            <w:pPr>
              <w:spacing w:after="0" w:before="0"/>
              <w:jc w:val="left"/>
            </w:pPr>
          </w:p>
        </w:tc>
        <w:tc>
          <w:tcPr>
            <w:tcW w:type="dxa" w:w="1913"/>
          </w:tcPr>
          <w:p>
            <w:pPr>
              <w:spacing w:after="0" w:before="0"/>
              <w:jc w:val="left"/>
            </w:pP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Lot n° 15</w:t>
            </w:r>
          </w:p>
        </w:tc>
        <w:tc>
          <w:tcPr>
            <w:tcW w:type="dxa" w:w="1913"/>
          </w:tcPr>
          <w:p>
            <w:pPr>
              <w:spacing w:after="0" w:before="0"/>
              <w:jc w:val="left"/>
            </w:pPr>
          </w:p>
        </w:tc>
        <w:tc>
          <w:tcPr>
            <w:tcW w:type="dxa" w:w="1913"/>
          </w:tcPr>
          <w:p>
            <w:pPr>
              <w:spacing w:after="0" w:before="0"/>
              <w:jc w:val="left"/>
            </w:pPr>
          </w:p>
        </w:tc>
        <w:tc>
          <w:tcPr>
            <w:tcW w:type="dxa" w:w="1913"/>
          </w:tcPr>
          <w:p>
            <w:pPr>
              <w:spacing w:after="0" w:before="0"/>
              <w:jc w:val="left"/>
            </w:pP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Lot n° 16</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2ème étage + combles</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Grenier</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1</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Lot n° 17</w:t>
            </w:r>
          </w:p>
        </w:tc>
        <w:tc>
          <w:tcPr>
            <w:tcW w:type="dxa" w:w="1913"/>
          </w:tcPr>
          <w:p>
            <w:pPr>
              <w:spacing w:after="0" w:before="0"/>
              <w:jc w:val="left"/>
            </w:pPr>
          </w:p>
        </w:tc>
        <w:tc>
          <w:tcPr>
            <w:tcW w:type="dxa" w:w="1913"/>
          </w:tcPr>
          <w:p>
            <w:pPr>
              <w:spacing w:after="0" w:before="0"/>
              <w:jc w:val="left"/>
            </w:pPr>
          </w:p>
        </w:tc>
        <w:tc>
          <w:tcPr>
            <w:tcW w:type="dxa" w:w="1913"/>
          </w:tcPr>
          <w:p>
            <w:pPr>
              <w:spacing w:after="0" w:before="0"/>
              <w:jc w:val="left"/>
            </w:pP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Lot n° 18</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1er et 2ème étage + combles</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Logement duplex</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23</w:t>
            </w:r>
          </w:p>
        </w:tc>
      </w:tr>
      <w:tr>
        <w:tc>
          <w:tcPr>
            <w:tcW w:type="dxa" w:w="1913"/>
          </w:tcPr>
          <w:p>
            <w:pPr>
              <w:spacing w:after="0" w:before="0"/>
              <w:jc w:val="left"/>
            </w:pPr>
            <w:r>
              <w:rPr>
                <w:rFonts w:ascii="Times New Roman" w:hAnsi="Times New Roman" w:cs="Times New Roman"/>
                <w:rFonts w:ascii="Times New Roman" w:hAnsi="Times New Roman"/>
                <w:b w:val="0"/>
                <w:i w:val="0"/>
                <w:sz w:val="22"/>
                <w:u w:val="none"/>
              </w:rPr>
              <w:t>TOTAL</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TOTAL</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TOTAL</w:t>
            </w:r>
          </w:p>
        </w:tc>
        <w:tc>
          <w:tcPr>
            <w:tcW w:type="dxa" w:w="1913"/>
          </w:tcPr>
          <w:p>
            <w:pPr>
              <w:spacing w:after="0" w:before="0"/>
              <w:jc w:val="left"/>
            </w:pPr>
            <w:r>
              <w:rPr>
                <w:rFonts w:ascii="Times New Roman" w:hAnsi="Times New Roman" w:cs="Times New Roman"/>
                <w:rFonts w:ascii="Times New Roman" w:hAnsi="Times New Roman"/>
                <w:b w:val="0"/>
                <w:i w:val="0"/>
                <w:sz w:val="22"/>
                <w:u w:val="none"/>
              </w:rPr>
              <w:t>104</w:t>
            </w:r>
          </w:p>
        </w:tc>
      </w:tr>
    </w:tbl>
    <w:p>
      <w:pPr>
        <w:spacing w:after="120" w:before="0"/>
      </w:pPr>
    </w:p>
    <w:p>
      <w:pPr>
        <w:spacing w:after="0" w:before="0"/>
        <w:ind w:firstLine="709"/>
        <w:jc w:val="both"/>
      </w:pPr>
      <w:r>
        <w:rPr>
          <w:rFonts w:ascii="Times New Roman" w:hAnsi="Times New Roman" w:cs="Times New Roman"/>
          <w:rFonts w:ascii="Times New Roman" w:hAnsi="Times New Roman"/>
          <w:b w:val="0"/>
          <w:i w:val="0"/>
          <w:sz w:val="22"/>
          <w:u w:val="none"/>
        </w:rPr>
        <w:t>Il est précisé que le règlement de copropriété initialement établi aux termes d’un acte sous signature privée en date à LYON 1ER (Rhône), du 25 novembre 1954, déposé au rang des minutes de Maître Joseph MAGNARD, alors notaire à LYON (Rhône), aux termes d’un acte en date du 29 décembre 1954 publié au service de la publicité foncière de LYON 1, le 27 décembre 1954 volume 2006 numéro 27, ainsi que ses modificatifs, n’a pas défini de parties communes spéciales par bâtiments.</w:t>
      </w:r>
    </w:p>
    <w:p>
      <w:pPr>
        <w:spacing w:after="0" w:before="0"/>
        <w:ind w:firstLine="709"/>
        <w:jc w:val="both"/>
      </w:pPr>
      <w:r>
        <w:rPr>
          <w:rFonts w:ascii="Times New Roman" w:hAnsi="Times New Roman" w:cs="Times New Roman"/>
          <w:rFonts w:ascii="Times New Roman" w:hAnsi="Times New Roman"/>
          <w:b/>
          <w:i w:val="0"/>
          <w:sz w:val="22"/>
          <w:u w:val="single"/>
        </w:rPr>
        <w:t xml:space="preserve">IV. </w:t>
      </w:r>
      <w:r>
        <w:rPr>
          <w:rFonts w:ascii="Times New Roman" w:hAnsi="Times New Roman" w:cs="Times New Roman"/>
          <w:rFonts w:ascii="Times New Roman" w:hAnsi="Times New Roman"/>
          <w:b/>
          <w:i w:val="0"/>
          <w:sz w:val="22"/>
          <w:u w:val="single"/>
        </w:rPr>
        <w:t>RAPPEL DES STIPULATIONS DU REGLEMENT DE COPROPRIETE</w:t>
      </w:r>
    </w:p>
    <w:p>
      <w:pPr>
        <w:spacing w:after="0" w:before="0"/>
        <w:ind w:firstLine="709"/>
        <w:jc w:val="both"/>
      </w:pPr>
      <w:r>
        <w:rPr>
          <w:rFonts w:ascii="Times New Roman" w:hAnsi="Times New Roman" w:cs="Times New Roman"/>
          <w:rFonts w:ascii="Times New Roman" w:hAnsi="Times New Roman"/>
          <w:b w:val="0"/>
          <w:i w:val="0"/>
          <w:sz w:val="22"/>
          <w:u w:val="none"/>
        </w:rPr>
        <w:t>Il est rappelé qu’aux termes du règlement de copropriété d’origine établi aux termes d’un acte sous signature privée en date à LYON 1ER (Rhône), du 25 novembre 1954, et déposé au rang des minutes de Maître Joseph MAGNARD, alors notaire à LYON (Rhône), le 29 décembre 1954, il est stipulé comme choses communes :</w:t>
      </w:r>
    </w:p>
    <w:p>
      <w:pPr>
        <w:spacing w:after="0" w:before="0"/>
        <w:ind w:firstLine="709"/>
        <w:jc w:val="both"/>
      </w:pP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val="0"/>
          <w:i/>
          <w:sz w:val="22"/>
          <w:u w:val="none"/>
        </w:rPr>
        <w:t>Les toitures, leurs charpentes et zinguerie (exception faite cependant de la toiture du hangar, et de la toiture de la petite maison sur cour qui seront la propriété personnelle des copropriétaires des fractions d’immeubles à qui appartiennent les parties divises correspondantes)</w:t>
      </w:r>
      <w:r>
        <w:rPr>
          <w:rFonts w:ascii="Times New Roman" w:hAnsi="Times New Roman" w:cs="Times New Roman"/>
          <w:rFonts w:ascii="Times New Roman" w:hAnsi="Times New Roman"/>
          <w:b w:val="0"/>
          <w:i w:val="0"/>
          <w:sz w:val="22"/>
          <w:u w:val="none"/>
        </w:rPr>
        <w:t xml:space="preserve"> ».</w:t>
      </w:r>
    </w:p>
    <w:p>
      <w:pPr>
        <w:spacing w:after="0" w:before="0"/>
        <w:ind w:firstLine="709"/>
        <w:jc w:val="both"/>
      </w:pPr>
      <w:r>
        <w:rPr>
          <w:rFonts w:ascii="Times New Roman" w:hAnsi="Times New Roman" w:cs="Times New Roman"/>
          <w:rFonts w:ascii="Times New Roman" w:hAnsi="Times New Roman"/>
          <w:b/>
          <w:i w:val="0"/>
          <w:sz w:val="22"/>
          <w:u w:val="single"/>
        </w:rPr>
        <w:t xml:space="preserve">V. </w:t>
      </w:r>
      <w:r>
        <w:rPr>
          <w:rFonts w:ascii="Times New Roman" w:hAnsi="Times New Roman" w:cs="Times New Roman"/>
          <w:rFonts w:ascii="Times New Roman" w:hAnsi="Times New Roman"/>
          <w:b/>
          <w:i w:val="0"/>
          <w:sz w:val="22"/>
          <w:u w:val="single"/>
        </w:rPr>
        <w:t>APPROBATION DU PROJET PAR L’ASSEMBLEE GENERALE</w:t>
      </w:r>
      <w:r>
        <w:rPr>
          <w:rFonts w:ascii="Times New Roman" w:hAnsi="Times New Roman" w:cs="Times New Roman"/>
          <w:rFonts w:ascii="Times New Roman" w:hAnsi="Times New Roman"/>
          <w:b/>
          <w:i w:val="0"/>
          <w:sz w:val="22"/>
          <w:u w:val="single"/>
        </w:rPr>
        <w:t xml:space="preserve"> </w:t>
      </w:r>
      <w:r>
        <w:rPr>
          <w:rFonts w:ascii="Times New Roman" w:hAnsi="Times New Roman" w:cs="Times New Roman"/>
          <w:rFonts w:ascii="Times New Roman" w:hAnsi="Times New Roman"/>
          <w:b/>
          <w:i w:val="0"/>
          <w:sz w:val="22"/>
          <w:u w:val="single"/>
        </w:rPr>
        <w:t xml:space="preserve">DU 2 </w:t>
      </w:r>
      <w:r>
        <w:rPr>
          <w:rFonts w:ascii="Times New Roman" w:hAnsi="Times New Roman" w:cs="Times New Roman"/>
          <w:rFonts w:ascii="Times New Roman" w:hAnsi="Times New Roman"/>
          <w:b/>
          <w:i w:val="0"/>
          <w:sz w:val="22"/>
          <w:u w:val="single"/>
        </w:rPr>
        <w:t xml:space="preserve">MARS </w:t>
      </w:r>
      <w:r>
        <w:rPr>
          <w:rFonts w:ascii="Times New Roman" w:hAnsi="Times New Roman" w:cs="Times New Roman"/>
          <w:rFonts w:ascii="Times New Roman" w:hAnsi="Times New Roman"/>
          <w:b/>
          <w:i w:val="0"/>
          <w:sz w:val="22"/>
          <w:u w:val="single"/>
        </w:rPr>
        <w:t>202</w:t>
      </w:r>
      <w:r>
        <w:rPr>
          <w:rFonts w:ascii="Times New Roman" w:hAnsi="Times New Roman" w:cs="Times New Roman"/>
          <w:rFonts w:ascii="Times New Roman" w:hAnsi="Times New Roman"/>
          <w:b/>
          <w:i w:val="0"/>
          <w:sz w:val="22"/>
          <w:u w:val="single"/>
        </w:rPr>
        <w:t>2</w:t>
      </w:r>
    </w:p>
    <w:p>
      <w:pPr>
        <w:spacing w:after="0" w:before="0"/>
        <w:ind w:firstLine="709"/>
        <w:jc w:val="both"/>
      </w:pPr>
      <w:r>
        <w:rPr>
          <w:rFonts w:ascii="Times New Roman" w:hAnsi="Times New Roman" w:cs="Times New Roman"/>
          <w:rFonts w:ascii="Times New Roman" w:hAnsi="Times New Roman"/>
          <w:b w:val="0"/>
          <w:i w:val="0"/>
          <w:sz w:val="22"/>
          <w:u w:val="none"/>
        </w:rPr>
        <w:t xml:space="preserve">L’assemblée générale des copropriétaires, réunie le </w:t>
      </w:r>
      <w:r>
        <w:rPr>
          <w:rFonts w:ascii="Times New Roman" w:hAnsi="Times New Roman" w:cs="Times New Roman"/>
          <w:rFonts w:ascii="Times New Roman" w:hAnsi="Times New Roman"/>
          <w:b/>
          <w:i w:val="0"/>
          <w:sz w:val="22"/>
          <w:u w:val="none"/>
        </w:rPr>
        <w:t>2 mars 2022</w:t>
      </w:r>
      <w:r>
        <w:rPr>
          <w:rFonts w:ascii="Times New Roman" w:hAnsi="Times New Roman" w:cs="Times New Roman"/>
          <w:rFonts w:ascii="Times New Roman" w:hAnsi="Times New Roman"/>
          <w:b w:val="0"/>
          <w:i w:val="0"/>
          <w:sz w:val="22"/>
          <w:u w:val="none"/>
        </w:rPr>
        <w:t>, a décidé, en application de l’article 26 de la loi du 10 juillet 1965, de procéder à la création de parties communes spéciales « Bâtiment A », « Bâtiment B » et « Bâtiment C », conformément au projet établi par le cabinet RATELADE &amp; PETITHOMME, géomètres-experts, par l’approbation de la résolution suivante :</w:t>
      </w:r>
    </w:p>
    <w:p>
      <w:pPr>
        <w:spacing w:after="0" w:before="0"/>
        <w:ind w:firstLine="709"/>
        <w:jc w:val="both"/>
      </w:pPr>
      <w:r>
        <w:rPr>
          <w:rFonts w:ascii="Times New Roman" w:hAnsi="Times New Roman" w:cs="Times New Roman"/>
          <w:rFonts w:ascii="Times New Roman" w:hAnsi="Times New Roman"/>
          <w:b w:val="0"/>
          <w:i/>
          <w:sz w:val="22"/>
          <w:u w:val="none"/>
        </w:rPr>
        <w:t>12) Modification de l'état descriptif de division suivant le projet du cabinet RATELADE ET PETITHOMME, géomètres experts</w:t>
      </w:r>
    </w:p>
    <w:p>
      <w:pPr>
        <w:spacing w:after="0" w:before="0"/>
        <w:ind w:firstLine="709"/>
        <w:jc w:val="both"/>
      </w:pPr>
      <w:r>
        <w:rPr>
          <w:rFonts w:ascii="Times New Roman" w:hAnsi="Times New Roman" w:cs="Times New Roman"/>
          <w:rFonts w:ascii="Times New Roman" w:hAnsi="Times New Roman"/>
          <w:b w:val="0"/>
          <w:i/>
          <w:sz w:val="22"/>
          <w:u w:val="none"/>
        </w:rPr>
        <w:t>Article 26</w:t>
      </w:r>
    </w:p>
    <w:p>
      <w:pPr>
        <w:spacing w:after="0" w:before="0"/>
        <w:ind w:firstLine="709"/>
        <w:jc w:val="both"/>
      </w:pPr>
      <w:r>
        <w:rPr>
          <w:rFonts w:ascii="Times New Roman" w:hAnsi="Times New Roman" w:cs="Times New Roman"/>
          <w:rFonts w:ascii="Times New Roman" w:hAnsi="Times New Roman"/>
          <w:b w:val="0"/>
          <w:i/>
          <w:sz w:val="22"/>
          <w:u w:val="none"/>
        </w:rPr>
        <w:t>Rappel : lors de l'assemblée générale des copropriétaires en date du 24/09/2020 il a été voté la nomination d'un géomètre expert chargé de créer et d'évaluer les nouveaux tantièmes par bâtiment.</w:t>
      </w:r>
    </w:p>
    <w:p>
      <w:pPr>
        <w:spacing w:after="0" w:before="0"/>
        <w:ind w:firstLine="709"/>
        <w:jc w:val="both"/>
      </w:pPr>
      <w:r>
        <w:rPr>
          <w:rFonts w:ascii="Times New Roman" w:hAnsi="Times New Roman" w:cs="Times New Roman"/>
          <w:rFonts w:ascii="Times New Roman" w:hAnsi="Times New Roman"/>
          <w:b w:val="0"/>
          <w:i/>
          <w:sz w:val="22"/>
          <w:u w:val="none"/>
        </w:rPr>
        <w:t>Le cabinet RATELADE ET PETITHOMME a procédé à la création de parties communes spéciales "BATIMENT A ","BATIMENT B" et "BATIMENT C".</w:t>
      </w:r>
    </w:p>
    <w:p>
      <w:pPr>
        <w:spacing w:after="0" w:before="0"/>
        <w:ind w:firstLine="709"/>
        <w:jc w:val="both"/>
      </w:pPr>
      <w:r>
        <w:rPr>
          <w:rFonts w:ascii="Times New Roman" w:hAnsi="Times New Roman" w:cs="Times New Roman"/>
          <w:rFonts w:ascii="Times New Roman" w:hAnsi="Times New Roman"/>
          <w:b w:val="0"/>
          <w:i/>
          <w:sz w:val="22"/>
          <w:u w:val="none"/>
        </w:rPr>
        <w:t>Document joint à la convocation :</w:t>
      </w:r>
    </w:p>
    <w:p>
      <w:pPr>
        <w:spacing w:after="0" w:before="0"/>
        <w:ind w:firstLine="709"/>
        <w:jc w:val="both"/>
      </w:pPr>
      <w:r>
        <w:rPr>
          <w:rFonts w:ascii="Times New Roman" w:hAnsi="Times New Roman" w:cs="Times New Roman"/>
          <w:rFonts w:ascii="Times New Roman" w:hAnsi="Times New Roman"/>
          <w:b w:val="0"/>
          <w:i/>
          <w:sz w:val="22"/>
          <w:u w:val="none"/>
        </w:rPr>
        <w:t>Projet de modificatif de l'état descriptif de division établi par le cabinet RATELADE ET PETITHOMME</w:t>
      </w:r>
    </w:p>
    <w:p>
      <w:pPr>
        <w:spacing w:after="0" w:before="0"/>
        <w:ind w:firstLine="709"/>
        <w:jc w:val="both"/>
      </w:pPr>
      <w:r>
        <w:rPr>
          <w:rFonts w:ascii="Times New Roman" w:hAnsi="Times New Roman" w:cs="Times New Roman"/>
          <w:rFonts w:ascii="Times New Roman" w:hAnsi="Times New Roman"/>
          <w:b w:val="0"/>
          <w:i/>
          <w:sz w:val="22"/>
          <w:u w:val="none"/>
        </w:rPr>
        <w:t>Après délibération l'assemblée générale :</w:t>
      </w:r>
    </w:p>
    <w:p>
      <w:pPr>
        <w:spacing w:after="0" w:before="0"/>
        <w:ind w:firstLine="709"/>
        <w:jc w:val="both"/>
      </w:pPr>
      <w:r>
        <w:rPr>
          <w:rFonts w:ascii="Times New Roman" w:hAnsi="Times New Roman" w:cs="Times New Roman"/>
          <w:rFonts w:ascii="Times New Roman" w:hAnsi="Times New Roman"/>
          <w:b w:val="0"/>
          <w:i/>
          <w:sz w:val="22"/>
          <w:u w:val="none"/>
        </w:rPr>
        <w:t>- Valide le modificatif de l'état descriptif de division et la création des tantièmes bâtiments établi par le cabinet RATELADE ET PETITHOMME</w:t>
      </w:r>
    </w:p>
    <w:p>
      <w:pPr>
        <w:spacing w:after="0" w:before="0"/>
        <w:ind w:firstLine="709"/>
        <w:jc w:val="both"/>
      </w:pPr>
      <w:r>
        <w:rPr>
          <w:rFonts w:ascii="Times New Roman" w:hAnsi="Times New Roman" w:cs="Times New Roman"/>
          <w:rFonts w:ascii="Times New Roman" w:hAnsi="Times New Roman"/>
          <w:b w:val="0"/>
          <w:i/>
          <w:sz w:val="22"/>
          <w:u w:val="none"/>
        </w:rPr>
        <w:t>- donne mandat au syndic pour déposer un extrait du présent procès-verbal au rang des minutes de Maître COCHE, notaire, pour être publié au bureau des hypothèques</w:t>
      </w:r>
    </w:p>
    <w:p>
      <w:pPr>
        <w:spacing w:after="0" w:before="0"/>
        <w:ind w:firstLine="709"/>
        <w:jc w:val="both"/>
      </w:pPr>
      <w:r>
        <w:rPr>
          <w:rFonts w:ascii="Times New Roman" w:hAnsi="Times New Roman" w:cs="Times New Roman"/>
          <w:rFonts w:ascii="Times New Roman" w:hAnsi="Times New Roman"/>
          <w:b w:val="0"/>
          <w:i/>
          <w:sz w:val="22"/>
          <w:u w:val="none"/>
        </w:rPr>
        <w:t>- Donne mandat au syndic pour la signature de l'ensemble des actes rendus nécessaire</w:t>
      </w:r>
    </w:p>
    <w:p>
      <w:pPr>
        <w:spacing w:after="0" w:before="0"/>
        <w:ind w:firstLine="709"/>
        <w:jc w:val="both"/>
      </w:pPr>
      <w:r>
        <w:rPr>
          <w:rFonts w:ascii="Times New Roman" w:hAnsi="Times New Roman" w:cs="Times New Roman"/>
          <w:rFonts w:ascii="Times New Roman" w:hAnsi="Times New Roman"/>
          <w:b w:val="0"/>
          <w:i/>
          <w:sz w:val="22"/>
          <w:u w:val="none"/>
        </w:rPr>
        <w:t>- D'adopter un budget de 3 000 Euros en vue de couvrir les frais notariés et d'enregistrement de ce modificatif auprès du bureau des hypothèques.</w:t>
      </w:r>
    </w:p>
    <w:p>
      <w:pPr>
        <w:spacing w:after="0" w:before="0"/>
        <w:ind w:firstLine="709"/>
        <w:jc w:val="both"/>
      </w:pPr>
      <w:r>
        <w:rPr>
          <w:rFonts w:ascii="Times New Roman" w:hAnsi="Times New Roman" w:cs="Times New Roman"/>
          <w:rFonts w:ascii="Times New Roman" w:hAnsi="Times New Roman"/>
          <w:b w:val="0"/>
          <w:i/>
          <w:sz w:val="22"/>
          <w:u w:val="none"/>
        </w:rPr>
        <w:t>- Que le coût global sera réparti entre les copropriétaires selon la clef de répartition MASSE GENERALE</w:t>
      </w:r>
    </w:p>
    <w:p>
      <w:pPr>
        <w:spacing w:after="0" w:before="0"/>
        <w:ind w:firstLine="709"/>
        <w:jc w:val="both"/>
      </w:pPr>
      <w:r>
        <w:rPr>
          <w:rFonts w:ascii="Times New Roman" w:hAnsi="Times New Roman" w:cs="Times New Roman"/>
          <w:rFonts w:ascii="Times New Roman" w:hAnsi="Times New Roman"/>
          <w:b w:val="0"/>
          <w:i/>
          <w:sz w:val="22"/>
          <w:u w:val="none"/>
        </w:rPr>
        <w:t>De financer le coût global au moyen d'appel de provision en date du 10/05/2022</w:t>
      </w:r>
    </w:p>
    <w:p>
      <w:pPr>
        <w:spacing w:after="0" w:before="0"/>
        <w:ind w:firstLine="709"/>
        <w:jc w:val="both"/>
      </w:pPr>
      <w:r>
        <w:rPr>
          <w:rFonts w:ascii="Times New Roman" w:hAnsi="Times New Roman" w:cs="Times New Roman"/>
          <w:rFonts w:ascii="Times New Roman" w:hAnsi="Times New Roman"/>
          <w:b w:val="0"/>
          <w:i/>
          <w:sz w:val="22"/>
          <w:u w:val="none"/>
        </w:rPr>
        <w:t>Décide que les frais et honoraires, y compris ceux du syndic, résultant de la présente résolution seront à la charge du syndicat des copropriétaires.</w:t>
      </w:r>
    </w:p>
    <w:p>
      <w:pPr>
        <w:spacing w:after="0" w:before="0"/>
        <w:ind w:firstLine="709"/>
        <w:jc w:val="both"/>
      </w:pPr>
      <w:r>
        <w:rPr>
          <w:rFonts w:ascii="Times New Roman" w:hAnsi="Times New Roman" w:cs="Times New Roman"/>
          <w:rFonts w:ascii="Times New Roman" w:hAnsi="Times New Roman"/>
          <w:b w:val="0"/>
          <w:i/>
          <w:sz w:val="22"/>
          <w:u w:val="none"/>
        </w:rPr>
        <w:t>Mise aux voix à 10h15, cette résolution a donné lieu au vote suivant :</w:t>
      </w:r>
    </w:p>
    <w:p>
      <w:pPr>
        <w:spacing w:after="0" w:before="0"/>
        <w:ind w:firstLine="709"/>
        <w:jc w:val="both"/>
      </w:pPr>
      <w:r>
        <w:rPr>
          <w:rFonts w:ascii="Times New Roman" w:hAnsi="Times New Roman" w:cs="Times New Roman"/>
          <w:rFonts w:ascii="Times New Roman" w:hAnsi="Times New Roman"/>
          <w:b w:val="0"/>
          <w:i/>
          <w:sz w:val="22"/>
          <w:u w:val="none"/>
        </w:rPr>
        <w:t>Votent pour : 4 copropriétaire (s) totalisant 85 tantièmes / 104 tantièmes.</w:t>
      </w:r>
    </w:p>
    <w:p>
      <w:pPr>
        <w:spacing w:after="0" w:before="0"/>
        <w:ind w:firstLine="709"/>
        <w:jc w:val="both"/>
      </w:pPr>
      <w:r>
        <w:rPr>
          <w:rFonts w:ascii="Times New Roman" w:hAnsi="Times New Roman" w:cs="Times New Roman"/>
          <w:rFonts w:ascii="Times New Roman" w:hAnsi="Times New Roman"/>
          <w:b w:val="0"/>
          <w:i/>
          <w:sz w:val="22"/>
          <w:u w:val="none"/>
        </w:rPr>
        <w:t>Résolution adoptée</w:t>
      </w:r>
    </w:p>
    <w:p>
      <w:pPr>
        <w:spacing w:after="0" w:before="0"/>
        <w:ind w:firstLine="709"/>
        <w:jc w:val="both"/>
      </w:pPr>
      <w:r>
        <w:rPr>
          <w:rFonts w:ascii="Times New Roman" w:hAnsi="Times New Roman" w:cs="Times New Roman"/>
          <w:rFonts w:ascii="Times New Roman" w:hAnsi="Times New Roman"/>
          <w:b w:val="0"/>
          <w:i w:val="0"/>
          <w:sz w:val="22"/>
          <w:u w:val="none"/>
        </w:rPr>
        <w:t xml:space="preserve">Un certificat de non-opposition en date du </w:t>
      </w:r>
      <w:r>
        <w:rPr>
          <w:rFonts w:ascii="Times New Roman" w:hAnsi="Times New Roman" w:cs="Times New Roman"/>
          <w:rFonts w:ascii="Times New Roman" w:hAnsi="Times New Roman"/>
          <w:b/>
          <w:i w:val="0"/>
          <w:sz w:val="22"/>
          <w:u w:val="none"/>
        </w:rPr>
        <w:t>28 novembre 2024</w:t>
      </w:r>
      <w:r>
        <w:rPr>
          <w:rFonts w:ascii="Times New Roman" w:hAnsi="Times New Roman" w:cs="Times New Roman"/>
          <w:rFonts w:ascii="Times New Roman" w:hAnsi="Times New Roman"/>
          <w:b w:val="0"/>
          <w:i w:val="0"/>
          <w:sz w:val="22"/>
          <w:u w:val="none"/>
        </w:rPr>
        <w:t xml:space="preserve"> demeure jointe et annexée.</w:t>
      </w:r>
    </w:p>
    <w:p>
      <w:pPr>
        <w:spacing w:after="0" w:before="0"/>
        <w:ind w:firstLine="709"/>
        <w:jc w:val="both"/>
      </w:pPr>
      <w:r>
        <w:rPr>
          <w:rFonts w:ascii="Times New Roman" w:hAnsi="Times New Roman" w:cs="Times New Roman"/>
          <w:rFonts w:ascii="Times New Roman" w:hAnsi="Times New Roman"/>
          <w:b/>
          <w:i w:val="0"/>
          <w:sz w:val="22"/>
          <w:u w:val="single"/>
        </w:rPr>
        <w:t xml:space="preserve">VI. PROJET DE </w:t>
      </w:r>
      <w:r>
        <w:rPr>
          <w:rFonts w:ascii="Times New Roman" w:hAnsi="Times New Roman" w:cs="Times New Roman"/>
          <w:rFonts w:ascii="Times New Roman" w:hAnsi="Times New Roman"/>
          <w:b/>
          <w:i w:val="0"/>
          <w:sz w:val="22"/>
          <w:u w:val="single"/>
        </w:rPr>
        <w:t>MODIFICATIF A L’ETAT DESCRIPTIF DE DIVISION</w:t>
      </w:r>
    </w:p>
    <w:p>
      <w:pPr>
        <w:spacing w:after="0" w:before="0"/>
        <w:ind w:firstLine="709"/>
        <w:jc w:val="both"/>
      </w:pPr>
      <w:r>
        <w:rPr>
          <w:rFonts w:ascii="Times New Roman" w:hAnsi="Times New Roman" w:cs="Times New Roman"/>
          <w:rFonts w:ascii="Times New Roman" w:hAnsi="Times New Roman"/>
          <w:b w:val="0"/>
          <w:i w:val="0"/>
          <w:sz w:val="22"/>
          <w:u w:val="none"/>
        </w:rPr>
        <w:t xml:space="preserve">Une copie du projet de modificatif à l’état descriptif de division établi par le cabinet RATELADE &amp; PETITHOMME, Géomètres-experts DPLG, dont le siège est situé à LYON 8ÈME ARRONDISSEMENT (69008), 35, Rue Bataille, le </w:t>
      </w:r>
      <w:r>
        <w:rPr>
          <w:rFonts w:ascii="Times New Roman" w:hAnsi="Times New Roman" w:cs="Times New Roman"/>
          <w:rFonts w:ascii="Times New Roman" w:hAnsi="Times New Roman"/>
          <w:b/>
          <w:i w:val="0"/>
          <w:sz w:val="22"/>
          <w:u w:val="none"/>
        </w:rPr>
        <w:t>25 août 2021</w:t>
      </w:r>
      <w:r>
        <w:rPr>
          <w:rFonts w:ascii="Times New Roman" w:hAnsi="Times New Roman" w:cs="Times New Roman"/>
          <w:rFonts w:ascii="Times New Roman" w:hAnsi="Times New Roman"/>
          <w:b w:val="0"/>
          <w:i w:val="0"/>
          <w:sz w:val="22"/>
          <w:u w:val="none"/>
        </w:rPr>
        <w:t xml:space="preserve"> est demeurée jointe et annexée aux présentes après mention.</w:t>
      </w:r>
    </w:p>
    <w:p>
      <w:pPr>
        <w:spacing w:after="0" w:before="0"/>
        <w:ind w:firstLine="709"/>
        <w:jc w:val="both"/>
      </w:pPr>
      <w:r>
        <w:rPr>
          <w:rFonts w:ascii="Times New Roman" w:hAnsi="Times New Roman" w:cs="Times New Roman"/>
          <w:rFonts w:ascii="Times New Roman" w:hAnsi="Times New Roman"/>
          <w:b/>
          <w:i w:val="0"/>
          <w:sz w:val="22"/>
          <w:u w:val="none"/>
        </w:rPr>
        <w:t>Annexe n°</w:t>
      </w:r>
      <w:r>
        <w:rPr>
          <w:rFonts w:ascii="Times New Roman" w:hAnsi="Times New Roman" w:cs="Times New Roman"/>
          <w:rFonts w:ascii="Times New Roman" w:hAnsi="Times New Roman"/>
          <w:b w:val="0"/>
          <w:i w:val="0"/>
          <w:sz w:val="22"/>
          <w:u w:val="none"/>
        </w:rPr>
        <w:t>5</w:t>
      </w:r>
      <w:r>
        <w:rPr>
          <w:rFonts w:ascii="Times New Roman" w:hAnsi="Times New Roman" w:cs="Times New Roman"/>
          <w:rFonts w:ascii="Times New Roman" w:hAnsi="Times New Roman"/>
          <w:b/>
          <w:i w:val="0"/>
          <w:sz w:val="22"/>
          <w:u w:val="none"/>
        </w:rPr>
        <w:t xml:space="preserve"> : EDD du 25 août 2021</w:t>
      </w:r>
    </w:p>
    <w:p>
      <w:pPr>
        <w:pStyle w:val="Heading1"/>
      </w:pPr>
      <w:r>
        <w:rPr>
          <w:rFonts w:ascii="Times New Roman" w:hAnsi="Times New Roman" w:cs="Times New Roman"/>
          <w:rFonts w:ascii="Times New Roman" w:hAnsi="Times New Roman"/>
          <w:sz w:val="22"/>
        </w:rPr>
        <w:t>CECI EXPOSE, il est passé à la modification de l’état descriptif de division objet des présentes.</w:t>
      </w:r>
    </w:p>
    <w:p>
      <w:pPr>
        <w:spacing w:after="0" w:before="0"/>
        <w:ind w:firstLine="709"/>
        <w:jc w:val="both"/>
      </w:pPr>
      <w:r>
        <w:rPr>
          <w:rFonts w:ascii="Times New Roman" w:hAnsi="Times New Roman" w:cs="Times New Roman"/>
          <w:rFonts w:ascii="Times New Roman" w:hAnsi="Times New Roman"/>
          <w:b/>
          <w:i w:val="0"/>
          <w:sz w:val="22"/>
          <w:u w:val="single"/>
        </w:rPr>
        <w:t>II</w:t>
      </w:r>
    </w:p>
    <w:p>
      <w:pPr>
        <w:spacing w:after="0" w:before="0"/>
        <w:ind w:firstLine="709"/>
        <w:jc w:val="both"/>
      </w:pPr>
      <w:r>
        <w:rPr>
          <w:rFonts w:ascii="Times New Roman" w:hAnsi="Times New Roman" w:cs="Times New Roman"/>
          <w:rFonts w:ascii="Times New Roman" w:hAnsi="Times New Roman"/>
          <w:b/>
          <w:i w:val="0"/>
          <w:sz w:val="22"/>
          <w:u w:val="single"/>
        </w:rPr>
        <w:t xml:space="preserve">MODIFICATIF </w:t>
      </w:r>
      <w:r>
        <w:rPr>
          <w:rFonts w:ascii="Times New Roman" w:hAnsi="Times New Roman" w:cs="Times New Roman"/>
          <w:rFonts w:ascii="Times New Roman" w:hAnsi="Times New Roman"/>
          <w:b/>
          <w:i w:val="0"/>
          <w:sz w:val="22"/>
          <w:u w:val="single"/>
        </w:rPr>
        <w:t>DE REGLEMENT DE COPROPRIETE</w:t>
      </w:r>
    </w:p>
    <w:p>
      <w:pPr>
        <w:spacing w:after="0" w:before="0"/>
        <w:ind w:firstLine="709"/>
        <w:jc w:val="both"/>
      </w:pPr>
      <w:r>
        <w:rPr>
          <w:rFonts w:ascii="Times New Roman" w:hAnsi="Times New Roman" w:cs="Times New Roman"/>
          <w:rFonts w:ascii="Times New Roman" w:hAnsi="Times New Roman"/>
          <w:b w:val="0"/>
          <w:i w:val="0"/>
          <w:sz w:val="22"/>
          <w:u w:val="none"/>
        </w:rPr>
        <w:t xml:space="preserve">Par le présent acte, le </w:t>
      </w:r>
      <w:r>
        <w:rPr>
          <w:rFonts w:ascii="Times New Roman" w:hAnsi="Times New Roman" w:cs="Times New Roman"/>
          <w:rFonts w:ascii="Times New Roman" w:hAnsi="Times New Roman"/>
          <w:b/>
          <w:i w:val="0"/>
          <w:sz w:val="22"/>
          <w:u w:val="none"/>
        </w:rPr>
        <w:t>REQUERANT</w:t>
      </w:r>
      <w:r>
        <w:rPr>
          <w:rFonts w:ascii="Times New Roman" w:hAnsi="Times New Roman" w:cs="Times New Roman"/>
          <w:rFonts w:ascii="Times New Roman" w:hAnsi="Times New Roman"/>
          <w:b w:val="0"/>
          <w:i w:val="0"/>
          <w:sz w:val="22"/>
          <w:u w:val="none"/>
        </w:rPr>
        <w:t xml:space="preserve"> ès qualités, modifie le règlement de copropriété et l’état descriptif de division dudit ensemble immobilier ci-avant désigné, établi aux termes d’un acte sous signature privée en date à LYON 1ER (Rhône), du 25 novembre 1954, déposé au rang des minutes de Maître Joseph MAGNARD, alors notaire à LYON (Rhône), aux termes d’un acte en date du 29 décembre 1954 publié au service de la publicité foncière de LYON 1, le 27 décembre 1954 volume 2006 numéro 27, par l’adjonction des clauses suivantes :</w:t>
      </w:r>
    </w:p>
    <w:p>
      <w:pPr>
        <w:spacing w:after="0" w:before="0"/>
        <w:ind w:firstLine="709"/>
        <w:jc w:val="both"/>
      </w:pP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sz w:val="22"/>
          <w:u w:val="single"/>
        </w:rPr>
        <w:t>DEFINITION DES PARTIES COMMUNES SPECIALES</w:t>
      </w:r>
      <w:r>
        <w:rPr>
          <w:rFonts w:ascii="Times New Roman" w:hAnsi="Times New Roman" w:cs="Times New Roman"/>
          <w:rFonts w:ascii="Times New Roman" w:hAnsi="Times New Roman"/>
          <w:b w:val="0"/>
          <w:i/>
          <w:sz w:val="22"/>
          <w:u w:val="none"/>
        </w:rPr>
        <w:t xml:space="preserve"> : </w:t>
      </w:r>
    </w:p>
    <w:p>
      <w:pPr>
        <w:spacing w:after="0" w:before="0"/>
        <w:ind w:firstLine="709"/>
        <w:jc w:val="both"/>
      </w:pPr>
      <w:r>
        <w:rPr>
          <w:rFonts w:ascii="Times New Roman" w:hAnsi="Times New Roman" w:cs="Times New Roman"/>
          <w:rFonts w:ascii="Times New Roman" w:hAnsi="Times New Roman"/>
          <w:b/>
          <w:i/>
          <w:sz w:val="22"/>
          <w:u w:val="none"/>
        </w:rPr>
        <w:t>Les parties communes spéciales « Bâtiment A » comprennent :</w:t>
      </w:r>
    </w:p>
    <w:p>
      <w:pPr>
        <w:spacing w:after="0" w:before="0"/>
        <w:ind w:firstLine="709"/>
        <w:jc w:val="both"/>
      </w:pPr>
      <w:r>
        <w:rPr>
          <w:rFonts w:ascii="Times New Roman" w:hAnsi="Times New Roman" w:cs="Times New Roman"/>
          <w:rFonts w:ascii="Times New Roman" w:hAnsi="Times New Roman"/>
          <w:b w:val="0"/>
          <w:i/>
          <w:sz w:val="22"/>
          <w:u w:val="none"/>
        </w:rPr>
        <w:t>· les fondations du bâtiment et l’ensemble de son gros-œuvre (gros murs de façade et de refend, murs pignons, poutres, piliers et dalles) soit d’une manière générale les éléments horizontaux et verticaux de structure ;</w:t>
      </w:r>
    </w:p>
    <w:p>
      <w:pPr>
        <w:spacing w:after="0" w:before="0"/>
        <w:ind w:firstLine="709"/>
        <w:jc w:val="both"/>
      </w:pPr>
      <w:r>
        <w:rPr>
          <w:rFonts w:ascii="Times New Roman" w:hAnsi="Times New Roman" w:cs="Times New Roman"/>
          <w:rFonts w:ascii="Times New Roman" w:hAnsi="Times New Roman"/>
          <w:b w:val="0"/>
          <w:i/>
          <w:sz w:val="22"/>
          <w:u w:val="none"/>
        </w:rPr>
        <w:t>· les éléments assurant le clos, le couvert et l’étanchéité, à l’exception des fenêtres, notamment les toitures et d'une manière générale tout ce qui forme l'ossature du bâtiment dans sa totalité ;</w:t>
      </w:r>
    </w:p>
    <w:p>
      <w:pPr>
        <w:spacing w:after="0" w:before="0"/>
        <w:ind w:firstLine="709"/>
        <w:jc w:val="both"/>
      </w:pPr>
      <w:r>
        <w:rPr>
          <w:rFonts w:ascii="Times New Roman" w:hAnsi="Times New Roman" w:cs="Times New Roman"/>
          <w:rFonts w:ascii="Times New Roman" w:hAnsi="Times New Roman"/>
          <w:b w:val="0"/>
          <w:i/>
          <w:sz w:val="22"/>
          <w:u w:val="none"/>
        </w:rPr>
        <w:t>· Les façades et leur revêtement, les gardes corps, les barres d’appui des balcons, et terrasses ;</w:t>
      </w:r>
    </w:p>
    <w:p>
      <w:pPr>
        <w:spacing w:after="0" w:before="0"/>
        <w:ind w:firstLine="709"/>
        <w:jc w:val="both"/>
      </w:pPr>
      <w:r>
        <w:rPr>
          <w:rFonts w:ascii="Times New Roman" w:hAnsi="Times New Roman" w:cs="Times New Roman"/>
          <w:rFonts w:ascii="Times New Roman" w:hAnsi="Times New Roman"/>
          <w:b w:val="0"/>
          <w:i/>
          <w:sz w:val="22"/>
          <w:u w:val="none"/>
        </w:rPr>
        <w:t>· les conduites générales du bâtiment comme les conduites, tuyaux de chute et d’écoulement des eaux pluviales et des eaux vannes, les canalisations, colonnes montantes et descendantes d’eau, d’électricité, téléphone, gaz, multimédia, les gaines techniques visitables ou non qui les contiennent (sauf toutefois, les parties de ces canalisations se trouvant à l’intérieur des logements, et pouvant être affectés à l’usage exclusif de ceux-ci) et de manière générale toute conduite dont l’usage est commun à l’ensemble des copropriétaires du bâtiment ;</w:t>
      </w:r>
    </w:p>
    <w:p>
      <w:pPr>
        <w:spacing w:after="0" w:before="0"/>
        <w:ind w:firstLine="709"/>
        <w:jc w:val="both"/>
      </w:pPr>
      <w:r>
        <w:rPr>
          <w:rFonts w:ascii="Times New Roman" w:hAnsi="Times New Roman" w:cs="Times New Roman"/>
          <w:rFonts w:ascii="Times New Roman" w:hAnsi="Times New Roman"/>
          <w:b w:val="0"/>
          <w:i/>
          <w:sz w:val="22"/>
          <w:u w:val="none"/>
        </w:rPr>
        <w:t>· le hall d’entrée, le tableau d’affichage, les boîtes aux lettres disposées à l’entrée, à l’exclusion de leurs serrures qui sont privatives ;</w:t>
      </w:r>
    </w:p>
    <w:p>
      <w:pPr>
        <w:spacing w:after="0" w:before="0"/>
        <w:ind w:firstLine="709"/>
        <w:jc w:val="both"/>
      </w:pPr>
      <w:r>
        <w:rPr>
          <w:rFonts w:ascii="Times New Roman" w:hAnsi="Times New Roman" w:cs="Times New Roman"/>
          <w:rFonts w:ascii="Times New Roman" w:hAnsi="Times New Roman"/>
          <w:b w:val="0"/>
          <w:i/>
          <w:sz w:val="22"/>
          <w:u w:val="none"/>
        </w:rPr>
        <w:t>· l’éclairage de ces parties communes spéciales ;</w:t>
      </w:r>
    </w:p>
    <w:p>
      <w:pPr>
        <w:spacing w:after="0" w:before="0"/>
        <w:ind w:firstLine="709"/>
        <w:jc w:val="both"/>
      </w:pPr>
      <w:r>
        <w:rPr>
          <w:rFonts w:ascii="Times New Roman" w:hAnsi="Times New Roman" w:cs="Times New Roman"/>
          <w:rFonts w:ascii="Times New Roman" w:hAnsi="Times New Roman"/>
          <w:b w:val="0"/>
          <w:i/>
          <w:sz w:val="22"/>
          <w:u w:val="none"/>
        </w:rPr>
        <w:t>· la commande d’ouverture des portes d’entrée du hall du bâtiment, l’installation de vidéophonie dans le hall, digicode sur rue.</w:t>
      </w:r>
    </w:p>
    <w:p>
      <w:pPr>
        <w:spacing w:after="0" w:before="0"/>
        <w:ind w:firstLine="709"/>
        <w:jc w:val="both"/>
      </w:pPr>
      <w:r>
        <w:rPr>
          <w:rFonts w:ascii="Times New Roman" w:hAnsi="Times New Roman" w:cs="Times New Roman"/>
          <w:rFonts w:ascii="Times New Roman" w:hAnsi="Times New Roman"/>
          <w:b w:val="0"/>
          <w:i/>
          <w:sz w:val="22"/>
          <w:u w:val="none"/>
        </w:rPr>
        <w:t xml:space="preserve">Cette énumération est purement énonciative et non limitative. </w:t>
      </w:r>
    </w:p>
    <w:p>
      <w:pPr>
        <w:spacing w:after="0" w:before="0"/>
        <w:ind w:firstLine="709"/>
        <w:jc w:val="both"/>
      </w:pPr>
      <w:r>
        <w:rPr>
          <w:rFonts w:ascii="Times New Roman" w:hAnsi="Times New Roman" w:cs="Times New Roman"/>
          <w:rFonts w:ascii="Times New Roman" w:hAnsi="Times New Roman"/>
          <w:b/>
          <w:i/>
          <w:sz w:val="22"/>
          <w:u w:val="single"/>
        </w:rPr>
        <w:t>Les parties communes spéciales « Bâtiment B » comprennent</w:t>
      </w:r>
      <w:r>
        <w:rPr>
          <w:rFonts w:ascii="Times New Roman" w:hAnsi="Times New Roman" w:cs="Times New Roman"/>
          <w:rFonts w:ascii="Times New Roman" w:hAnsi="Times New Roman"/>
          <w:b w:val="0"/>
          <w:i/>
          <w:sz w:val="22"/>
          <w:u w:val="none"/>
        </w:rPr>
        <w:t xml:space="preserve"> :</w:t>
      </w:r>
    </w:p>
    <w:p>
      <w:pPr>
        <w:spacing w:after="0" w:before="0"/>
        <w:ind w:firstLine="709"/>
        <w:jc w:val="both"/>
      </w:pPr>
      <w:r>
        <w:rPr>
          <w:rFonts w:ascii="Times New Roman" w:hAnsi="Times New Roman" w:cs="Times New Roman"/>
          <w:rFonts w:ascii="Times New Roman" w:hAnsi="Times New Roman"/>
          <w:b w:val="0"/>
          <w:i/>
          <w:sz w:val="22"/>
          <w:u w:val="none"/>
        </w:rPr>
        <w:t>· les fondations du bâtiment et l’ensemble de son gros-œuvre (gros murs de façade et de refend, murs pignons, poutres, piliers et dalles) soit d’une manière générale les éléments horizontaux et verticaux de structure ;</w:t>
      </w:r>
    </w:p>
    <w:p>
      <w:pPr>
        <w:spacing w:after="40"/>
        <w:ind w:left="340" w:hanging="170"/>
        <w:jc w:val="both"/>
      </w:pPr>
      <w:r>
        <w:rPr>
          <w:rFonts w:ascii="Times New Roman" w:hAnsi="Times New Roman" w:cs="Times New Roman"/>
          <w:rFonts w:ascii="Times New Roman" w:hAnsi="Times New Roman"/>
          <w:sz w:val="22"/>
        </w:rPr>
        <w:t xml:space="preserve">- </w:t>
      </w:r>
    </w:p>
    <w:p>
      <w:pPr>
        <w:spacing w:after="0" w:before="0"/>
        <w:ind w:firstLine="709"/>
        <w:jc w:val="both"/>
      </w:pPr>
      <w:r>
        <w:rPr>
          <w:rFonts w:ascii="Times New Roman" w:hAnsi="Times New Roman" w:cs="Times New Roman"/>
          <w:rFonts w:ascii="Times New Roman" w:hAnsi="Times New Roman"/>
          <w:b w:val="0"/>
          <w:i/>
          <w:sz w:val="22"/>
          <w:u w:val="none"/>
        </w:rPr>
        <w:t>· les éléments assurant le clos, le couvert et l’étanchéité, à l’exception des fenêtres, notamment les toitures et d'une manière générale tout ce qui forme l'ossature du bâtiment dans sa totalité ;</w:t>
      </w:r>
    </w:p>
    <w:p>
      <w:pPr>
        <w:spacing w:after="0" w:before="0"/>
        <w:ind w:firstLine="709"/>
        <w:jc w:val="both"/>
      </w:pPr>
      <w:r>
        <w:rPr>
          <w:rFonts w:ascii="Times New Roman" w:hAnsi="Times New Roman" w:cs="Times New Roman"/>
          <w:rFonts w:ascii="Times New Roman" w:hAnsi="Times New Roman"/>
          <w:b w:val="0"/>
          <w:i/>
          <w:sz w:val="22"/>
          <w:u w:val="none"/>
        </w:rPr>
        <w:t>· Les façades et leur revêtement, les gardes corps, les barres d’appui des balcons, et terrasses ;</w:t>
      </w:r>
    </w:p>
    <w:p>
      <w:pPr>
        <w:spacing w:after="0" w:before="0"/>
        <w:ind w:firstLine="709"/>
        <w:jc w:val="both"/>
      </w:pPr>
      <w:r>
        <w:rPr>
          <w:rFonts w:ascii="Times New Roman" w:hAnsi="Times New Roman" w:cs="Times New Roman"/>
          <w:rFonts w:ascii="Times New Roman" w:hAnsi="Times New Roman"/>
          <w:b w:val="0"/>
          <w:i/>
          <w:sz w:val="22"/>
          <w:u w:val="none"/>
        </w:rPr>
        <w:t>· les conduites générales du bâtiment comme les conduites, tuyaux de chute et d’écoulement des eaux pluviales et des eaux vannes, les canalisations, colonnes montantes et descendantes d’eau, d’électricité, téléphone, gaz, multimédia, les gaines techniques visitables ou non qui les contiennent (sauf toutefois, les parties de ces canalisations se trouvant à l’intérieur des logements, et pouvant être affectés à l’usage exclusif de ceux-ci) et de manière générale toute conduite dont l’usage est commun à l’ensemble des copropriétaires du bâtiment ;</w:t>
      </w:r>
    </w:p>
    <w:p>
      <w:pPr>
        <w:spacing w:after="0" w:before="0"/>
        <w:ind w:firstLine="709"/>
        <w:jc w:val="both"/>
      </w:pPr>
      <w:r>
        <w:rPr>
          <w:rFonts w:ascii="Times New Roman" w:hAnsi="Times New Roman" w:cs="Times New Roman"/>
          <w:rFonts w:ascii="Times New Roman" w:hAnsi="Times New Roman"/>
          <w:b w:val="0"/>
          <w:i/>
          <w:sz w:val="22"/>
          <w:u w:val="none"/>
        </w:rPr>
        <w:t xml:space="preserve">Cette énumération est purement énonciative et non limitative. </w:t>
      </w:r>
    </w:p>
    <w:p>
      <w:pPr>
        <w:spacing w:after="0" w:before="0"/>
        <w:ind w:firstLine="709"/>
        <w:jc w:val="both"/>
      </w:pPr>
      <w:r>
        <w:rPr>
          <w:rFonts w:ascii="Times New Roman" w:hAnsi="Times New Roman" w:cs="Times New Roman"/>
          <w:rFonts w:ascii="Times New Roman" w:hAnsi="Times New Roman"/>
          <w:b/>
          <w:i/>
          <w:sz w:val="22"/>
          <w:u w:val="single"/>
        </w:rPr>
        <w:t>Les parties communes spéciales « Bâtiment C » comprennent</w:t>
      </w:r>
      <w:r>
        <w:rPr>
          <w:rFonts w:ascii="Times New Roman" w:hAnsi="Times New Roman" w:cs="Times New Roman"/>
          <w:rFonts w:ascii="Times New Roman" w:hAnsi="Times New Roman"/>
          <w:b w:val="0"/>
          <w:i/>
          <w:sz w:val="22"/>
          <w:u w:val="none"/>
        </w:rPr>
        <w:t xml:space="preserve"> :</w:t>
      </w:r>
    </w:p>
    <w:p>
      <w:pPr>
        <w:spacing w:after="0" w:before="0"/>
        <w:ind w:firstLine="709"/>
        <w:jc w:val="both"/>
      </w:pPr>
      <w:r>
        <w:rPr>
          <w:rFonts w:ascii="Times New Roman" w:hAnsi="Times New Roman" w:cs="Times New Roman"/>
          <w:rFonts w:ascii="Times New Roman" w:hAnsi="Times New Roman"/>
          <w:b w:val="0"/>
          <w:i/>
          <w:sz w:val="22"/>
          <w:u w:val="none"/>
        </w:rPr>
        <w:t>· les fondations du bâtiment et l’ensemble de son gros-œuvre (gros murs de façade et de refend, murs pignons, poutres, piliers et dalles) soit d’une manière générale les éléments horizontaux et verticaux de structure ;</w:t>
      </w:r>
    </w:p>
    <w:p>
      <w:pPr>
        <w:spacing w:after="0" w:before="0"/>
        <w:ind w:firstLine="709"/>
        <w:jc w:val="both"/>
      </w:pPr>
      <w:r>
        <w:rPr>
          <w:rFonts w:ascii="Times New Roman" w:hAnsi="Times New Roman" w:cs="Times New Roman"/>
          <w:rFonts w:ascii="Times New Roman" w:hAnsi="Times New Roman"/>
          <w:b w:val="0"/>
          <w:i/>
          <w:sz w:val="22"/>
          <w:u w:val="none"/>
        </w:rPr>
        <w:t>· les éléments assurant le clos, le couvert et l’étanchéité, à l’exception des fenêtres, notamment les toitures et d'une manière générale tout ce qui forme l'ossature du bâtiment dans sa totalité ;</w:t>
      </w:r>
    </w:p>
    <w:p>
      <w:pPr>
        <w:spacing w:after="0" w:before="0"/>
        <w:ind w:firstLine="709"/>
        <w:jc w:val="both"/>
      </w:pPr>
      <w:r>
        <w:rPr>
          <w:rFonts w:ascii="Times New Roman" w:hAnsi="Times New Roman" w:cs="Times New Roman"/>
          <w:rFonts w:ascii="Times New Roman" w:hAnsi="Times New Roman"/>
          <w:b w:val="0"/>
          <w:i/>
          <w:sz w:val="22"/>
          <w:u w:val="none"/>
        </w:rPr>
        <w:t>· Les façades et leur revêtement, les gardes corps, les barres d’appui des balcons, et terrasses ;</w:t>
      </w:r>
    </w:p>
    <w:p>
      <w:pPr>
        <w:spacing w:after="0" w:before="0"/>
        <w:ind w:firstLine="709"/>
        <w:jc w:val="both"/>
      </w:pPr>
      <w:r>
        <w:rPr>
          <w:rFonts w:ascii="Times New Roman" w:hAnsi="Times New Roman" w:cs="Times New Roman"/>
          <w:rFonts w:ascii="Times New Roman" w:hAnsi="Times New Roman"/>
          <w:b w:val="0"/>
          <w:i/>
          <w:sz w:val="22"/>
          <w:u w:val="none"/>
        </w:rPr>
        <w:t>· les conduites générales du bâtiment comme les conduites, tuyaux de chute et d’écoulement des eaux pluviales et des eaux vannes, les canalisations, colonnes montantes et descendantes d’eau, d’électricité, téléphone, gaz, multimédia, les gaines techniques visitables ou non qui les contiennent (sauf toutefois, les parties de ces canalisations se trouvant à l’intérieur des logements, et pouvant être affectés à l’usage exclusif de ceux-ci) et de manière générale toute conduite dont l’usage est commun à l’ensemble des copropriétaires du bâtiment ;</w:t>
      </w:r>
    </w:p>
    <w:p>
      <w:pPr>
        <w:spacing w:after="0" w:before="0"/>
        <w:ind w:firstLine="709"/>
        <w:jc w:val="both"/>
      </w:pPr>
      <w:r>
        <w:rPr>
          <w:rFonts w:ascii="Times New Roman" w:hAnsi="Times New Roman" w:cs="Times New Roman"/>
          <w:rFonts w:ascii="Times New Roman" w:hAnsi="Times New Roman"/>
          <w:b w:val="0"/>
          <w:i/>
          <w:sz w:val="22"/>
          <w:u w:val="none"/>
        </w:rPr>
        <w:t>Cette énumération est purement énonciative et non limitative.</w:t>
      </w:r>
      <w:r>
        <w:rPr>
          <w:rFonts w:ascii="Times New Roman" w:hAnsi="Times New Roman" w:cs="Times New Roman"/>
          <w:rFonts w:ascii="Times New Roman" w:hAnsi="Times New Roman"/>
          <w:b w:val="0"/>
          <w:i w:val="0"/>
          <w:sz w:val="22"/>
          <w:u w:val="none"/>
        </w:rPr>
        <w:t xml:space="preserve"> »</w:t>
      </w:r>
    </w:p>
    <w:p>
      <w:pPr>
        <w:spacing w:after="0" w:before="0"/>
        <w:ind w:firstLine="709"/>
        <w:jc w:val="both"/>
      </w:pPr>
      <w:r>
        <w:rPr>
          <w:rFonts w:ascii="Times New Roman" w:hAnsi="Times New Roman" w:cs="Times New Roman"/>
          <w:rFonts w:ascii="Times New Roman" w:hAnsi="Times New Roman"/>
          <w:b/>
          <w:i w:val="0"/>
          <w:sz w:val="22"/>
          <w:u w:val="none"/>
        </w:rPr>
        <w:t xml:space="preserve">La répartition des charges spéciales est </w:t>
      </w:r>
      <w:r>
        <w:rPr>
          <w:rFonts w:ascii="Times New Roman" w:hAnsi="Times New Roman" w:cs="Times New Roman"/>
          <w:rFonts w:ascii="Times New Roman" w:hAnsi="Times New Roman"/>
          <w:b w:val="0"/>
          <w:i w:val="0"/>
          <w:sz w:val="22"/>
          <w:u w:val="none"/>
        </w:rPr>
        <w:t xml:space="preserve">fixée dans le </w:t>
      </w:r>
      <w:r>
        <w:rPr>
          <w:rFonts w:ascii="Times New Roman" w:hAnsi="Times New Roman" w:cs="Times New Roman"/>
          <w:rFonts w:ascii="Times New Roman" w:hAnsi="Times New Roman"/>
          <w:b/>
          <w:i w:val="0"/>
          <w:sz w:val="22"/>
          <w:u w:val="none"/>
        </w:rPr>
        <w:t>tableau récapitulatif ci-après</w:t>
      </w:r>
      <w:r>
        <w:rPr>
          <w:rFonts w:ascii="Times New Roman" w:hAnsi="Times New Roman" w:cs="Times New Roman"/>
          <w:rFonts w:ascii="Times New Roman" w:hAnsi="Times New Roman"/>
          <w:b w:val="0"/>
          <w:i w:val="0"/>
          <w:sz w:val="22"/>
          <w:u w:val="none"/>
        </w:rPr>
        <w:t xml:space="preserve"> retranscrit</w:t>
      </w:r>
      <w:r>
        <w:rPr>
          <w:rFonts w:ascii="Times New Roman" w:hAnsi="Times New Roman" w:cs="Times New Roman"/>
          <w:rFonts w:ascii="Times New Roman" w:hAnsi="Times New Roman"/>
          <w:b/>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Etant précisé, que les charges communes générale restent engagées.</w:t>
      </w:r>
    </w:p>
    <w:p>
      <w:pPr>
        <w:pStyle w:val="Heading1"/>
      </w:pPr>
      <w:r>
        <w:rPr>
          <w:rFonts w:ascii="Times New Roman" w:hAnsi="Times New Roman" w:cs="Times New Roman"/>
          <w:rFonts w:ascii="Times New Roman" w:hAnsi="Times New Roman"/>
          <w:sz w:val="22"/>
        </w:rPr>
        <w:t>NOUVEL ETAT DESCRIPTIF DE DIVISION</w:t>
      </w:r>
    </w:p>
    <w:p>
      <w:pPr>
        <w:spacing w:after="0" w:before="0"/>
        <w:ind w:firstLine="709"/>
        <w:jc w:val="both"/>
      </w:pPr>
      <w:r>
        <w:rPr>
          <w:rFonts w:ascii="Times New Roman" w:hAnsi="Times New Roman" w:cs="Times New Roman"/>
          <w:rFonts w:ascii="Times New Roman" w:hAnsi="Times New Roman"/>
          <w:b w:val="0"/>
          <w:i w:val="0"/>
          <w:sz w:val="22"/>
          <w:u w:val="none"/>
        </w:rPr>
        <w:t>Le nouvel état descriptif est résumé dans le tableau récapitulatif établi ci-après conformément aux articles 71-1 et suivants du , modifié, portant réforme de la publicité foncière.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57"/>
        <w:gridCol w:w="957"/>
        <w:gridCol w:w="957"/>
        <w:gridCol w:w="957"/>
        <w:gridCol w:w="957"/>
        <w:gridCol w:w="957"/>
        <w:gridCol w:w="957"/>
        <w:gridCol w:w="957"/>
      </w:tblGrid>
      <w:tr>
        <w:tc>
          <w:tcPr>
            <w:tcW w:type="dxa" w:w="957"/>
          </w:tcPr>
          <w:p>
            <w:pPr>
              <w:spacing w:after="0" w:before="0"/>
              <w:jc w:val="left"/>
            </w:pPr>
            <w:r>
              <w:rPr>
                <w:rFonts w:ascii="Times New Roman" w:hAnsi="Times New Roman" w:cs="Times New Roman"/>
                <w:rFonts w:ascii="Times New Roman" w:hAnsi="Times New Roman"/>
                <w:b/>
                <w:i w:val="0"/>
                <w:sz w:val="22"/>
                <w:u w:val="none"/>
              </w:rPr>
              <w:t>N° Lot</w:t>
            </w:r>
          </w:p>
        </w:tc>
        <w:tc>
          <w:tcPr>
            <w:tcW w:type="dxa" w:w="957"/>
          </w:tcPr>
          <w:p>
            <w:pPr>
              <w:spacing w:after="0" w:before="0"/>
              <w:jc w:val="left"/>
            </w:pPr>
            <w:r>
              <w:rPr>
                <w:rFonts w:ascii="Times New Roman" w:hAnsi="Times New Roman" w:cs="Times New Roman"/>
                <w:rFonts w:ascii="Times New Roman" w:hAnsi="Times New Roman"/>
                <w:b/>
                <w:i w:val="0"/>
                <w:sz w:val="22"/>
                <w:u w:val="none"/>
              </w:rPr>
              <w:t>Bât.</w:t>
            </w:r>
          </w:p>
        </w:tc>
        <w:tc>
          <w:tcPr>
            <w:tcW w:type="dxa" w:w="957"/>
          </w:tcPr>
          <w:p>
            <w:pPr>
              <w:spacing w:after="0" w:before="0"/>
              <w:jc w:val="left"/>
            </w:pPr>
            <w:r>
              <w:rPr>
                <w:rFonts w:ascii="Times New Roman" w:hAnsi="Times New Roman" w:cs="Times New Roman"/>
                <w:rFonts w:ascii="Times New Roman" w:hAnsi="Times New Roman"/>
                <w:b/>
                <w:i w:val="0"/>
                <w:sz w:val="22"/>
                <w:u w:val="none"/>
              </w:rPr>
              <w:t>Etage</w:t>
            </w:r>
          </w:p>
        </w:tc>
        <w:tc>
          <w:tcPr>
            <w:tcW w:type="dxa" w:w="957"/>
          </w:tcPr>
          <w:p>
            <w:pPr>
              <w:spacing w:after="0" w:before="0"/>
              <w:jc w:val="left"/>
            </w:pPr>
            <w:r>
              <w:rPr>
                <w:rFonts w:ascii="Times New Roman" w:hAnsi="Times New Roman" w:cs="Times New Roman"/>
                <w:rFonts w:ascii="Times New Roman" w:hAnsi="Times New Roman"/>
                <w:b/>
                <w:i w:val="0"/>
                <w:sz w:val="22"/>
                <w:u w:val="none"/>
              </w:rPr>
              <w:t>Désignation</w:t>
            </w:r>
          </w:p>
        </w:tc>
        <w:tc>
          <w:tcPr>
            <w:tcW w:type="dxa" w:w="957"/>
          </w:tcPr>
          <w:p>
            <w:pPr>
              <w:spacing w:after="0" w:before="0"/>
              <w:jc w:val="left"/>
            </w:pPr>
            <w:r>
              <w:rPr>
                <w:rFonts w:ascii="Times New Roman" w:hAnsi="Times New Roman" w:cs="Times New Roman"/>
                <w:rFonts w:ascii="Times New Roman" w:hAnsi="Times New Roman"/>
                <w:b/>
                <w:i w:val="0"/>
                <w:sz w:val="22"/>
                <w:u w:val="none"/>
              </w:rPr>
              <w:t>Quotes-parts de parties communes générales</w:t>
            </w:r>
          </w:p>
        </w:tc>
        <w:tc>
          <w:tcPr>
            <w:tcW w:type="dxa" w:w="957"/>
          </w:tcPr>
          <w:p>
            <w:pPr>
              <w:spacing w:after="0" w:before="0"/>
              <w:jc w:val="left"/>
            </w:pPr>
            <w:r>
              <w:rPr>
                <w:rFonts w:ascii="Times New Roman" w:hAnsi="Times New Roman" w:cs="Times New Roman"/>
                <w:rFonts w:ascii="Times New Roman" w:hAnsi="Times New Roman"/>
                <w:b/>
                <w:i w:val="0"/>
                <w:sz w:val="22"/>
                <w:u w:val="none"/>
              </w:rPr>
              <w:t>PCS Bâtiment A</w:t>
            </w:r>
          </w:p>
        </w:tc>
        <w:tc>
          <w:tcPr>
            <w:tcW w:type="dxa" w:w="957"/>
          </w:tcPr>
          <w:p>
            <w:pPr>
              <w:spacing w:after="0" w:before="0"/>
              <w:jc w:val="left"/>
            </w:pPr>
            <w:r>
              <w:rPr>
                <w:rFonts w:ascii="Times New Roman" w:hAnsi="Times New Roman" w:cs="Times New Roman"/>
                <w:rFonts w:ascii="Times New Roman" w:hAnsi="Times New Roman"/>
                <w:b/>
                <w:i w:val="0"/>
                <w:sz w:val="22"/>
                <w:u w:val="none"/>
              </w:rPr>
              <w:t>PCS Bâtiment B</w:t>
            </w:r>
          </w:p>
        </w:tc>
        <w:tc>
          <w:tcPr>
            <w:tcW w:type="dxa" w:w="957"/>
          </w:tcPr>
          <w:p>
            <w:pPr>
              <w:spacing w:after="0" w:before="0"/>
              <w:jc w:val="left"/>
            </w:pPr>
            <w:r>
              <w:rPr>
                <w:rFonts w:ascii="Times New Roman" w:hAnsi="Times New Roman" w:cs="Times New Roman"/>
                <w:rFonts w:ascii="Times New Roman" w:hAnsi="Times New Roman"/>
                <w:b/>
                <w:i w:val="0"/>
                <w:sz w:val="22"/>
                <w:u w:val="none"/>
              </w:rPr>
              <w:t>PCS Bâtiment C</w:t>
            </w:r>
          </w:p>
        </w:tc>
      </w:tr>
      <w:tr>
        <w:tc>
          <w:tcPr>
            <w:tcW w:type="dxa" w:w="957"/>
          </w:tcPr>
          <w:p>
            <w:pPr>
              <w:spacing w:after="0" w:before="0"/>
              <w:jc w:val="left"/>
            </w:pPr>
            <w:r>
              <w:rPr>
                <w:rFonts w:ascii="Times New Roman" w:hAnsi="Times New Roman" w:cs="Times New Roman"/>
                <w:rFonts w:ascii="Times New Roman" w:hAnsi="Times New Roman"/>
                <w:b w:val="0"/>
                <w:i w:val="0"/>
                <w:sz w:val="22"/>
                <w:u w:val="none"/>
              </w:rPr>
              <w:t>3</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B</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RDC</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Entrepôt</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2/104</w:t>
            </w:r>
          </w:p>
        </w:tc>
        <w:tc>
          <w:tcPr>
            <w:tcW w:type="dxa" w:w="957"/>
          </w:tcPr>
          <w:p>
            <w:pPr>
              <w:spacing w:after="0" w:before="0"/>
              <w:jc w:val="left"/>
            </w:pPr>
          </w:p>
        </w:tc>
        <w:tc>
          <w:tcPr>
            <w:tcW w:type="dxa" w:w="957"/>
          </w:tcPr>
          <w:p>
            <w:pPr>
              <w:spacing w:after="0" w:before="0"/>
              <w:jc w:val="left"/>
            </w:pPr>
            <w:r>
              <w:rPr>
                <w:rFonts w:ascii="Times New Roman" w:hAnsi="Times New Roman" w:cs="Times New Roman"/>
                <w:rFonts w:ascii="Times New Roman" w:hAnsi="Times New Roman"/>
                <w:b w:val="0"/>
                <w:i w:val="0"/>
                <w:sz w:val="22"/>
                <w:u w:val="none"/>
              </w:rPr>
              <w:t>500/1000</w:t>
            </w:r>
          </w:p>
        </w:tc>
        <w:tc>
          <w:tcPr>
            <w:tcW w:type="dxa" w:w="957"/>
          </w:tcPr>
          <w:p>
            <w:pPr>
              <w:spacing w:after="0" w:before="0"/>
              <w:jc w:val="left"/>
            </w:pPr>
          </w:p>
        </w:tc>
      </w:tr>
      <w:tr>
        <w:tc>
          <w:tcPr>
            <w:tcW w:type="dxa" w:w="957"/>
          </w:tcPr>
          <w:p>
            <w:pPr>
              <w:spacing w:after="0" w:before="0"/>
              <w:jc w:val="left"/>
            </w:pPr>
            <w:r>
              <w:rPr>
                <w:rFonts w:ascii="Times New Roman" w:hAnsi="Times New Roman" w:cs="Times New Roman"/>
                <w:rFonts w:ascii="Times New Roman" w:hAnsi="Times New Roman"/>
                <w:b w:val="0"/>
                <w:i w:val="0"/>
                <w:sz w:val="22"/>
                <w:u w:val="none"/>
              </w:rPr>
              <w:t>4</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B</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1er</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Logement</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2/104</w:t>
            </w:r>
          </w:p>
        </w:tc>
        <w:tc>
          <w:tcPr>
            <w:tcW w:type="dxa" w:w="957"/>
          </w:tcPr>
          <w:p>
            <w:pPr>
              <w:spacing w:after="0" w:before="0"/>
              <w:jc w:val="left"/>
            </w:pPr>
          </w:p>
        </w:tc>
        <w:tc>
          <w:tcPr>
            <w:tcW w:type="dxa" w:w="957"/>
          </w:tcPr>
          <w:p>
            <w:pPr>
              <w:spacing w:after="0" w:before="0"/>
              <w:jc w:val="left"/>
            </w:pPr>
            <w:r>
              <w:rPr>
                <w:rFonts w:ascii="Times New Roman" w:hAnsi="Times New Roman" w:cs="Times New Roman"/>
                <w:rFonts w:ascii="Times New Roman" w:hAnsi="Times New Roman"/>
                <w:b w:val="0"/>
                <w:i w:val="0"/>
                <w:sz w:val="22"/>
                <w:u w:val="none"/>
              </w:rPr>
              <w:t>500/1000</w:t>
            </w:r>
          </w:p>
        </w:tc>
        <w:tc>
          <w:tcPr>
            <w:tcW w:type="dxa" w:w="957"/>
          </w:tcPr>
          <w:p>
            <w:pPr>
              <w:spacing w:after="0" w:before="0"/>
              <w:jc w:val="left"/>
            </w:pPr>
          </w:p>
        </w:tc>
      </w:tr>
      <w:tr>
        <w:tc>
          <w:tcPr>
            <w:tcW w:type="dxa" w:w="957"/>
          </w:tcPr>
          <w:p>
            <w:pPr>
              <w:spacing w:after="0" w:before="0"/>
              <w:jc w:val="left"/>
            </w:pPr>
            <w:r>
              <w:rPr>
                <w:rFonts w:ascii="Times New Roman" w:hAnsi="Times New Roman" w:cs="Times New Roman"/>
                <w:rFonts w:ascii="Times New Roman" w:hAnsi="Times New Roman"/>
                <w:b w:val="0"/>
                <w:i w:val="0"/>
                <w:sz w:val="22"/>
                <w:u w:val="none"/>
              </w:rPr>
              <w:t>5</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A</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RDC</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Local</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26/104</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265/1000</w:t>
            </w:r>
          </w:p>
        </w:tc>
        <w:tc>
          <w:tcPr>
            <w:tcW w:type="dxa" w:w="957"/>
          </w:tcPr>
          <w:p>
            <w:pPr>
              <w:spacing w:after="0" w:before="0"/>
              <w:jc w:val="left"/>
            </w:pPr>
          </w:p>
        </w:tc>
        <w:tc>
          <w:tcPr>
            <w:tcW w:type="dxa" w:w="957"/>
          </w:tcPr>
          <w:p>
            <w:pPr>
              <w:spacing w:after="0" w:before="0"/>
              <w:jc w:val="left"/>
            </w:pPr>
          </w:p>
        </w:tc>
      </w:tr>
      <w:tr>
        <w:tc>
          <w:tcPr>
            <w:tcW w:type="dxa" w:w="957"/>
          </w:tcPr>
          <w:p>
            <w:pPr>
              <w:spacing w:after="0" w:before="0"/>
              <w:jc w:val="left"/>
            </w:pPr>
          </w:p>
        </w:tc>
        <w:tc>
          <w:tcPr>
            <w:tcW w:type="dxa" w:w="957"/>
          </w:tcPr>
          <w:p>
            <w:pPr>
              <w:spacing w:after="0" w:before="0"/>
              <w:jc w:val="left"/>
            </w:pPr>
          </w:p>
        </w:tc>
        <w:tc>
          <w:tcPr>
            <w:tcW w:type="dxa" w:w="957"/>
          </w:tcPr>
          <w:p>
            <w:pPr>
              <w:spacing w:after="0" w:before="0"/>
              <w:jc w:val="left"/>
            </w:pPr>
            <w:r>
              <w:rPr>
                <w:rFonts w:ascii="Times New Roman" w:hAnsi="Times New Roman" w:cs="Times New Roman"/>
                <w:rFonts w:ascii="Times New Roman" w:hAnsi="Times New Roman"/>
                <w:b w:val="0"/>
                <w:i w:val="0"/>
                <w:sz w:val="22"/>
                <w:u w:val="none"/>
              </w:rPr>
              <w:t>SS</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Cave</w:t>
            </w:r>
          </w:p>
        </w:tc>
        <w:tc>
          <w:tcPr>
            <w:tcW w:type="dxa" w:w="957"/>
          </w:tcPr>
          <w:p>
            <w:pPr>
              <w:spacing w:after="0" w:before="0"/>
              <w:jc w:val="left"/>
            </w:pPr>
          </w:p>
        </w:tc>
        <w:tc>
          <w:tcPr>
            <w:tcW w:type="dxa" w:w="957"/>
          </w:tcPr>
          <w:p>
            <w:pPr>
              <w:spacing w:after="0" w:before="0"/>
              <w:jc w:val="left"/>
            </w:pPr>
          </w:p>
        </w:tc>
        <w:tc>
          <w:tcPr>
            <w:tcW w:type="dxa" w:w="957"/>
          </w:tcPr>
          <w:p>
            <w:pPr>
              <w:spacing w:after="0" w:before="0"/>
              <w:jc w:val="left"/>
            </w:pPr>
          </w:p>
        </w:tc>
        <w:tc>
          <w:tcPr>
            <w:tcW w:type="dxa" w:w="957"/>
          </w:tcPr>
          <w:p>
            <w:pPr>
              <w:spacing w:after="0" w:before="0"/>
              <w:jc w:val="left"/>
            </w:pPr>
          </w:p>
        </w:tc>
      </w:tr>
      <w:tr>
        <w:tc>
          <w:tcPr>
            <w:tcW w:type="dxa" w:w="957"/>
          </w:tcPr>
          <w:p>
            <w:pPr>
              <w:spacing w:after="0" w:before="0"/>
              <w:jc w:val="left"/>
            </w:pPr>
            <w:r>
              <w:rPr>
                <w:rFonts w:ascii="Times New Roman" w:hAnsi="Times New Roman" w:cs="Times New Roman"/>
                <w:rFonts w:ascii="Times New Roman" w:hAnsi="Times New Roman"/>
                <w:b w:val="0"/>
                <w:i w:val="0"/>
                <w:sz w:val="22"/>
                <w:u w:val="none"/>
              </w:rPr>
              <w:t>6</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A</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RDC</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Local</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13/104</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133/1000</w:t>
            </w:r>
          </w:p>
        </w:tc>
        <w:tc>
          <w:tcPr>
            <w:tcW w:type="dxa" w:w="957"/>
          </w:tcPr>
          <w:p>
            <w:pPr>
              <w:spacing w:after="0" w:before="0"/>
              <w:jc w:val="left"/>
            </w:pPr>
          </w:p>
        </w:tc>
        <w:tc>
          <w:tcPr>
            <w:tcW w:type="dxa" w:w="957"/>
          </w:tcPr>
          <w:p>
            <w:pPr>
              <w:spacing w:after="0" w:before="0"/>
              <w:jc w:val="left"/>
            </w:pPr>
          </w:p>
        </w:tc>
      </w:tr>
      <w:tr>
        <w:tc>
          <w:tcPr>
            <w:tcW w:type="dxa" w:w="957"/>
          </w:tcPr>
          <w:p>
            <w:pPr>
              <w:spacing w:after="0" w:before="0"/>
              <w:jc w:val="left"/>
            </w:pPr>
            <w:r>
              <w:rPr>
                <w:rFonts w:ascii="Times New Roman" w:hAnsi="Times New Roman" w:cs="Times New Roman"/>
                <w:rFonts w:ascii="Times New Roman" w:hAnsi="Times New Roman"/>
                <w:b w:val="0"/>
                <w:i w:val="0"/>
                <w:sz w:val="22"/>
                <w:u w:val="none"/>
              </w:rPr>
              <w:t>7</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A</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1er</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Local</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10/104</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102/1000</w:t>
            </w:r>
          </w:p>
        </w:tc>
        <w:tc>
          <w:tcPr>
            <w:tcW w:type="dxa" w:w="957"/>
          </w:tcPr>
          <w:p>
            <w:pPr>
              <w:spacing w:after="0" w:before="0"/>
              <w:jc w:val="left"/>
            </w:pPr>
          </w:p>
        </w:tc>
        <w:tc>
          <w:tcPr>
            <w:tcW w:type="dxa" w:w="957"/>
          </w:tcPr>
          <w:p>
            <w:pPr>
              <w:spacing w:after="0" w:before="0"/>
              <w:jc w:val="left"/>
            </w:pPr>
          </w:p>
        </w:tc>
      </w:tr>
      <w:tr>
        <w:tc>
          <w:tcPr>
            <w:tcW w:type="dxa" w:w="957"/>
          </w:tcPr>
          <w:p>
            <w:pPr>
              <w:spacing w:after="0" w:before="0"/>
              <w:jc w:val="left"/>
            </w:pPr>
          </w:p>
        </w:tc>
        <w:tc>
          <w:tcPr>
            <w:tcW w:type="dxa" w:w="957"/>
          </w:tcPr>
          <w:p>
            <w:pPr>
              <w:spacing w:after="0" w:before="0"/>
              <w:jc w:val="left"/>
            </w:pPr>
          </w:p>
        </w:tc>
        <w:tc>
          <w:tcPr>
            <w:tcW w:type="dxa" w:w="957"/>
          </w:tcPr>
          <w:p>
            <w:pPr>
              <w:spacing w:after="0" w:before="0"/>
              <w:jc w:val="left"/>
            </w:pPr>
            <w:r>
              <w:rPr>
                <w:rFonts w:ascii="Times New Roman" w:hAnsi="Times New Roman" w:cs="Times New Roman"/>
                <w:rFonts w:ascii="Times New Roman" w:hAnsi="Times New Roman"/>
                <w:b w:val="0"/>
                <w:i w:val="0"/>
                <w:sz w:val="22"/>
                <w:u w:val="none"/>
              </w:rPr>
              <w:t>SS</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Cave</w:t>
            </w:r>
          </w:p>
        </w:tc>
        <w:tc>
          <w:tcPr>
            <w:tcW w:type="dxa" w:w="957"/>
          </w:tcPr>
          <w:p>
            <w:pPr>
              <w:spacing w:after="0" w:before="0"/>
              <w:jc w:val="left"/>
            </w:pPr>
          </w:p>
        </w:tc>
        <w:tc>
          <w:tcPr>
            <w:tcW w:type="dxa" w:w="957"/>
          </w:tcPr>
          <w:p>
            <w:pPr>
              <w:spacing w:after="0" w:before="0"/>
              <w:jc w:val="left"/>
            </w:pPr>
          </w:p>
        </w:tc>
        <w:tc>
          <w:tcPr>
            <w:tcW w:type="dxa" w:w="957"/>
          </w:tcPr>
          <w:p>
            <w:pPr>
              <w:spacing w:after="0" w:before="0"/>
              <w:jc w:val="left"/>
            </w:pPr>
          </w:p>
        </w:tc>
        <w:tc>
          <w:tcPr>
            <w:tcW w:type="dxa" w:w="957"/>
          </w:tcPr>
          <w:p>
            <w:pPr>
              <w:spacing w:after="0" w:before="0"/>
              <w:jc w:val="left"/>
            </w:pPr>
          </w:p>
        </w:tc>
      </w:tr>
      <w:tr>
        <w:tc>
          <w:tcPr>
            <w:tcW w:type="dxa" w:w="957"/>
          </w:tcPr>
          <w:p>
            <w:pPr>
              <w:spacing w:after="0" w:before="0"/>
              <w:jc w:val="left"/>
            </w:pPr>
          </w:p>
        </w:tc>
        <w:tc>
          <w:tcPr>
            <w:tcW w:type="dxa" w:w="957"/>
          </w:tcPr>
          <w:p>
            <w:pPr>
              <w:spacing w:after="0" w:before="0"/>
              <w:jc w:val="left"/>
            </w:pPr>
          </w:p>
        </w:tc>
        <w:tc>
          <w:tcPr>
            <w:tcW w:type="dxa" w:w="957"/>
          </w:tcPr>
          <w:p>
            <w:pPr>
              <w:spacing w:after="0" w:before="0"/>
              <w:jc w:val="left"/>
            </w:pPr>
            <w:r>
              <w:rPr>
                <w:rFonts w:ascii="Times New Roman" w:hAnsi="Times New Roman" w:cs="Times New Roman"/>
                <w:rFonts w:ascii="Times New Roman" w:hAnsi="Times New Roman"/>
                <w:b w:val="0"/>
                <w:i w:val="0"/>
                <w:sz w:val="22"/>
                <w:u w:val="none"/>
              </w:rPr>
              <w:t>2ème</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Grenier</w:t>
            </w:r>
          </w:p>
        </w:tc>
        <w:tc>
          <w:tcPr>
            <w:tcW w:type="dxa" w:w="957"/>
          </w:tcPr>
          <w:p>
            <w:pPr>
              <w:spacing w:after="0" w:before="0"/>
              <w:jc w:val="left"/>
            </w:pPr>
          </w:p>
        </w:tc>
        <w:tc>
          <w:tcPr>
            <w:tcW w:type="dxa" w:w="957"/>
          </w:tcPr>
          <w:p>
            <w:pPr>
              <w:spacing w:after="0" w:before="0"/>
              <w:jc w:val="left"/>
            </w:pPr>
          </w:p>
        </w:tc>
        <w:tc>
          <w:tcPr>
            <w:tcW w:type="dxa" w:w="957"/>
          </w:tcPr>
          <w:p>
            <w:pPr>
              <w:spacing w:after="0" w:before="0"/>
              <w:jc w:val="left"/>
            </w:pPr>
          </w:p>
        </w:tc>
        <w:tc>
          <w:tcPr>
            <w:tcW w:type="dxa" w:w="957"/>
          </w:tcPr>
          <w:p>
            <w:pPr>
              <w:spacing w:after="0" w:before="0"/>
              <w:jc w:val="left"/>
            </w:pPr>
          </w:p>
        </w:tc>
      </w:tr>
      <w:tr>
        <w:tc>
          <w:tcPr>
            <w:tcW w:type="dxa" w:w="957"/>
          </w:tcPr>
          <w:p>
            <w:pPr>
              <w:spacing w:after="0" w:before="0"/>
              <w:jc w:val="left"/>
            </w:pPr>
            <w:r>
              <w:rPr>
                <w:rFonts w:ascii="Times New Roman" w:hAnsi="Times New Roman" w:cs="Times New Roman"/>
                <w:rFonts w:ascii="Times New Roman" w:hAnsi="Times New Roman"/>
                <w:b w:val="0"/>
                <w:i w:val="0"/>
                <w:sz w:val="22"/>
                <w:u w:val="none"/>
              </w:rPr>
              <w:t>8</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A</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1er</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Logement</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4/104</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41/1000</w:t>
            </w:r>
          </w:p>
        </w:tc>
        <w:tc>
          <w:tcPr>
            <w:tcW w:type="dxa" w:w="957"/>
          </w:tcPr>
          <w:p>
            <w:pPr>
              <w:spacing w:after="0" w:before="0"/>
              <w:jc w:val="left"/>
            </w:pPr>
          </w:p>
        </w:tc>
        <w:tc>
          <w:tcPr>
            <w:tcW w:type="dxa" w:w="957"/>
          </w:tcPr>
          <w:p>
            <w:pPr>
              <w:spacing w:after="0" w:before="0"/>
              <w:jc w:val="left"/>
            </w:pPr>
          </w:p>
        </w:tc>
      </w:tr>
      <w:tr>
        <w:tc>
          <w:tcPr>
            <w:tcW w:type="dxa" w:w="957"/>
          </w:tcPr>
          <w:p>
            <w:pPr>
              <w:spacing w:after="0" w:before="0"/>
              <w:jc w:val="left"/>
            </w:pPr>
            <w:r>
              <w:rPr>
                <w:rFonts w:ascii="Times New Roman" w:hAnsi="Times New Roman" w:cs="Times New Roman"/>
                <w:rFonts w:ascii="Times New Roman" w:hAnsi="Times New Roman"/>
                <w:b w:val="0"/>
                <w:i w:val="0"/>
                <w:sz w:val="22"/>
                <w:u w:val="none"/>
              </w:rPr>
              <w:t>9</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A</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2ème</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Logement</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4/104</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41/1000</w:t>
            </w:r>
          </w:p>
        </w:tc>
        <w:tc>
          <w:tcPr>
            <w:tcW w:type="dxa" w:w="957"/>
          </w:tcPr>
          <w:p>
            <w:pPr>
              <w:spacing w:after="0" w:before="0"/>
              <w:jc w:val="left"/>
            </w:pPr>
          </w:p>
        </w:tc>
        <w:tc>
          <w:tcPr>
            <w:tcW w:type="dxa" w:w="957"/>
          </w:tcPr>
          <w:p>
            <w:pPr>
              <w:spacing w:after="0" w:before="0"/>
              <w:jc w:val="left"/>
            </w:pPr>
          </w:p>
        </w:tc>
      </w:tr>
      <w:tr>
        <w:tc>
          <w:tcPr>
            <w:tcW w:type="dxa" w:w="957"/>
          </w:tcPr>
          <w:p>
            <w:pPr>
              <w:spacing w:after="0" w:before="0"/>
              <w:jc w:val="left"/>
            </w:pPr>
          </w:p>
        </w:tc>
        <w:tc>
          <w:tcPr>
            <w:tcW w:type="dxa" w:w="957"/>
          </w:tcPr>
          <w:p>
            <w:pPr>
              <w:spacing w:after="0" w:before="0"/>
              <w:jc w:val="left"/>
            </w:pPr>
          </w:p>
        </w:tc>
        <w:tc>
          <w:tcPr>
            <w:tcW w:type="dxa" w:w="957"/>
          </w:tcPr>
          <w:p>
            <w:pPr>
              <w:spacing w:after="0" w:before="0"/>
              <w:jc w:val="left"/>
            </w:pPr>
            <w:r>
              <w:rPr>
                <w:rFonts w:ascii="Times New Roman" w:hAnsi="Times New Roman" w:cs="Times New Roman"/>
                <w:rFonts w:ascii="Times New Roman" w:hAnsi="Times New Roman"/>
                <w:b w:val="0"/>
                <w:i w:val="0"/>
                <w:sz w:val="22"/>
                <w:u w:val="none"/>
              </w:rPr>
              <w:t>SS</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Cave</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4/104</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41/1000</w:t>
            </w:r>
          </w:p>
        </w:tc>
        <w:tc>
          <w:tcPr>
            <w:tcW w:type="dxa" w:w="957"/>
          </w:tcPr>
          <w:p>
            <w:pPr>
              <w:spacing w:after="0" w:before="0"/>
              <w:jc w:val="left"/>
            </w:pPr>
          </w:p>
        </w:tc>
        <w:tc>
          <w:tcPr>
            <w:tcW w:type="dxa" w:w="957"/>
          </w:tcPr>
          <w:p>
            <w:pPr>
              <w:spacing w:after="0" w:before="0"/>
              <w:jc w:val="left"/>
            </w:pPr>
          </w:p>
        </w:tc>
      </w:tr>
      <w:tr>
        <w:tc>
          <w:tcPr>
            <w:tcW w:type="dxa" w:w="957"/>
          </w:tcPr>
          <w:p>
            <w:pPr>
              <w:spacing w:after="0" w:before="0"/>
              <w:jc w:val="left"/>
            </w:pPr>
            <w:r>
              <w:rPr>
                <w:rFonts w:ascii="Times New Roman" w:hAnsi="Times New Roman" w:cs="Times New Roman"/>
                <w:rFonts w:ascii="Times New Roman" w:hAnsi="Times New Roman"/>
                <w:b w:val="0"/>
                <w:i w:val="0"/>
                <w:sz w:val="22"/>
                <w:u w:val="none"/>
              </w:rPr>
              <w:t>10</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C</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RDC</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Hangar</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2/104</w:t>
            </w:r>
          </w:p>
        </w:tc>
        <w:tc>
          <w:tcPr>
            <w:tcW w:type="dxa" w:w="957"/>
          </w:tcPr>
          <w:p>
            <w:pPr>
              <w:spacing w:after="0" w:before="0"/>
              <w:jc w:val="left"/>
            </w:pPr>
          </w:p>
        </w:tc>
        <w:tc>
          <w:tcPr>
            <w:tcW w:type="dxa" w:w="957"/>
          </w:tcPr>
          <w:p>
            <w:pPr>
              <w:spacing w:after="0" w:before="0"/>
              <w:jc w:val="left"/>
            </w:pPr>
          </w:p>
        </w:tc>
        <w:tc>
          <w:tcPr>
            <w:tcW w:type="dxa" w:w="957"/>
          </w:tcPr>
          <w:p>
            <w:pPr>
              <w:spacing w:after="0" w:before="0"/>
              <w:jc w:val="left"/>
            </w:pPr>
            <w:r>
              <w:rPr>
                <w:rFonts w:ascii="Times New Roman" w:hAnsi="Times New Roman" w:cs="Times New Roman"/>
                <w:rFonts w:ascii="Times New Roman" w:hAnsi="Times New Roman"/>
                <w:b w:val="0"/>
                <w:i w:val="0"/>
                <w:sz w:val="22"/>
                <w:u w:val="none"/>
              </w:rPr>
              <w:t>1000/1000</w:t>
            </w:r>
          </w:p>
        </w:tc>
      </w:tr>
      <w:tr>
        <w:tc>
          <w:tcPr>
            <w:tcW w:type="dxa" w:w="957"/>
          </w:tcPr>
          <w:p>
            <w:pPr>
              <w:spacing w:after="0" w:before="0"/>
              <w:jc w:val="left"/>
            </w:pPr>
            <w:r>
              <w:rPr>
                <w:rFonts w:ascii="Times New Roman" w:hAnsi="Times New Roman" w:cs="Times New Roman"/>
                <w:rFonts w:ascii="Times New Roman" w:hAnsi="Times New Roman"/>
                <w:b w:val="0"/>
                <w:i w:val="0"/>
                <w:sz w:val="22"/>
                <w:u w:val="none"/>
              </w:rPr>
              <w:t>11</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A</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RDC</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Local</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8/104</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82</w:t>
            </w:r>
          </w:p>
        </w:tc>
        <w:tc>
          <w:tcPr>
            <w:tcW w:type="dxa" w:w="957"/>
          </w:tcPr>
          <w:p>
            <w:pPr>
              <w:spacing w:after="0" w:before="0"/>
              <w:jc w:val="left"/>
            </w:pPr>
          </w:p>
        </w:tc>
        <w:tc>
          <w:tcPr>
            <w:tcW w:type="dxa" w:w="957"/>
          </w:tcPr>
          <w:p>
            <w:pPr>
              <w:spacing w:after="0" w:before="0"/>
              <w:jc w:val="left"/>
            </w:pPr>
          </w:p>
        </w:tc>
      </w:tr>
      <w:tr>
        <w:tc>
          <w:tcPr>
            <w:tcW w:type="dxa" w:w="957"/>
          </w:tcPr>
          <w:p>
            <w:pPr>
              <w:spacing w:after="0" w:before="0"/>
              <w:jc w:val="left"/>
            </w:pPr>
            <w:r>
              <w:rPr>
                <w:rFonts w:ascii="Times New Roman" w:hAnsi="Times New Roman" w:cs="Times New Roman"/>
                <w:rFonts w:ascii="Times New Roman" w:hAnsi="Times New Roman"/>
                <w:b w:val="0"/>
                <w:i w:val="0"/>
                <w:sz w:val="22"/>
                <w:u w:val="none"/>
              </w:rPr>
              <w:t>13</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A</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RDC</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Local</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9/104</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92</w:t>
            </w:r>
          </w:p>
        </w:tc>
        <w:tc>
          <w:tcPr>
            <w:tcW w:type="dxa" w:w="957"/>
          </w:tcPr>
          <w:p>
            <w:pPr>
              <w:spacing w:after="0" w:before="0"/>
              <w:jc w:val="left"/>
            </w:pPr>
          </w:p>
        </w:tc>
        <w:tc>
          <w:tcPr>
            <w:tcW w:type="dxa" w:w="957"/>
          </w:tcPr>
          <w:p>
            <w:pPr>
              <w:spacing w:after="0" w:before="0"/>
              <w:jc w:val="left"/>
            </w:pPr>
          </w:p>
        </w:tc>
      </w:tr>
      <w:tr>
        <w:tc>
          <w:tcPr>
            <w:tcW w:type="dxa" w:w="957"/>
          </w:tcPr>
          <w:p>
            <w:pPr>
              <w:spacing w:after="0" w:before="0"/>
              <w:jc w:val="left"/>
            </w:pPr>
            <w:r>
              <w:rPr>
                <w:rFonts w:ascii="Times New Roman" w:hAnsi="Times New Roman" w:cs="Times New Roman"/>
                <w:rFonts w:ascii="Times New Roman" w:hAnsi="Times New Roman"/>
                <w:b w:val="0"/>
                <w:i w:val="0"/>
                <w:sz w:val="22"/>
                <w:u w:val="none"/>
              </w:rPr>
              <w:t>16</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A</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2ème</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Grenier</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1/104</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10</w:t>
            </w:r>
          </w:p>
        </w:tc>
        <w:tc>
          <w:tcPr>
            <w:tcW w:type="dxa" w:w="957"/>
          </w:tcPr>
          <w:p>
            <w:pPr>
              <w:spacing w:after="0" w:before="0"/>
              <w:jc w:val="left"/>
            </w:pPr>
          </w:p>
        </w:tc>
        <w:tc>
          <w:tcPr>
            <w:tcW w:type="dxa" w:w="957"/>
          </w:tcPr>
          <w:p>
            <w:pPr>
              <w:spacing w:after="0" w:before="0"/>
              <w:jc w:val="left"/>
            </w:pPr>
          </w:p>
        </w:tc>
      </w:tr>
      <w:tr>
        <w:tc>
          <w:tcPr>
            <w:tcW w:type="dxa" w:w="957"/>
          </w:tcPr>
          <w:p>
            <w:pPr>
              <w:spacing w:after="0" w:before="0"/>
              <w:jc w:val="left"/>
            </w:pPr>
            <w:r>
              <w:rPr>
                <w:rFonts w:ascii="Times New Roman" w:hAnsi="Times New Roman" w:cs="Times New Roman"/>
                <w:rFonts w:ascii="Times New Roman" w:hAnsi="Times New Roman"/>
                <w:b w:val="0"/>
                <w:i w:val="0"/>
                <w:sz w:val="22"/>
                <w:u w:val="none"/>
              </w:rPr>
              <w:t>18</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A</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1er</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Logement</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23/104</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234</w:t>
            </w:r>
          </w:p>
        </w:tc>
        <w:tc>
          <w:tcPr>
            <w:tcW w:type="dxa" w:w="957"/>
          </w:tcPr>
          <w:p>
            <w:pPr>
              <w:spacing w:after="0" w:before="0"/>
              <w:jc w:val="left"/>
            </w:pPr>
          </w:p>
        </w:tc>
        <w:tc>
          <w:tcPr>
            <w:tcW w:type="dxa" w:w="957"/>
          </w:tcPr>
          <w:p>
            <w:pPr>
              <w:spacing w:after="0" w:before="0"/>
              <w:jc w:val="left"/>
            </w:pPr>
          </w:p>
        </w:tc>
      </w:tr>
      <w:tr>
        <w:tc>
          <w:tcPr>
            <w:tcW w:type="dxa" w:w="957"/>
          </w:tcPr>
          <w:p>
            <w:pPr>
              <w:spacing w:after="0" w:before="0"/>
              <w:jc w:val="left"/>
            </w:pPr>
          </w:p>
        </w:tc>
        <w:tc>
          <w:tcPr>
            <w:tcW w:type="dxa" w:w="957"/>
          </w:tcPr>
          <w:p>
            <w:pPr>
              <w:spacing w:after="0" w:before="0"/>
              <w:jc w:val="left"/>
            </w:pPr>
          </w:p>
        </w:tc>
        <w:tc>
          <w:tcPr>
            <w:tcW w:type="dxa" w:w="957"/>
          </w:tcPr>
          <w:p>
            <w:pPr>
              <w:spacing w:after="0" w:before="0"/>
              <w:jc w:val="left"/>
            </w:pPr>
          </w:p>
        </w:tc>
        <w:tc>
          <w:tcPr>
            <w:tcW w:type="dxa" w:w="957"/>
          </w:tcPr>
          <w:p>
            <w:pPr>
              <w:spacing w:after="0" w:before="0"/>
              <w:jc w:val="left"/>
            </w:pPr>
          </w:p>
        </w:tc>
        <w:tc>
          <w:tcPr>
            <w:tcW w:type="dxa" w:w="957"/>
          </w:tcPr>
          <w:p>
            <w:pPr>
              <w:spacing w:after="0" w:before="0"/>
              <w:jc w:val="left"/>
            </w:pPr>
            <w:r>
              <w:rPr>
                <w:rFonts w:ascii="Times New Roman" w:hAnsi="Times New Roman" w:cs="Times New Roman"/>
                <w:rFonts w:ascii="Times New Roman" w:hAnsi="Times New Roman"/>
                <w:b w:val="0"/>
                <w:i w:val="0"/>
                <w:sz w:val="22"/>
                <w:u w:val="none"/>
              </w:rPr>
              <w:t>104/104</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1000/1000</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1000/1000</w:t>
            </w:r>
          </w:p>
        </w:tc>
        <w:tc>
          <w:tcPr>
            <w:tcW w:type="dxa" w:w="957"/>
          </w:tcPr>
          <w:p>
            <w:pPr>
              <w:spacing w:after="0" w:before="0"/>
              <w:jc w:val="left"/>
            </w:pPr>
            <w:r>
              <w:rPr>
                <w:rFonts w:ascii="Times New Roman" w:hAnsi="Times New Roman" w:cs="Times New Roman"/>
                <w:rFonts w:ascii="Times New Roman" w:hAnsi="Times New Roman"/>
                <w:b w:val="0"/>
                <w:i w:val="0"/>
                <w:sz w:val="22"/>
                <w:u w:val="none"/>
              </w:rPr>
              <w:t>1000/1000</w:t>
            </w:r>
          </w:p>
        </w:tc>
      </w:tr>
    </w:tbl>
    <w:p>
      <w:pPr>
        <w:spacing w:after="120" w:before="0"/>
      </w:pPr>
    </w:p>
    <w:p>
      <w:pPr>
        <w:spacing w:after="0" w:before="0"/>
        <w:ind w:firstLine="709"/>
        <w:jc w:val="both"/>
      </w:pPr>
      <w:r>
        <w:rPr>
          <w:rFonts w:ascii="Times New Roman" w:hAnsi="Times New Roman" w:cs="Times New Roman"/>
          <w:rFonts w:ascii="Times New Roman" w:hAnsi="Times New Roman"/>
          <w:b/>
          <w:i w:val="0"/>
          <w:sz w:val="22"/>
          <w:u w:val="single"/>
        </w:rPr>
        <w:t xml:space="preserve">METHODE DE CALCUL DES TANTIEMES DE COPROPRIETE </w:t>
      </w:r>
    </w:p>
    <w:p>
      <w:pPr>
        <w:spacing w:after="0" w:before="0"/>
        <w:ind w:firstLine="709"/>
        <w:jc w:val="both"/>
      </w:pPr>
      <w:r>
        <w:rPr>
          <w:rFonts w:ascii="Times New Roman" w:hAnsi="Times New Roman" w:cs="Times New Roman"/>
          <w:rFonts w:ascii="Times New Roman" w:hAnsi="Times New Roman"/>
          <w:b w:val="0"/>
          <w:i w:val="0"/>
          <w:sz w:val="22"/>
          <w:u w:val="none"/>
        </w:rPr>
        <w:t>La méthode de calcul est ci-après littéralement rapportée telle qu’elle figure dans le document établi par le cabinet RATELADE et PETITHOMME, le</w:t>
      </w:r>
      <w:r>
        <w:rPr>
          <w:rFonts w:ascii="Times New Roman" w:hAnsi="Times New Roman" w:cs="Times New Roman"/>
          <w:rFonts w:ascii="Times New Roman" w:hAnsi="Times New Roman"/>
          <w:b/>
          <w:i w:val="0"/>
          <w:sz w:val="22"/>
          <w:u w:val="none"/>
        </w:rPr>
        <w:t xml:space="preserve"> 25 août 2021 </w:t>
      </w:r>
      <w:r>
        <w:rPr>
          <w:rFonts w:ascii="Times New Roman" w:hAnsi="Times New Roman" w:cs="Times New Roman"/>
          <w:rFonts w:ascii="Times New Roman" w:hAnsi="Times New Roman"/>
          <w:b w:val="0"/>
          <w:i w:val="0"/>
          <w:sz w:val="22"/>
          <w:u w:val="none"/>
        </w:rPr>
        <w:t>demeuré ci-joint et annexé après mention et dont les termes sont ci-après littéralement retranscrits :</w:t>
      </w:r>
    </w:p>
    <w:p>
      <w:pPr>
        <w:spacing w:after="0" w:before="0"/>
        <w:ind w:firstLine="709"/>
        <w:jc w:val="both"/>
      </w:pPr>
      <w:r>
        <w:rPr>
          <w:rFonts w:ascii="Times New Roman" w:hAnsi="Times New Roman" w:cs="Times New Roman"/>
          <w:rFonts w:ascii="Times New Roman" w:hAnsi="Times New Roman"/>
          <w:b/>
          <w:i/>
          <w:sz w:val="22"/>
          <w:u w:val="none"/>
        </w:rPr>
        <w:t>B) MODE DE CALCUL.</w:t>
      </w:r>
    </w:p>
    <w:p>
      <w:pPr>
        <w:spacing w:after="0" w:before="0"/>
        <w:ind w:firstLine="709"/>
        <w:jc w:val="both"/>
      </w:pPr>
      <w:r>
        <w:rPr>
          <w:rFonts w:ascii="Times New Roman" w:hAnsi="Times New Roman" w:cs="Times New Roman"/>
          <w:rFonts w:ascii="Times New Roman" w:hAnsi="Times New Roman"/>
          <w:b w:val="0"/>
          <w:i/>
          <w:sz w:val="22"/>
          <w:u w:val="none"/>
        </w:rPr>
        <w:t>En application des dispositions du dernier alinéa de l’article 10 de la loi du 10 Juillet 1965, conformément à la loi SRU adoptée le 13 décembre 2000 (article 76), les éléments pris en considération et la méthode de calcul permettant de fixer les quotes-parts de parties communes et la répartition des charges, sont issus de l’article 5 et 10 de la loi du 10 Juillet 1965 fixant le statut de la copropriété des immeubles bâtis.</w:t>
      </w:r>
    </w:p>
    <w:p>
      <w:pPr>
        <w:spacing w:after="0" w:before="0"/>
        <w:ind w:firstLine="709"/>
        <w:jc w:val="both"/>
      </w:pPr>
      <w:r>
        <w:rPr>
          <w:rFonts w:ascii="Times New Roman" w:hAnsi="Times New Roman" w:cs="Times New Roman"/>
          <w:rFonts w:ascii="Times New Roman" w:hAnsi="Times New Roman"/>
          <w:b w:val="0"/>
          <w:i/>
          <w:sz w:val="22"/>
          <w:u w:val="none"/>
        </w:rPr>
        <w:t>Article 5 :</w:t>
      </w:r>
    </w:p>
    <w:p>
      <w:pPr>
        <w:spacing w:after="0" w:before="0"/>
        <w:ind w:firstLine="709"/>
        <w:jc w:val="both"/>
      </w:pPr>
      <w:r>
        <w:rPr>
          <w:rFonts w:ascii="Times New Roman" w:hAnsi="Times New Roman" w:cs="Times New Roman"/>
          <w:rFonts w:ascii="Times New Roman" w:hAnsi="Times New Roman"/>
          <w:b w:val="0"/>
          <w:i/>
          <w:sz w:val="22"/>
          <w:u w:val="none"/>
        </w:rPr>
        <w:t>"Dans le silence ou la contradiction des titres, la quote-part des parties communes afférente à chaque lot est proportionnelle à la valeur relative de chaque partie privative par rapport à l'ensemble des valeurs desdites parties, telles que ces valeurs résultent lors de l'établissement de la copropriété, de la consistance, de la superficie et de la situation des lots, sans égard à leur utilisation."</w:t>
      </w:r>
    </w:p>
    <w:p>
      <w:pPr>
        <w:spacing w:after="0" w:before="0"/>
        <w:ind w:firstLine="709"/>
        <w:jc w:val="both"/>
      </w:pPr>
      <w:r>
        <w:rPr>
          <w:rFonts w:ascii="Times New Roman" w:hAnsi="Times New Roman" w:cs="Times New Roman"/>
          <w:rFonts w:ascii="Times New Roman" w:hAnsi="Times New Roman"/>
          <w:b w:val="0"/>
          <w:i/>
          <w:sz w:val="22"/>
          <w:u w:val="none"/>
        </w:rPr>
        <w:t>Article 10 (d’Ordre Public) :</w:t>
      </w:r>
    </w:p>
    <w:p>
      <w:pPr>
        <w:spacing w:after="0" w:before="0"/>
        <w:ind w:firstLine="709"/>
        <w:jc w:val="both"/>
      </w:pPr>
      <w:r>
        <w:rPr>
          <w:rFonts w:ascii="Times New Roman" w:hAnsi="Times New Roman" w:cs="Times New Roman"/>
          <w:rFonts w:ascii="Times New Roman" w:hAnsi="Times New Roman"/>
          <w:b w:val="0"/>
          <w:i/>
          <w:sz w:val="22"/>
          <w:u w:val="none"/>
        </w:rPr>
        <w:t>"Les copropriétaires sont tenus de participer aux charges entraînées par les services collectifs et les éléments d'équipement commun en fonction de l'utilité que ces services et éléments présentent à l'égard de chaque lot.</w:t>
      </w:r>
    </w:p>
    <w:p>
      <w:pPr>
        <w:spacing w:after="0" w:before="0"/>
        <w:ind w:firstLine="709"/>
        <w:jc w:val="both"/>
      </w:pPr>
      <w:r>
        <w:rPr>
          <w:rFonts w:ascii="Times New Roman" w:hAnsi="Times New Roman" w:cs="Times New Roman"/>
          <w:rFonts w:ascii="Times New Roman" w:hAnsi="Times New Roman"/>
          <w:b w:val="0"/>
          <w:i/>
          <w:sz w:val="22"/>
          <w:u w:val="none"/>
        </w:rPr>
        <w:t>Ils sont tenus de participer aux charges relatives à la conservation, à l'entretien et à l'administration des parties communes proportionnellement aux valeurs relatives des parties privatives comprises dans leurs lots, telles que ces valeurs résultent des dispositions de l'article 5.</w:t>
      </w:r>
    </w:p>
    <w:p>
      <w:pPr>
        <w:spacing w:after="0" w:before="0"/>
        <w:ind w:firstLine="709"/>
        <w:jc w:val="both"/>
      </w:pPr>
      <w:r>
        <w:rPr>
          <w:rFonts w:ascii="Times New Roman" w:hAnsi="Times New Roman" w:cs="Times New Roman"/>
          <w:rFonts w:ascii="Times New Roman" w:hAnsi="Times New Roman"/>
          <w:b w:val="0"/>
          <w:i/>
          <w:sz w:val="22"/>
          <w:u w:val="none"/>
        </w:rPr>
        <w:t>Le règlement de copropriété fixe la quote-part afférente à chaque lot dans chacune des catégories de charges.</w:t>
      </w:r>
    </w:p>
    <w:p>
      <w:pPr>
        <w:spacing w:after="0" w:before="0"/>
        <w:ind w:firstLine="709"/>
        <w:jc w:val="both"/>
      </w:pPr>
      <w:r>
        <w:rPr>
          <w:rFonts w:ascii="Times New Roman" w:hAnsi="Times New Roman" w:cs="Times New Roman"/>
          <w:rFonts w:ascii="Times New Roman" w:hAnsi="Times New Roman"/>
          <w:b w:val="0"/>
          <w:i/>
          <w:sz w:val="22"/>
          <w:u w:val="none"/>
        </w:rPr>
        <w:t>Tout règlement de copropriété publié à compter du 31 décembre 2002 indique les éléments pris en considération et la méthode de calcul permettant de fixer les quotes-parts de parties communes et la répartition des charges.</w:t>
      </w:r>
    </w:p>
    <w:p>
      <w:pPr>
        <w:spacing w:after="0" w:before="0"/>
        <w:ind w:firstLine="709"/>
        <w:jc w:val="both"/>
      </w:pPr>
      <w:r>
        <w:rPr>
          <w:rFonts w:ascii="Times New Roman" w:hAnsi="Times New Roman" w:cs="Times New Roman"/>
          <w:rFonts w:ascii="Times New Roman" w:hAnsi="Times New Roman"/>
          <w:b/>
          <w:i/>
          <w:sz w:val="22"/>
          <w:u w:val="none"/>
        </w:rPr>
        <w:t>Le calcul de la quote-part des parties communes spéciale bâtiment résulte de l’application de l'article 5 tenant compte de la valeur relative de chaque lot.</w:t>
      </w:r>
    </w:p>
    <w:p>
      <w:pPr>
        <w:spacing w:after="0" w:before="0"/>
        <w:ind w:firstLine="709"/>
        <w:jc w:val="both"/>
      </w:pPr>
      <w:r>
        <w:rPr>
          <w:rFonts w:ascii="Times New Roman" w:hAnsi="Times New Roman" w:cs="Times New Roman"/>
          <w:rFonts w:ascii="Times New Roman" w:hAnsi="Times New Roman"/>
          <w:b/>
          <w:i/>
          <w:sz w:val="22"/>
          <w:u w:val="none"/>
        </w:rPr>
        <w:t>Celle-ci est calculée sur la base de calcul des quotes-parts de parties communes générales établi dans le règlement de copropriété d’origine.</w:t>
      </w:r>
    </w:p>
    <w:p>
      <w:pPr>
        <w:spacing w:after="0" w:before="0"/>
        <w:ind w:firstLine="709"/>
        <w:jc w:val="both"/>
      </w:pPr>
      <w:r>
        <w:rPr>
          <w:rFonts w:ascii="Times New Roman" w:hAnsi="Times New Roman" w:cs="Times New Roman"/>
          <w:rFonts w:ascii="Times New Roman" w:hAnsi="Times New Roman"/>
          <w:b/>
          <w:i w:val="0"/>
          <w:sz w:val="22"/>
          <w:u w:val="single"/>
        </w:rPr>
        <w:t>PRECISIONS DIVERSES SUR LE RÈGLEMENT DE COPROPRIÉTÉ.</w:t>
      </w:r>
    </w:p>
    <w:p>
      <w:pPr>
        <w:spacing w:after="0" w:before="0"/>
        <w:ind w:firstLine="709"/>
        <w:jc w:val="both"/>
      </w:pPr>
      <w:r>
        <w:rPr>
          <w:rFonts w:ascii="Times New Roman" w:hAnsi="Times New Roman" w:cs="Times New Roman"/>
          <w:rFonts w:ascii="Times New Roman" w:hAnsi="Times New Roman"/>
          <w:b w:val="0"/>
          <w:i w:val="0"/>
          <w:sz w:val="22"/>
          <w:u w:val="none"/>
        </w:rPr>
        <w:t>Il est rappelé qu’au titre de la loi ELAN, les syndicats des copropriétaires disposent d’un délai de trois ans à compter de la promulgation de la loi pour mettre, le cas échéant, leur règlement de copropriété en conformité avec les dispositions de l’article 6-4 de la loi n° 65-557 du 10 juillet 1965 fixant le statut de la copropriété des immeubles bâtis.</w:t>
      </w:r>
    </w:p>
    <w:p>
      <w:pPr>
        <w:spacing w:after="0" w:before="0"/>
        <w:ind w:firstLine="709"/>
        <w:jc w:val="both"/>
      </w:pPr>
      <w:r>
        <w:rPr>
          <w:rFonts w:ascii="Times New Roman" w:hAnsi="Times New Roman" w:cs="Times New Roman"/>
          <w:rFonts w:ascii="Times New Roman" w:hAnsi="Times New Roman"/>
          <w:b w:val="0"/>
          <w:i w:val="0"/>
          <w:sz w:val="22"/>
          <w:u w:val="none"/>
        </w:rPr>
        <w:t>A cette fin, le syndic doit inscrire à l’ordre du jour de chaque assemblée générale des copropriétaires la question de la mise en conformité du règlement de copropriété.</w:t>
      </w:r>
    </w:p>
    <w:p>
      <w:pPr>
        <w:spacing w:after="0" w:before="0"/>
        <w:ind w:firstLine="709"/>
        <w:jc w:val="both"/>
      </w:pPr>
      <w:r>
        <w:rPr>
          <w:rFonts w:ascii="Times New Roman" w:hAnsi="Times New Roman" w:cs="Times New Roman"/>
          <w:rFonts w:ascii="Times New Roman" w:hAnsi="Times New Roman"/>
          <w:b w:val="0"/>
          <w:i w:val="0"/>
          <w:sz w:val="22"/>
          <w:u w:val="none"/>
        </w:rPr>
        <w:t>Dans le cas de la copropriété faisant l'objet des présentes, il est fait observer que :</w:t>
      </w:r>
    </w:p>
    <w:p>
      <w:pPr>
        <w:spacing w:after="0" w:before="0"/>
        <w:ind w:firstLine="709"/>
        <w:jc w:val="both"/>
      </w:pPr>
      <w:r>
        <w:rPr>
          <w:rFonts w:ascii="Times New Roman" w:hAnsi="Times New Roman" w:cs="Times New Roman"/>
          <w:rFonts w:ascii="Times New Roman" w:hAnsi="Times New Roman"/>
          <w:b/>
          <w:i/>
          <w:sz w:val="22"/>
          <w:u w:val="none"/>
        </w:rPr>
        <w:t>· Le calcul des quotes-parts de parties communes générales d’origine ne tient pas compte des superficies et des natures réelles des lots ;</w:t>
      </w:r>
    </w:p>
    <w:p>
      <w:pPr>
        <w:spacing w:after="0" w:before="0"/>
        <w:ind w:firstLine="709"/>
        <w:jc w:val="both"/>
      </w:pPr>
      <w:r>
        <w:rPr>
          <w:rFonts w:ascii="Times New Roman" w:hAnsi="Times New Roman" w:cs="Times New Roman"/>
          <w:rFonts w:ascii="Times New Roman" w:hAnsi="Times New Roman"/>
          <w:b/>
          <w:i/>
          <w:sz w:val="22"/>
          <w:u w:val="none"/>
        </w:rPr>
        <w:t>· La construction constituant le lot 10 a été transformée sans modification de l’état descriptif de division en copropriété et la nouvelle configuration ne permet plus l’accès au water-closet commun situé dans la cour ;</w:t>
      </w:r>
    </w:p>
    <w:p>
      <w:pPr>
        <w:spacing w:after="0" w:before="0"/>
        <w:ind w:firstLine="709"/>
        <w:jc w:val="both"/>
      </w:pPr>
      <w:r>
        <w:rPr>
          <w:rFonts w:ascii="Times New Roman" w:hAnsi="Times New Roman" w:cs="Times New Roman"/>
          <w:rFonts w:ascii="Times New Roman" w:hAnsi="Times New Roman"/>
          <w:b/>
          <w:i/>
          <w:sz w:val="22"/>
          <w:u w:val="none"/>
        </w:rPr>
        <w:t>· Le lot 4 subit une extension sans faire l’objet d’un modificatif de l’état descriptif de division en copropriété ;</w:t>
      </w:r>
    </w:p>
    <w:p>
      <w:pPr>
        <w:spacing w:after="0" w:before="0"/>
        <w:ind w:firstLine="709"/>
        <w:jc w:val="both"/>
      </w:pPr>
      <w:r>
        <w:rPr>
          <w:rFonts w:ascii="Times New Roman" w:hAnsi="Times New Roman" w:cs="Times New Roman"/>
          <w:rFonts w:ascii="Times New Roman" w:hAnsi="Times New Roman"/>
          <w:b/>
          <w:i/>
          <w:sz w:val="22"/>
          <w:u w:val="none"/>
        </w:rPr>
        <w:t>· Les caves et greniers ne sont pas identifiés.</w:t>
      </w:r>
    </w:p>
    <w:p>
      <w:pPr>
        <w:pStyle w:val="Heading1"/>
      </w:pPr>
      <w:r>
        <w:rPr>
          <w:rFonts w:ascii="Times New Roman" w:hAnsi="Times New Roman" w:cs="Times New Roman"/>
          <w:rFonts w:ascii="Times New Roman" w:hAnsi="Times New Roman"/>
          <w:sz w:val="22"/>
        </w:rPr>
        <w:t>IMMATRICULATION DU SYNDICAT DE COPROPRIETAIRES</w:t>
      </w:r>
    </w:p>
    <w:p>
      <w:pPr>
        <w:spacing w:after="0" w:before="0"/>
        <w:ind w:firstLine="709"/>
        <w:jc w:val="both"/>
      </w:pPr>
      <w:r>
        <w:rPr>
          <w:rFonts w:ascii="Times New Roman" w:hAnsi="Times New Roman" w:cs="Times New Roman"/>
          <w:rFonts w:ascii="Times New Roman" w:hAnsi="Times New Roman"/>
          <w:b w:val="0"/>
          <w:i w:val="0"/>
          <w:sz w:val="22"/>
          <w:u w:val="none"/>
        </w:rPr>
        <w:t>L'article L 711-1 du Code de la construction et de l'habitation institue un registre auquel sont immatriculés les syndicats de copropriétaires définis à l' fixant le statut de la copropriété des immeubles bâtis, qui administrent des immeubles à destination partielle ou totale d'habitation.</w:t>
      </w:r>
    </w:p>
    <w:p>
      <w:pPr>
        <w:spacing w:after="0" w:before="0"/>
        <w:ind w:firstLine="709"/>
        <w:jc w:val="both"/>
      </w:pPr>
      <w:r>
        <w:rPr>
          <w:rFonts w:ascii="Times New Roman" w:hAnsi="Times New Roman" w:cs="Times New Roman"/>
          <w:rFonts w:ascii="Times New Roman" w:hAnsi="Times New Roman"/>
          <w:b w:val="0"/>
          <w:i w:val="0"/>
          <w:sz w:val="22"/>
          <w:u w:val="none"/>
        </w:rPr>
        <w:t>Cette disposition est applicable à compter du, savoir :</w:t>
      </w:r>
    </w:p>
    <w:p>
      <w:pPr>
        <w:spacing w:after="0" w:before="0"/>
        <w:ind w:firstLine="709"/>
        <w:jc w:val="both"/>
      </w:pPr>
      <w:r>
        <w:rPr>
          <w:rFonts w:ascii="Times New Roman" w:hAnsi="Times New Roman" w:cs="Times New Roman"/>
          <w:rFonts w:ascii="Times New Roman" w:hAnsi="Times New Roman"/>
          <w:b w:val="0"/>
          <w:i w:val="0"/>
          <w:sz w:val="22"/>
          <w:u w:val="none"/>
        </w:rPr>
        <w:t>31 décembre 2016, pour les syndicats de copropriétaires comportant plus de 200 lots ainsi que pour les syndicats de copropriétaires des immeubles neufs ou des immeubles mis en copropriété,</w:t>
      </w:r>
    </w:p>
    <w:p>
      <w:pPr>
        <w:spacing w:after="0" w:before="0"/>
        <w:ind w:firstLine="709"/>
        <w:jc w:val="both"/>
      </w:pPr>
      <w:r>
        <w:rPr>
          <w:rFonts w:ascii="Times New Roman" w:hAnsi="Times New Roman" w:cs="Times New Roman"/>
          <w:rFonts w:ascii="Times New Roman" w:hAnsi="Times New Roman"/>
          <w:b w:val="0"/>
          <w:i w:val="0"/>
          <w:sz w:val="22"/>
          <w:u w:val="none"/>
        </w:rPr>
        <w:t>31 décembre 2017, pour les syndicats de copropriétaires comportant plus de 50 lots,</w:t>
      </w:r>
    </w:p>
    <w:p>
      <w:pPr>
        <w:spacing w:after="0" w:before="0"/>
        <w:ind w:firstLine="709"/>
        <w:jc w:val="both"/>
      </w:pPr>
      <w:r>
        <w:rPr>
          <w:rFonts w:ascii="Times New Roman" w:hAnsi="Times New Roman" w:cs="Times New Roman"/>
          <w:rFonts w:ascii="Times New Roman" w:hAnsi="Times New Roman"/>
          <w:b w:val="0"/>
          <w:i w:val="0"/>
          <w:sz w:val="22"/>
          <w:u w:val="none"/>
        </w:rPr>
        <w:t>31 décembre 2018, pour les autres syndicats de copropriétaires.</w:t>
      </w:r>
    </w:p>
    <w:p>
      <w:pPr>
        <w:spacing w:after="0" w:before="0"/>
        <w:ind w:firstLine="709"/>
        <w:jc w:val="both"/>
      </w:pPr>
      <w:r>
        <w:rPr>
          <w:rFonts w:ascii="Times New Roman" w:hAnsi="Times New Roman" w:cs="Times New Roman"/>
          <w:rFonts w:ascii="Times New Roman" w:hAnsi="Times New Roman"/>
          <w:b w:val="0"/>
          <w:i w:val="0"/>
          <w:sz w:val="22"/>
          <w:u w:val="none"/>
        </w:rPr>
        <w:t xml:space="preserve">Le syndicat des copropriétaires est immatriculé sous le numéro </w:t>
      </w:r>
      <w:r>
        <w:rPr>
          <w:rFonts w:ascii="Times New Roman" w:hAnsi="Times New Roman" w:cs="Times New Roman"/>
          <w:rFonts w:ascii="Times New Roman" w:hAnsi="Times New Roman"/>
          <w:b/>
          <w:i w:val="0"/>
          <w:sz w:val="22"/>
          <w:u w:val="none"/>
        </w:rPr>
        <w:t>AA5-357-991</w:t>
      </w:r>
      <w:r>
        <w:rPr>
          <w:rFonts w:ascii="Times New Roman" w:hAnsi="Times New Roman" w:cs="Times New Roman"/>
          <w:rFonts w:ascii="Times New Roman" w:hAnsi="Times New Roman"/>
          <w:b w:val="0"/>
          <w:i w:val="0"/>
          <w:sz w:val="22"/>
          <w:u w:val="none"/>
        </w:rPr>
        <w:t xml:space="preserve">, ainsi qu’il résulte de l’attestation de mis à jour annuelle du syndicat en date du </w:t>
      </w:r>
      <w:r>
        <w:rPr>
          <w:rFonts w:ascii="Times New Roman" w:hAnsi="Times New Roman" w:cs="Times New Roman"/>
          <w:rFonts w:ascii="Times New Roman" w:hAnsi="Times New Roman"/>
          <w:b/>
          <w:i w:val="0"/>
          <w:sz w:val="22"/>
          <w:u w:val="none"/>
        </w:rPr>
        <w:t xml:space="preserve">21 février 2025 </w:t>
      </w:r>
      <w:r>
        <w:rPr>
          <w:rFonts w:ascii="Times New Roman" w:hAnsi="Times New Roman" w:cs="Times New Roman"/>
          <w:rFonts w:ascii="Times New Roman" w:hAnsi="Times New Roman"/>
          <w:b w:val="0"/>
          <w:i w:val="0"/>
          <w:sz w:val="22"/>
          <w:u w:val="none"/>
        </w:rPr>
        <w:t>dont une copie demeure jointe et annexée.</w:t>
      </w:r>
    </w:p>
    <w:p>
      <w:pPr>
        <w:spacing w:after="0" w:before="0"/>
        <w:ind w:firstLine="709"/>
        <w:jc w:val="both"/>
      </w:pPr>
      <w:r>
        <w:rPr>
          <w:rFonts w:ascii="Times New Roman" w:hAnsi="Times New Roman" w:cs="Times New Roman"/>
          <w:rFonts w:ascii="Times New Roman" w:hAnsi="Times New Roman"/>
          <w:b/>
          <w:i w:val="0"/>
          <w:sz w:val="22"/>
          <w:u w:val="none"/>
        </w:rPr>
        <w:t>Annexe n°</w:t>
      </w:r>
      <w:r>
        <w:rPr>
          <w:rFonts w:ascii="Times New Roman" w:hAnsi="Times New Roman" w:cs="Times New Roman"/>
          <w:rFonts w:ascii="Times New Roman" w:hAnsi="Times New Roman"/>
          <w:b w:val="0"/>
          <w:i w:val="0"/>
          <w:sz w:val="22"/>
          <w:u w:val="none"/>
        </w:rPr>
        <w:t>6</w:t>
      </w:r>
      <w:r>
        <w:rPr>
          <w:rFonts w:ascii="Times New Roman" w:hAnsi="Times New Roman" w:cs="Times New Roman"/>
          <w:rFonts w:ascii="Times New Roman" w:hAnsi="Times New Roman"/>
          <w:b/>
          <w:i w:val="0"/>
          <w:sz w:val="22"/>
          <w:u w:val="none"/>
        </w:rPr>
        <w:t xml:space="preserve"> : </w:t>
      </w:r>
      <w:r>
        <w:rPr>
          <w:rFonts w:ascii="Times New Roman" w:hAnsi="Times New Roman" w:cs="Times New Roman"/>
          <w:rFonts w:ascii="Times New Roman" w:hAnsi="Times New Roman"/>
          <w:b w:val="0"/>
          <w:i w:val="0"/>
          <w:sz w:val="22"/>
          <w:u w:val="none"/>
        </w:rPr>
        <w:t xml:space="preserve">Attestation de mise </w:t>
      </w:r>
      <w:r>
        <w:rPr>
          <w:rFonts w:ascii="Times New Roman" w:hAnsi="Times New Roman" w:cs="Times New Roman"/>
          <w:rFonts w:ascii="Times New Roman" w:hAnsi="Times New Roman"/>
          <w:b/>
          <w:i w:val="0"/>
          <w:sz w:val="22"/>
          <w:u w:val="none"/>
        </w:rPr>
        <w:t>à</w:t>
      </w:r>
      <w:r>
        <w:rPr>
          <w:rFonts w:ascii="Times New Roman" w:hAnsi="Times New Roman" w:cs="Times New Roman"/>
          <w:rFonts w:ascii="Times New Roman" w:hAnsi="Times New Roman"/>
          <w:b w:val="0"/>
          <w:i w:val="0"/>
          <w:sz w:val="22"/>
          <w:u w:val="none"/>
        </w:rPr>
        <w:t xml:space="preserve"> jour annuelle</w:t>
      </w:r>
    </w:p>
    <w:p>
      <w:pPr>
        <w:pStyle w:val="Heading1"/>
      </w:pPr>
      <w:r>
        <w:rPr>
          <w:rFonts w:ascii="Times New Roman" w:hAnsi="Times New Roman" w:cs="Times New Roman"/>
          <w:rFonts w:ascii="Times New Roman" w:hAnsi="Times New Roman"/>
          <w:sz w:val="22"/>
        </w:rPr>
        <w:t>DOMICILE</w:t>
      </w:r>
    </w:p>
    <w:p>
      <w:pPr>
        <w:spacing w:after="0" w:before="0"/>
        <w:ind w:firstLine="709"/>
        <w:jc w:val="both"/>
      </w:pPr>
      <w:r>
        <w:rPr>
          <w:rFonts w:ascii="Times New Roman" w:hAnsi="Times New Roman" w:cs="Times New Roman"/>
          <w:rFonts w:ascii="Times New Roman" w:hAnsi="Times New Roman"/>
          <w:b w:val="0"/>
          <w:i w:val="0"/>
          <w:sz w:val="22"/>
          <w:u w:val="none"/>
        </w:rPr>
        <w:t>Domicile est élu de plein droit au lieu de résidence du requérant.</w:t>
      </w:r>
    </w:p>
    <w:p>
      <w:pPr>
        <w:pStyle w:val="Heading1"/>
      </w:pPr>
      <w:r>
        <w:rPr>
          <w:rFonts w:ascii="Times New Roman" w:hAnsi="Times New Roman" w:cs="Times New Roman"/>
          <w:rFonts w:ascii="Times New Roman" w:hAnsi="Times New Roman"/>
          <w:sz w:val="22"/>
        </w:rPr>
        <w:t>INFORMATION DU SYNDIC</w:t>
      </w:r>
    </w:p>
    <w:p>
      <w:pPr>
        <w:spacing w:after="0" w:before="0"/>
        <w:ind w:firstLine="709"/>
        <w:jc w:val="both"/>
      </w:pPr>
      <w:r>
        <w:rPr>
          <w:rFonts w:ascii="Times New Roman" w:hAnsi="Times New Roman" w:cs="Times New Roman"/>
          <w:rFonts w:ascii="Times New Roman" w:hAnsi="Times New Roman"/>
          <w:b w:val="0"/>
          <w:i w:val="0"/>
          <w:sz w:val="22"/>
          <w:u w:val="none"/>
        </w:rPr>
        <w:t>Une copie de l’acte sera adressée par lettre recommandée avec accusé de réception au syndic de la copropriété.</w:t>
      </w:r>
    </w:p>
    <w:p>
      <w:pPr>
        <w:pStyle w:val="Heading1"/>
      </w:pPr>
      <w:r>
        <w:rPr>
          <w:rFonts w:ascii="Times New Roman" w:hAnsi="Times New Roman" w:cs="Times New Roman"/>
          <w:rFonts w:ascii="Times New Roman" w:hAnsi="Times New Roman"/>
          <w:sz w:val="22"/>
        </w:rPr>
        <w:t>FRAIS</w:t>
      </w:r>
    </w:p>
    <w:p>
      <w:pPr>
        <w:spacing w:after="0" w:before="0"/>
        <w:ind w:firstLine="709"/>
        <w:jc w:val="both"/>
      </w:pPr>
      <w:r>
        <w:rPr>
          <w:rFonts w:ascii="Times New Roman" w:hAnsi="Times New Roman" w:cs="Times New Roman"/>
          <w:rFonts w:ascii="Times New Roman" w:hAnsi="Times New Roman"/>
          <w:b w:val="0"/>
          <w:i w:val="0"/>
          <w:sz w:val="22"/>
          <w:u w:val="none"/>
        </w:rPr>
        <w:t>Les frais sont supportés par le requérant.</w:t>
      </w:r>
    </w:p>
    <w:p>
      <w:pPr>
        <w:pStyle w:val="Heading1"/>
      </w:pPr>
      <w:r>
        <w:rPr>
          <w:rFonts w:ascii="Times New Roman" w:hAnsi="Times New Roman" w:cs="Times New Roman"/>
          <w:rFonts w:ascii="Times New Roman" w:hAnsi="Times New Roman"/>
          <w:sz w:val="22"/>
        </w:rPr>
        <w:t>Contribution de sécurité immobilière</w:t>
      </w:r>
    </w:p>
    <w:p>
      <w:pPr>
        <w:spacing w:after="0" w:before="0"/>
        <w:ind w:firstLine="709"/>
        <w:jc w:val="both"/>
      </w:pPr>
      <w:r>
        <w:rPr>
          <w:rFonts w:ascii="Times New Roman" w:hAnsi="Times New Roman" w:cs="Times New Roman"/>
          <w:rFonts w:ascii="Times New Roman" w:hAnsi="Times New Roman"/>
          <w:b w:val="0"/>
          <w:i w:val="0"/>
          <w:sz w:val="22"/>
          <w:u w:val="none"/>
        </w:rPr>
        <w:t>En fonction des dispositions de l'acte à publier au fichier immobilier, la contribution de sécurité immobilière s'élève à la somme de cent vingt-cinq euros (125,00 eur).</w:t>
      </w:r>
    </w:p>
    <w:p>
      <w:pPr>
        <w:pStyle w:val="Heading1"/>
      </w:pPr>
      <w:r>
        <w:rPr>
          <w:rFonts w:ascii="Times New Roman" w:hAnsi="Times New Roman" w:cs="Times New Roman"/>
          <w:rFonts w:ascii="Times New Roman" w:hAnsi="Times New Roman"/>
          <w:sz w:val="22"/>
        </w:rPr>
        <w:t>Publicité foncière</w:t>
      </w:r>
    </w:p>
    <w:p>
      <w:pPr>
        <w:spacing w:after="0" w:before="0"/>
        <w:ind w:firstLine="709"/>
        <w:jc w:val="both"/>
      </w:pPr>
      <w:r>
        <w:rPr>
          <w:rFonts w:ascii="Times New Roman" w:hAnsi="Times New Roman" w:cs="Times New Roman"/>
          <w:rFonts w:ascii="Times New Roman" w:hAnsi="Times New Roman"/>
          <w:b w:val="0"/>
          <w:i w:val="0"/>
          <w:sz w:val="22"/>
          <w:u w:val="none"/>
        </w:rPr>
        <w:t xml:space="preserve">Le présent modificatif sera publié au service de la publicité foncière de </w:t>
      </w:r>
      <w:r>
        <w:rPr>
          <w:rFonts w:ascii="Times New Roman" w:hAnsi="Times New Roman" w:cs="Times New Roman"/>
          <w:rFonts w:ascii="Times New Roman" w:hAnsi="Times New Roman"/>
          <w:b/>
          <w:i w:val="0"/>
          <w:sz w:val="22"/>
          <w:u w:val="none"/>
        </w:rPr>
        <w:t>LYON</w:t>
      </w:r>
      <w:r>
        <w:rPr>
          <w:rFonts w:ascii="Times New Roman" w:hAnsi="Times New Roman" w:cs="Times New Roman"/>
          <w:rFonts w:ascii="Times New Roman" w:hAnsi="Times New Roman"/>
          <w:b w:val="0"/>
          <w:i w:val="0"/>
          <w:sz w:val="22"/>
          <w:u w:val="none"/>
        </w:rPr>
        <w:t xml:space="preserve"> </w:t>
      </w:r>
      <w:r>
        <w:rPr>
          <w:rFonts w:ascii="Times New Roman" w:hAnsi="Times New Roman" w:cs="Times New Roman"/>
          <w:rFonts w:ascii="Times New Roman" w:hAnsi="Times New Roman"/>
          <w:b/>
          <w:i w:val="0"/>
          <w:sz w:val="22"/>
          <w:u w:val="none"/>
        </w:rPr>
        <w:t>1</w:t>
      </w:r>
      <w:r>
        <w:rPr>
          <w:rFonts w:ascii="Times New Roman" w:hAnsi="Times New Roman" w:cs="Times New Roman"/>
          <w:rFonts w:ascii="Times New Roman" w:hAnsi="Times New Roman"/>
          <w:b w:val="0"/>
          <w:i w:val="0"/>
          <w:sz w:val="22"/>
          <w:u w:val="none"/>
        </w:rPr>
        <w:t xml:space="preserve"> conformément à la  et aux dispositions légales relatives à la publicité foncière.</w:t>
      </w:r>
    </w:p>
    <w:p>
      <w:pPr>
        <w:spacing w:after="0" w:before="0"/>
        <w:ind w:firstLine="709"/>
        <w:jc w:val="both"/>
      </w:pPr>
      <w:r>
        <w:rPr>
          <w:rFonts w:ascii="Times New Roman" w:hAnsi="Times New Roman" w:cs="Times New Roman"/>
          <w:rFonts w:ascii="Times New Roman" w:hAnsi="Times New Roman"/>
          <w:b w:val="0"/>
          <w:i w:val="0"/>
          <w:sz w:val="22"/>
          <w:u w:val="none"/>
        </w:rPr>
        <w:t>La contribution de sécurité immobilière de 15 euros (article 881 M du Code général des impôts) est en outre exigible.</w:t>
      </w:r>
    </w:p>
    <w:p>
      <w:pPr>
        <w:pStyle w:val="Heading1"/>
      </w:pPr>
      <w:r>
        <w:rPr>
          <w:rFonts w:ascii="Times New Roman" w:hAnsi="Times New Roman" w:cs="Times New Roman"/>
          <w:rFonts w:ascii="Times New Roman" w:hAnsi="Times New Roman"/>
          <w:sz w:val="22"/>
        </w:rPr>
        <w:t>Pouvoirs pour publicité foncière</w:t>
      </w:r>
    </w:p>
    <w:p>
      <w:pPr>
        <w:spacing w:after="0" w:before="0"/>
        <w:ind w:firstLine="709"/>
        <w:jc w:val="both"/>
      </w:pPr>
      <w:r>
        <w:rPr>
          <w:rFonts w:ascii="Times New Roman" w:hAnsi="Times New Roman" w:cs="Times New Roman"/>
          <w:rFonts w:ascii="Times New Roman" w:hAnsi="Times New Roman"/>
          <w:b w:val="0"/>
          <w:i w:val="0"/>
          <w:sz w:val="22"/>
          <w:u w:val="none"/>
        </w:rPr>
        <w:t>Pour l'accomplissement des formalités de publicité foncière, les parties agissant dans un intérêt commun, donnent tous pouvoirs nécessaires à nécessaires à tout notaire ou à tout collaborateur de l'office notarial dénommé en tête des présentes à l'effet de faire dresser et signer tous actes complémentaires ou rectificatifs pour mettre le présent acte en concordance avec les documents hypothécaires, cadastraux ou d'état civil.</w:t>
      </w:r>
    </w:p>
    <w:p>
      <w:pPr>
        <w:pStyle w:val="Heading1"/>
      </w:pPr>
      <w:r>
        <w:rPr>
          <w:rFonts w:ascii="Times New Roman" w:hAnsi="Times New Roman" w:cs="Times New Roman"/>
          <w:rFonts w:ascii="Times New Roman" w:hAnsi="Times New Roman"/>
          <w:sz w:val="22"/>
        </w:rPr>
        <w:t>Mention sur la protection des données personnelles</w:t>
      </w:r>
    </w:p>
    <w:p>
      <w:pPr>
        <w:spacing w:after="0" w:before="0"/>
        <w:ind w:firstLine="709"/>
        <w:jc w:val="both"/>
      </w:pPr>
      <w:r>
        <w:rPr>
          <w:rFonts w:ascii="Times New Roman" w:hAnsi="Times New Roman" w:cs="Times New Roman"/>
          <w:rFonts w:ascii="Times New Roman" w:hAnsi="Times New Roman"/>
          <w:b w:val="0"/>
          <w:i w:val="0"/>
          <w:sz w:val="22"/>
          <w:u w:val="none"/>
        </w:rPr>
        <w:t>L’Office notarial traite des données personnelles concernant les personnes mentionnées aux présentes, pour l’accomplissement des activités notariales, notamment de formalités d’actes.</w:t>
      </w:r>
    </w:p>
    <w:p>
      <w:pPr>
        <w:spacing w:after="0" w:before="0"/>
        <w:ind w:firstLine="709"/>
        <w:jc w:val="both"/>
      </w:pPr>
      <w:r>
        <w:rPr>
          <w:rFonts w:ascii="Times New Roman" w:hAnsi="Times New Roman" w:cs="Times New Roman"/>
          <w:rFonts w:ascii="Times New Roman" w:hAnsi="Times New Roman"/>
          <w:b w:val="0"/>
          <w:i w:val="0"/>
          <w:sz w:val="22"/>
          <w:u w:val="none"/>
        </w:rPr>
        <w:t>Ce traitement est fondé sur le respect d’une obligation légale et l’exécution d’une mission relevant de l’exercice de l’autorité publique déléguée par l’Etat dont sont investis les notaires, officiers publics, conformément à l’ordonnance n°45-2590 du 2 novembre 1945.</w:t>
      </w:r>
    </w:p>
    <w:p>
      <w:pPr>
        <w:spacing w:after="0" w:before="0"/>
        <w:ind w:firstLine="709"/>
        <w:jc w:val="both"/>
      </w:pPr>
      <w:r>
        <w:rPr>
          <w:rFonts w:ascii="Times New Roman" w:hAnsi="Times New Roman" w:cs="Times New Roman"/>
          <w:rFonts w:ascii="Times New Roman" w:hAnsi="Times New Roman"/>
          <w:b w:val="0"/>
          <w:i w:val="0"/>
          <w:sz w:val="22"/>
          <w:u w:val="none"/>
        </w:rPr>
        <w:t>Ces données seront susceptibles d’être transférées aux destinataires suivants :</w:t>
      </w:r>
    </w:p>
    <w:p>
      <w:pPr>
        <w:spacing w:after="0" w:before="0"/>
        <w:ind w:firstLine="709"/>
        <w:jc w:val="both"/>
      </w:pPr>
      <w:r>
        <w:rPr>
          <w:rFonts w:ascii="Times New Roman" w:hAnsi="Times New Roman" w:cs="Times New Roman"/>
          <w:rFonts w:ascii="Times New Roman" w:hAnsi="Times New Roman"/>
          <w:b w:val="0"/>
          <w:i w:val="0"/>
          <w:sz w:val="22"/>
          <w:u w:val="none"/>
        </w:rPr>
        <w:t>les administrations ou partenaires légalement habilités tels que la Direction Générale des Finances Publiques, ou, le cas échéant, le livre foncier, les instances notariales, les organismes du notariat, les fichiers centraux de la profession notariale (Fichier Central Des Dernières Volontés, Minutier Central Électronique des Notaires, registre du PACS, etc.),</w:t>
      </w:r>
    </w:p>
    <w:p>
      <w:pPr>
        <w:spacing w:after="0" w:before="0"/>
        <w:ind w:firstLine="709"/>
        <w:jc w:val="both"/>
      </w:pPr>
      <w:r>
        <w:rPr>
          <w:rFonts w:ascii="Times New Roman" w:hAnsi="Times New Roman" w:cs="Times New Roman"/>
          <w:rFonts w:ascii="Times New Roman" w:hAnsi="Times New Roman"/>
          <w:b w:val="0"/>
          <w:i w:val="0"/>
          <w:sz w:val="22"/>
          <w:u w:val="none"/>
        </w:rPr>
        <w:t>les offices notariaux participant ou concourant à l’acte,</w:t>
      </w:r>
    </w:p>
    <w:p>
      <w:pPr>
        <w:spacing w:after="0" w:before="0"/>
        <w:ind w:firstLine="709"/>
        <w:jc w:val="both"/>
      </w:pPr>
      <w:r>
        <w:rPr>
          <w:rFonts w:ascii="Times New Roman" w:hAnsi="Times New Roman" w:cs="Times New Roman"/>
          <w:rFonts w:ascii="Times New Roman" w:hAnsi="Times New Roman"/>
          <w:b w:val="0"/>
          <w:i w:val="0"/>
          <w:sz w:val="22"/>
          <w:u w:val="none"/>
        </w:rPr>
        <w:t>les établissements financiers concernés,</w:t>
      </w:r>
    </w:p>
    <w:p>
      <w:pPr>
        <w:spacing w:after="0" w:before="0"/>
        <w:ind w:firstLine="709"/>
        <w:jc w:val="both"/>
      </w:pPr>
      <w:r>
        <w:rPr>
          <w:rFonts w:ascii="Times New Roman" w:hAnsi="Times New Roman" w:cs="Times New Roman"/>
          <w:rFonts w:ascii="Times New Roman" w:hAnsi="Times New Roman"/>
          <w:b w:val="0"/>
          <w:i w:val="0"/>
          <w:sz w:val="22"/>
          <w:u w:val="none"/>
        </w:rPr>
        <w:t>les organismes de conseils spécialisés pour la gestion des activités notariales,</w:t>
      </w:r>
    </w:p>
    <w:p>
      <w:pPr>
        <w:spacing w:after="0" w:before="0"/>
        <w:ind w:firstLine="709"/>
        <w:jc w:val="both"/>
      </w:pPr>
      <w:r>
        <w:rPr>
          <w:rFonts w:ascii="Times New Roman" w:hAnsi="Times New Roman" w:cs="Times New Roman"/>
          <w:rFonts w:ascii="Times New Roman" w:hAnsi="Times New Roman"/>
          <w:b w:val="0"/>
          <w:i w:val="0"/>
          <w:sz w:val="22"/>
          <w:u w:val="none"/>
        </w:rPr>
        <w:t>le Conseil supérieur du notariat ou son délégataire, pour la production des statistiques permettant l’évaluation des biens immobiliers, en application du décret n° 2013-803 du 3 septembre 2013,</w:t>
      </w:r>
    </w:p>
    <w:p>
      <w:pPr>
        <w:spacing w:after="0" w:before="0"/>
        <w:ind w:firstLine="709"/>
        <w:jc w:val="both"/>
      </w:pPr>
      <w:r>
        <w:rPr>
          <w:rFonts w:ascii="Times New Roman" w:hAnsi="Times New Roman" w:cs="Times New Roman"/>
          <w:rFonts w:ascii="Times New Roman" w:hAnsi="Times New Roman"/>
          <w:b w:val="0"/>
          <w:i w:val="0"/>
          <w:sz w:val="22"/>
          <w:u w:val="none"/>
        </w:rPr>
        <w:t>les organismes publics ou privés pour des opérations de vérification dans le cadre de la recherche de personnalités politiquement exposées ou ayant fait l'objet de gel des avoirs ou sanctions, de la lutte contre le blanchiment des capitaux et le financement du terrorisme. Ces vérifications font l'objet d'un transfert de données dans un pays situé hors de l'Union Européenne disposant d'une législation sur la protection des données reconnue comme équivalente par la Commission européenne.</w:t>
      </w:r>
    </w:p>
    <w:p>
      <w:pPr>
        <w:spacing w:after="0" w:before="0"/>
        <w:ind w:firstLine="709"/>
        <w:jc w:val="both"/>
      </w:pPr>
      <w:r>
        <w:rPr>
          <w:rFonts w:ascii="Times New Roman" w:hAnsi="Times New Roman" w:cs="Times New Roman"/>
          <w:rFonts w:ascii="Times New Roman" w:hAnsi="Times New Roman"/>
          <w:b w:val="0"/>
          <w:i w:val="0"/>
          <w:sz w:val="22"/>
          <w:u w:val="none"/>
        </w:rPr>
        <w:t>La communication de ces données à ces destinataires peut être indispensable pour l’accomplissement des activités notariales.</w:t>
      </w:r>
    </w:p>
    <w:p>
      <w:pPr>
        <w:spacing w:after="0" w:before="0"/>
        <w:ind w:firstLine="709"/>
        <w:jc w:val="both"/>
      </w:pPr>
      <w:r>
        <w:rPr>
          <w:rFonts w:ascii="Times New Roman" w:hAnsi="Times New Roman" w:cs="Times New Roman"/>
          <w:rFonts w:ascii="Times New Roman" w:hAnsi="Times New Roman"/>
          <w:b w:val="0"/>
          <w:i w:val="0"/>
          <w:sz w:val="22"/>
          <w:u w:val="none"/>
        </w:rPr>
        <w:t>Les documents permettant d’établir, d’enregistrer et de publier les actes sont conservés 30 ans à compter de la réalisation de l’ensemble des formalités. L’acte authentique et ses annexes sont conservés 75 ans et 100 ans lorsque l’acte porte sur des personnes mineures ou majeures protégées. Les vérifications liées aux personnalités politiquement exposées, au blanchiment des capitaux et au financement du terrorisme sont conservées 5 ans après la fin de la relation d’affaires.</w:t>
      </w:r>
    </w:p>
    <w:p>
      <w:pPr>
        <w:spacing w:after="0" w:before="0"/>
        <w:ind w:firstLine="709"/>
        <w:jc w:val="both"/>
      </w:pPr>
      <w:r>
        <w:rPr>
          <w:rFonts w:ascii="Times New Roman" w:hAnsi="Times New Roman" w:cs="Times New Roman"/>
          <w:rFonts w:ascii="Times New Roman" w:hAnsi="Times New Roman"/>
          <w:b w:val="0"/>
          <w:i w:val="0"/>
          <w:sz w:val="22"/>
          <w:u w:val="none"/>
        </w:rPr>
        <w:t>Conformément à la réglementation en vigueur relative à la protection des données personnelles, les intéressés peuvent demander l’accès aux données les concernant. Le cas échéant, ils peuvent demander la rectification ou l’effacement de celles-ci, obtenir la limitation du traitement de ces données ou s'y opposer pour des raisons tenant à leur situation particulière. Ils peuvent également définir des directives relatives à la conservation, à l’effacement et à la communication de leurs données personnelles après leur décès.</w:t>
      </w:r>
    </w:p>
    <w:p>
      <w:pPr>
        <w:spacing w:after="0" w:before="0"/>
        <w:ind w:firstLine="709"/>
        <w:jc w:val="both"/>
      </w:pPr>
      <w:r>
        <w:rPr>
          <w:rFonts w:ascii="Times New Roman" w:hAnsi="Times New Roman" w:cs="Times New Roman"/>
          <w:rFonts w:ascii="Times New Roman" w:hAnsi="Times New Roman"/>
          <w:b w:val="0"/>
          <w:i w:val="0"/>
          <w:sz w:val="22"/>
          <w:u w:val="none"/>
        </w:rPr>
        <w:t xml:space="preserve">L’Office notarial a désigné un Délégué à la protection des données que les intéressés peuvent contacter à l’adresse suivante : </w:t>
      </w:r>
      <w:r>
        <w:rPr>
          <w:rFonts w:ascii="Times New Roman" w:hAnsi="Times New Roman" w:cs="Times New Roman"/>
          <w:rFonts w:ascii="Times New Roman" w:hAnsi="Times New Roman"/>
          <w:b/>
          <w:i w:val="0"/>
          <w:sz w:val="22"/>
          <w:u w:val="none"/>
        </w:rPr>
        <w:t>.</w:t>
      </w:r>
    </w:p>
    <w:p>
      <w:pPr>
        <w:spacing w:after="0" w:before="0"/>
        <w:ind w:firstLine="709"/>
        <w:jc w:val="both"/>
      </w:pPr>
      <w:r>
        <w:rPr>
          <w:rFonts w:ascii="Times New Roman" w:hAnsi="Times New Roman" w:cs="Times New Roman"/>
          <w:rFonts w:ascii="Times New Roman" w:hAnsi="Times New Roman"/>
          <w:b w:val="0"/>
          <w:i w:val="0"/>
          <w:sz w:val="22"/>
          <w:u w:val="none"/>
        </w:rPr>
        <w:t>Si ces personnes estiment, après avoir contacté l’Office notarial, que leurs droits ne sont pas respectés, elles peuvent introduire une réclamation auprès d’une autorité européenne de contrôle, la Commission Nationale de l’Informatique et des Libertés pour la France.</w:t>
      </w:r>
    </w:p>
    <w:p>
      <w:pPr>
        <w:pStyle w:val="Heading1"/>
      </w:pPr>
      <w:r>
        <w:rPr>
          <w:rFonts w:ascii="Times New Roman" w:hAnsi="Times New Roman" w:cs="Times New Roman"/>
          <w:rFonts w:ascii="Times New Roman" w:hAnsi="Times New Roman"/>
          <w:sz w:val="22"/>
        </w:rPr>
        <w:t>Certification d’identité</w:t>
      </w:r>
    </w:p>
    <w:p>
      <w:pPr>
        <w:spacing w:after="0" w:before="0"/>
        <w:ind w:firstLine="709"/>
        <w:jc w:val="both"/>
      </w:pPr>
      <w:r>
        <w:rPr>
          <w:rFonts w:ascii="Times New Roman" w:hAnsi="Times New Roman" w:cs="Times New Roman"/>
          <w:rFonts w:ascii="Times New Roman" w:hAnsi="Times New Roman"/>
          <w:b w:val="0"/>
          <w:i w:val="0"/>
          <w:sz w:val="22"/>
          <w:u w:val="none"/>
        </w:rPr>
        <w:t>Le notaire soussigné certifie que l’identité complète des parties dénommées dans le présent document telle qu'elle est indiquée en tête des présentes à la suite de leur nom ou dénomination lui a été régulièrement justifiée.</w:t>
      </w:r>
    </w:p>
    <w:p>
      <w:pPr>
        <w:pStyle w:val="Heading1"/>
      </w:pPr>
      <w:r>
        <w:rPr>
          <w:rFonts w:ascii="Times New Roman" w:hAnsi="Times New Roman" w:cs="Times New Roman"/>
          <w:rFonts w:ascii="Times New Roman" w:hAnsi="Times New Roman"/>
          <w:sz w:val="22"/>
        </w:rPr>
        <w:t>Formalisme lié aux annexes</w:t>
      </w:r>
    </w:p>
    <w:p>
      <w:pPr>
        <w:spacing w:after="0" w:before="0"/>
        <w:ind w:firstLine="709"/>
        <w:jc w:val="both"/>
      </w:pPr>
      <w:r>
        <w:rPr>
          <w:rFonts w:ascii="Times New Roman" w:hAnsi="Times New Roman" w:cs="Times New Roman"/>
          <w:rFonts w:ascii="Times New Roman" w:hAnsi="Times New Roman"/>
          <w:b w:val="0"/>
          <w:i w:val="0"/>
          <w:sz w:val="22"/>
          <w:u w:val="none"/>
        </w:rPr>
        <w:t>Les annexes, s'il en existe, font partie intégrante de la minute.</w:t>
      </w:r>
    </w:p>
    <w:p>
      <w:pPr>
        <w:spacing w:after="0" w:before="0"/>
        <w:ind w:firstLine="709"/>
        <w:jc w:val="both"/>
      </w:pPr>
      <w:r>
        <w:rPr>
          <w:rFonts w:ascii="Times New Roman" w:hAnsi="Times New Roman" w:cs="Times New Roman"/>
          <w:rFonts w:ascii="Times New Roman" w:hAnsi="Times New Roman"/>
          <w:b w:val="0"/>
          <w:i w:val="0"/>
          <w:sz w:val="22"/>
          <w:u w:val="none"/>
        </w:rPr>
        <w:t>Lorsque l'acte est établi sur support papier, les pièces annexées à l'acte sont revêtues d'une mention constatant cette annexe et signée du notaire, sauf si les feuilles de l'acte et des annexes sont réunies par un procédé empêchant toute substitution ou addition.</w:t>
      </w:r>
    </w:p>
    <w:p>
      <w:pPr>
        <w:spacing w:after="0" w:before="0"/>
        <w:ind w:firstLine="709"/>
        <w:jc w:val="both"/>
      </w:pPr>
      <w:r>
        <w:rPr>
          <w:rFonts w:ascii="Times New Roman" w:hAnsi="Times New Roman" w:cs="Times New Roman"/>
          <w:rFonts w:ascii="Times New Roman" w:hAnsi="Times New Roman"/>
          <w:b w:val="0"/>
          <w:i w:val="0"/>
          <w:sz w:val="22"/>
          <w:u w:val="none"/>
        </w:rPr>
        <w:t>Si l’acte est établi sur support électronique, la signature du notaire en fin d’acte vaut également pour ses annexes.</w:t>
      </w:r>
    </w:p>
    <w:p>
      <w:pPr>
        <w:spacing w:after="0" w:before="0"/>
        <w:ind w:firstLine="709"/>
        <w:jc w:val="both"/>
      </w:pPr>
      <w:r>
        <w:rPr>
          <w:rFonts w:ascii="Times New Roman" w:hAnsi="Times New Roman" w:cs="Times New Roman"/>
          <w:rFonts w:ascii="Times New Roman" w:hAnsi="Times New Roman"/>
          <w:b w:val="0"/>
          <w:i w:val="0"/>
          <w:sz w:val="22"/>
          <w:u w:val="none"/>
        </w:rPr>
        <w:t>DONT ACTE sans renvoi</w:t>
      </w:r>
    </w:p>
    <w:p>
      <w:pPr>
        <w:spacing w:after="0" w:before="0"/>
        <w:ind w:firstLine="709"/>
        <w:jc w:val="both"/>
      </w:pPr>
      <w:r>
        <w:rPr>
          <w:rFonts w:ascii="Times New Roman" w:hAnsi="Times New Roman" w:cs="Times New Roman"/>
          <w:rFonts w:ascii="Times New Roman" w:hAnsi="Times New Roman"/>
          <w:b w:val="0"/>
          <w:i w:val="0"/>
          <w:sz w:val="22"/>
          <w:u w:val="none"/>
        </w:rPr>
        <w:t>Généré en l’office notarial et visualisé sur support électronique aux lieu, jour, mois et an indiqués en en-tête du présent acte.</w:t>
      </w:r>
    </w:p>
    <w:p>
      <w:pPr>
        <w:spacing w:after="0" w:before="0"/>
        <w:ind w:firstLine="709"/>
        <w:jc w:val="both"/>
      </w:pPr>
      <w:r>
        <w:rPr>
          <w:rFonts w:ascii="Times New Roman" w:hAnsi="Times New Roman" w:cs="Times New Roman"/>
          <w:rFonts w:ascii="Times New Roman" w:hAnsi="Times New Roman"/>
          <w:b w:val="0"/>
          <w:i w:val="0"/>
          <w:sz w:val="22"/>
          <w:u w:val="none"/>
        </w:rPr>
        <w:t>Et lecture faite, le requérant a certifié exactes les déclarations le concernant, avant d'apposer sa signature manuscrite sur tablette numérique.</w:t>
      </w:r>
    </w:p>
    <w:p>
      <w:pPr>
        <w:spacing w:after="0" w:before="0"/>
        <w:ind w:firstLine="709"/>
        <w:jc w:val="both"/>
      </w:pPr>
      <w:r>
        <w:rPr>
          <w:rFonts w:ascii="Times New Roman" w:hAnsi="Times New Roman" w:cs="Times New Roman"/>
          <w:rFonts w:ascii="Times New Roman" w:hAnsi="Times New Roman"/>
          <w:b w:val="0"/>
          <w:i w:val="0"/>
          <w:sz w:val="22"/>
          <w:u w:val="none"/>
        </w:rPr>
        <w:t>Le notaire, qui a recueilli l'image de la signature, a lui-même apposé sa signature manuscrite, puis signé l'acte au moyen d'un procédé de signature électronique qualifié.</w:t>
      </w:r>
    </w:p>
    <w:sectPr w:rsidR="00FC693F" w:rsidRPr="0006063C" w:rsidSect="00034616">
      <w:headerReference w:type="default" r:id="rId9"/>
      <w:pgSz w:w="11906" w:h="16838"/>
      <w:pgMar w:top="1417" w:right="850" w:bottom="1417" w:left="340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sz w:val="18"/>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ind w:firstLine="709"/>
      <w:jc w:val="both"/>
    </w:pPr>
    <w:rPr>
      <w:rFonts w:ascii="Times New Roman" w:hAnsi="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ind w:firstLine="0"/>
      <w:jc w:val="center"/>
      <w:outlineLvl w:val="0"/>
    </w:pPr>
    <w:rPr>
      <w:rFonts w:asciiTheme="majorHAnsi" w:eastAsiaTheme="majorEastAsia" w:hAnsiTheme="majorHAnsi" w:cstheme="majorBidi" w:ascii="Times New Roman" w:hAnsi="Times New Roman"/>
      <w:b/>
      <w:bCs/>
      <w:caps/>
      <w:color w:val="365F91" w:themeColor="accent1" w:themeShade="BF"/>
      <w:sz w:val="22"/>
      <w:szCs w:val="28"/>
      <w:u w:val="single"/>
    </w:rPr>
  </w:style>
  <w:style w:type="paragraph" w:styleId="Heading2">
    <w:name w:val="heading 2"/>
    <w:basedOn w:val="Normal"/>
    <w:next w:val="Normal"/>
    <w:link w:val="Heading2Char"/>
    <w:uiPriority w:val="9"/>
    <w:unhideWhenUsed/>
    <w:qFormat/>
    <w:rsid w:val="00FC693F"/>
    <w:pPr>
      <w:keepNext/>
      <w:keepLines/>
      <w:spacing w:before="0" w:after="240"/>
      <w:ind w:firstLine="0"/>
      <w:jc w:val="center"/>
      <w:outlineLvl w:val="1"/>
    </w:pPr>
    <w:rPr>
      <w:rFonts w:asciiTheme="majorHAnsi" w:eastAsiaTheme="majorEastAsia" w:hAnsiTheme="majorHAnsi" w:cstheme="majorBidi" w:ascii="Times New Roman" w:hAnsi="Times New Roman"/>
      <w:b/>
      <w:bCs/>
      <w:smallCaps/>
      <w:color w:val="4F81BD" w:themeColor="accent1"/>
      <w:sz w:val="22"/>
      <w:szCs w:val="26"/>
      <w:u w:val="single"/>
    </w:rPr>
  </w:style>
  <w:style w:type="paragraph" w:styleId="Heading3">
    <w:name w:val="heading 3"/>
    <w:basedOn w:val="Normal"/>
    <w:next w:val="Normal"/>
    <w:link w:val="Heading3Char"/>
    <w:uiPriority w:val="9"/>
    <w:unhideWhenUsed/>
    <w:qFormat/>
    <w:rsid w:val="00FC693F"/>
    <w:pPr>
      <w:keepNext/>
      <w:keepLines/>
      <w:spacing w:before="0" w:after="240"/>
      <w:ind w:firstLine="0"/>
      <w:jc w:val="center"/>
      <w:outlineLvl w:val="2"/>
    </w:pPr>
    <w:rPr>
      <w:rFonts w:asciiTheme="majorHAnsi" w:eastAsiaTheme="majorEastAsia" w:hAnsiTheme="majorHAnsi" w:cstheme="majorBidi" w:ascii="Times New Roman" w:hAnsi="Times New Roman"/>
      <w:b/>
      <w:bCs/>
      <w:color w:val="4F81BD" w:themeColor="accent1"/>
      <w:sz w:val="22"/>
      <w:u w:val="single"/>
    </w:rPr>
  </w:style>
  <w:style w:type="paragraph" w:styleId="Heading4">
    <w:name w:val="heading 4"/>
    <w:basedOn w:val="Normal"/>
    <w:next w:val="Normal"/>
    <w:link w:val="Heading4Char"/>
    <w:uiPriority w:val="9"/>
    <w:semiHidden/>
    <w:unhideWhenUsed/>
    <w:qFormat/>
    <w:rsid w:val="00FC693F"/>
    <w:pPr>
      <w:keepNext/>
      <w:keepLines/>
      <w:spacing w:before="120" w:after="0"/>
      <w:ind w:firstLine="0"/>
      <w:jc w:val="both"/>
      <w:outlineLvl w:val="3"/>
    </w:pPr>
    <w:rPr>
      <w:rFonts w:asciiTheme="majorHAnsi" w:eastAsiaTheme="majorEastAsia" w:hAnsiTheme="majorHAnsi" w:cstheme="majorBidi" w:ascii="Times New Roman" w:hAnsi="Times New Roman"/>
      <w:b/>
      <w:bCs/>
      <w:i w:val="0"/>
      <w:iCs/>
      <w:color w:val="4F81BD" w:themeColor="accent1"/>
      <w:sz w:val="22"/>
      <w:u w:val="none"/>
    </w:rPr>
  </w:style>
  <w:style w:type="paragraph" w:styleId="Heading5">
    <w:name w:val="heading 5"/>
    <w:basedOn w:val="Normal"/>
    <w:next w:val="Normal"/>
    <w:link w:val="Heading5Char"/>
    <w:uiPriority w:val="9"/>
    <w:semiHidden/>
    <w:unhideWhenUsed/>
    <w:qFormat/>
    <w:rsid w:val="00FC693F"/>
    <w:pPr>
      <w:keepNext/>
      <w:keepLines/>
      <w:spacing w:before="200" w:after="0"/>
      <w:ind w:firstLine="0"/>
      <w:jc w:val="both"/>
      <w:outlineLvl w:val="4"/>
    </w:pPr>
    <w:rPr>
      <w:rFonts w:asciiTheme="majorHAnsi" w:eastAsiaTheme="majorEastAsia" w:hAnsiTheme="majorHAnsi" w:cstheme="majorBidi" w:ascii="Times New Roman" w:hAnsi="Times New Roman"/>
      <w:b/>
      <w:color w:val="243F60" w:themeColor="accent1" w:themeShade="7F"/>
      <w:sz w:val="22"/>
      <w:u w:val="singl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24"/>
      <w:szCs w:val="52"/>
      <w:u w:val="singl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firstLine="709"/>
      <w:jc w:val="both"/>
    </w:pPr>
    <w:rPr>
      <w:rFonts w:ascii="Times New Roman" w:hAnsi="Times New Roman"/>
      <w:i/>
      <w:iCs/>
      <w:color w:val="000000" w:themeColor="text1"/>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