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ind w:firstLine="0"/>
        <w:jc w:val="left"/>
      </w:pPr>
      <w:r>
        <w:rPr>
          <w:rFonts w:ascii="Times New Roman" w:hAnsi="Times New Roman" w:cs="Times New Roman"/>
          <w:rFonts w:ascii="Times New Roman" w:hAnsi="Times New Roman"/>
          <w:b w:val="0"/>
          <w:i w:val="0"/>
          <w:sz w:val="22"/>
          <w:u w:val="none"/>
        </w:rPr>
        <w:t>&lt;&lt;&gt;&gt;100546103&lt;&lt;&gt;&gt;</w:t>
      </w:r>
      <w:r>
        <w:br/>
      </w:r>
      <w:r>
        <w:rPr>
          <w:rFonts w:ascii="Times New Roman" w:hAnsi="Times New Roman" w:cs="Times New Roman"/>
          <w:rFonts w:ascii="Times New Roman" w:hAnsi="Times New Roman"/>
          <w:b w:val="0"/>
          <w:i w:val="0"/>
          <w:sz w:val="22"/>
          <w:u w:val="none"/>
        </w:rPr>
        <w:t>&lt;&lt;&gt;&gt;CDI/ALG/&lt;&lt;&gt;&gt;</w:t>
        <w:br/>
      </w:r>
    </w:p>
    <w:p>
      <w:pPr>
        <w:spacing w:after="120" w:before="120"/>
        <w:ind w:firstLine="0"/>
        <w:jc w:val="center"/>
      </w:pPr>
      <w:r>
        <w:rPr>
          <w:rFonts w:ascii="Times New Roman" w:hAnsi="Times New Roman" w:cs="Times New Roman"/>
          <w:rFonts w:ascii="Times New Roman" w:hAnsi="Times New Roman"/>
          <w:b/>
          <w:i w:val="0"/>
          <w:sz w:val="22"/>
          <w:u w:val="none"/>
        </w:rPr>
        <w:t>&lt;&lt;&gt;&gt;Le vingt novembre deux mille vingt-cinq&lt;&lt;&gt;&gt;</w:t>
      </w:r>
      <w:r>
        <w:br/>
      </w:r>
      <w:r>
        <w:rPr>
          <w:rFonts w:ascii="Times New Roman" w:hAnsi="Times New Roman" w:cs="Times New Roman"/>
          <w:rFonts w:ascii="Times New Roman" w:hAnsi="Times New Roman"/>
          <w:b/>
          <w:i w:val="0"/>
          <w:sz w:val="22"/>
          <w:u w:val="none"/>
        </w:rPr>
        <w:t>VENTE</w:t>
      </w:r>
      <w:r>
        <w:br/>
      </w:r>
      <w:r>
        <w:rPr>
          <w:rFonts w:ascii="Times New Roman" w:hAnsi="Times New Roman" w:cs="Times New Roman"/>
          <w:rFonts w:ascii="Times New Roman" w:hAnsi="Times New Roman"/>
          <w:b/>
          <w:i w:val="0"/>
          <w:sz w:val="22"/>
          <w:u w:val="none"/>
        </w:rPr>
        <w:t>Par &lt;&lt;&gt;&gt;Madame&lt;&lt;&gt;&gt; &lt;&lt;&gt;&gt;DURAND&lt;&lt;&gt;&gt; et &lt;&lt;&gt;&gt;Monsieur&lt;&lt;&gt;&gt; &lt;&lt;&gt;&gt;DURAND&lt;&lt;&gt;&gt;</w:t>
      </w:r>
      <w:r>
        <w:br/>
      </w:r>
      <w:r>
        <w:rPr>
          <w:rFonts w:ascii="Times New Roman" w:hAnsi="Times New Roman" w:cs="Times New Roman"/>
          <w:rFonts w:ascii="Times New Roman" w:hAnsi="Times New Roman"/>
          <w:b/>
          <w:i w:val="0"/>
          <w:sz w:val="22"/>
          <w:u w:val="none"/>
        </w:rPr>
        <w:t>Au profit de &lt;&lt;&gt;&gt;Monsieur&lt;&lt;&gt;&gt; &lt;&lt;&gt;&gt;MARTIN&lt;&lt;&gt;&gt; et &lt;&lt;&gt;&gt;Madame&lt;&lt;&gt;&gt; &lt;&lt;&gt;&gt;BERNARD&lt;&lt;&gt;&gt;</w:t>
      </w:r>
      <w:r>
        <w:br/>
      </w:r>
      <w:r>
        <w:rPr>
          <w:rFonts w:ascii="Times New Roman" w:hAnsi="Times New Roman" w:cs="Times New Roman"/>
          <w:rFonts w:ascii="Times New Roman" w:hAnsi="Times New Roman"/>
          <w:b/>
          <w:i w:val="0"/>
          <w:sz w:val="22"/>
          <w:u w:val="none"/>
        </w:rPr>
        <w:t>***************************************************************</w:t>
      </w:r>
    </w:p>
    <w:p>
      <w:pPr>
        <w:spacing w:after="60"/>
        <w:ind w:firstLine="0"/>
        <w:jc w:val="both"/>
      </w:pPr>
      <w:r>
        <w:rPr>
          <w:rFonts w:ascii="Times New Roman" w:hAnsi="Times New Roman" w:cs="Times New Roman"/>
          <w:rFonts w:ascii="Times New Roman" w:hAnsi="Times New Roman"/>
          <w:b/>
          <w:i w:val="0"/>
          <w:sz w:val="22"/>
          <w:u w:val="none"/>
        </w:rPr>
        <w:t>L'AN &lt;&lt;&gt;&gt;DEUX MILLE VINGT-CINQ&lt;&lt;&gt;&gt;,</w:t>
      </w:r>
      <w:r>
        <w:br/>
      </w:r>
      <w:r>
        <w:rPr>
          <w:rFonts w:ascii="Times New Roman" w:hAnsi="Times New Roman" w:cs="Times New Roman"/>
          <w:rFonts w:ascii="Times New Roman" w:hAnsi="Times New Roman"/>
          <w:b/>
          <w:i w:val="0"/>
          <w:sz w:val="22"/>
          <w:u w:val="none"/>
        </w:rPr>
        <w:t>LE &lt;&lt;&gt;&gt;VINGT NOVEMBRE&lt;&lt;&gt;&gt;</w:t>
      </w:r>
      <w:r>
        <w:br/>
      </w:r>
      <w:r>
        <w:rPr>
          <w:rFonts w:ascii="Times New Roman" w:hAnsi="Times New Roman" w:cs="Times New Roman"/>
          <w:rFonts w:ascii="Times New Roman" w:hAnsi="Times New Roman"/>
          <w:b/>
          <w:i w:val="0"/>
          <w:sz w:val="22"/>
          <w:u w:val="none"/>
        </w:rPr>
        <w:t>A &lt;&lt;&gt;&gt;TASSIN-LA-DEMI-LUNE&lt;&lt;&gt;&gt; (&lt;&lt;&gt;&gt;Rhône&lt;&lt;&gt;&gt;), &lt;&lt;&gt;&gt;93 avenue du 11 Novembre 1918&lt;&lt;&gt;&gt;, au siège de l'Office Notarial, ci-après nommé,</w:t>
      </w:r>
      <w:r>
        <w:br/>
      </w:r>
      <w:r>
        <w:rPr>
          <w:rFonts w:ascii="Times New Roman" w:hAnsi="Times New Roman" w:cs="Times New Roman"/>
          <w:rFonts w:ascii="Times New Roman" w:hAnsi="Times New Roman"/>
          <w:b/>
          <w:i w:val="0"/>
          <w:sz w:val="22"/>
          <w:u w:val="none"/>
        </w:rPr>
        <w:t>&lt;&lt;&gt;&gt;Maître&lt;&lt;&gt;&gt; &lt;&lt;&gt;&gt;Charlotte&lt;&lt;&gt;&gt; &lt;&lt;&gt;&gt;DIAZ&lt;&lt;&gt;&gt;, Notaire de la société par actions simplifiée dénommée « &lt;&lt;&gt;&gt;des CEDRES&lt;&lt;&gt;&gt; » dont le siège social est situé à &lt;&lt;&gt;&gt;TASSIN-LA-DEMI-LUNE&lt;&lt;&gt;&gt; (&lt;&lt;&gt;&gt;Rhône&lt;&lt;&gt;&gt;), &lt;&lt;&gt;&gt;93 avenue du 11 Novembre 1918&lt;&lt;&gt;&gt;,</w:t>
      </w:r>
      <w:r>
        <w:rPr>
          <w:rFonts w:ascii="Times New Roman" w:hAnsi="Times New Roman" w:cs="Times New Roman"/>
          <w:rFonts w:ascii="Times New Roman" w:hAnsi="Times New Roman"/>
          <w:b/>
          <w:i w:val="0"/>
          <w:sz w:val="22"/>
          <w:u w:val="none"/>
        </w:rPr>
        <w:t>identifié sous le numéro CRPCEN &lt;&lt;&gt;&gt;69182&lt;&lt;&gt;&gt;,</w:t>
      </w:r>
    </w:p>
    <w:p>
      <w:pPr>
        <w:spacing w:after="60"/>
        <w:ind w:firstLine="0"/>
        <w:jc w:val="both"/>
      </w:pPr>
      <w:r>
        <w:rPr>
          <w:rFonts w:ascii="Times New Roman" w:hAnsi="Times New Roman" w:cs="Times New Roman"/>
          <w:rFonts w:ascii="Times New Roman" w:hAnsi="Times New Roman"/>
          <w:b/>
          <w:i w:val="0"/>
          <w:sz w:val="22"/>
          <w:u w:val="none"/>
        </w:rPr>
        <w:t>Avec la participation de &lt;&lt;&gt;&gt;Maître&lt;&lt;&gt;&gt; &lt;&lt;&gt;&gt;Pierre&lt;&lt;&gt;&gt; &lt;&lt;&gt;&gt;MARTIN&lt;&lt;&gt;&gt;, notaire à &lt;&lt;&gt;&gt;LYON&lt;&lt;&gt;&gt;, assistant l'ACQUEREUR,</w:t>
      </w:r>
    </w:p>
    <w:p>
      <w:pPr>
        <w:spacing w:after="60"/>
        <w:ind w:firstLine="0"/>
        <w:jc w:val="both"/>
      </w:pPr>
      <w:r>
        <w:rPr>
          <w:rFonts w:ascii="Times New Roman" w:hAnsi="Times New Roman" w:cs="Times New Roman"/>
          <w:rFonts w:ascii="Times New Roman" w:hAnsi="Times New Roman"/>
          <w:b/>
          <w:i w:val="0"/>
          <w:sz w:val="22"/>
          <w:u w:val="none"/>
        </w:rPr>
        <w:t>A REÇU LA PRESENTE VENTE à la requête des parties ci-après identifiées.</w:t>
      </w:r>
    </w:p>
    <w:p>
      <w:pPr>
        <w:spacing w:after="0" w:before="0"/>
        <w:ind w:firstLine="709"/>
        <w:jc w:val="both"/>
      </w:pPr>
      <w:r>
        <w:rPr>
          <w:rFonts w:ascii="Times New Roman" w:hAnsi="Times New Roman" w:cs="Times New Roman"/>
          <w:rFonts w:ascii="Times New Roman" w:hAnsi="Times New Roman"/>
          <w:b w:val="0"/>
          <w:i w:val="0"/>
          <w:sz w:val="22"/>
          <w:u w:val="none"/>
        </w:rPr>
        <w:t>Cet acte comprend deux parties pour répondre aux exigences de la publicité foncière, néanmoins l'ensemble de l'acte et de ses annexes forme un contrat indissociable et unique.</w:t>
      </w:r>
    </w:p>
    <w:p>
      <w:pPr>
        <w:spacing w:after="0" w:before="0"/>
        <w:ind w:firstLine="709"/>
        <w:jc w:val="both"/>
      </w:pPr>
      <w:r>
        <w:rPr>
          <w:rFonts w:ascii="Times New Roman" w:hAnsi="Times New Roman" w:cs="Times New Roman"/>
          <w:rFonts w:ascii="Times New Roman" w:hAnsi="Times New Roman"/>
          <w:b/>
          <w:i w:val="0"/>
          <w:sz w:val="22"/>
          <w:u w:val="none"/>
        </w:rPr>
        <w:t>La première partie dite "partie normalisée"</w:t>
      </w:r>
      <w:r>
        <w:rPr>
          <w:rFonts w:ascii="Times New Roman" w:hAnsi="Times New Roman" w:cs="Times New Roman"/>
          <w:rFonts w:ascii="Times New Roman" w:hAnsi="Times New Roman"/>
          <w:b w:val="0"/>
          <w:i w:val="0"/>
          <w:sz w:val="22"/>
          <w:u w:val="none"/>
        </w:rPr>
        <w:t xml:space="preserve"> constitue le document hypothécaire normalisé et contient toutes les énonciations nécessaires tant à la publication au fichier immobilier qu'à la détermination de l'assiette et au contrôle du calcul de tous impôts, droits et taxes.</w:t>
      </w:r>
    </w:p>
    <w:p>
      <w:pPr>
        <w:spacing w:after="0" w:before="0"/>
        <w:ind w:firstLine="709"/>
        <w:jc w:val="both"/>
      </w:pPr>
      <w:r>
        <w:rPr>
          <w:rFonts w:ascii="Times New Roman" w:hAnsi="Times New Roman" w:cs="Times New Roman"/>
          <w:rFonts w:ascii="Times New Roman" w:hAnsi="Times New Roman"/>
          <w:b/>
          <w:i w:val="0"/>
          <w:sz w:val="22"/>
          <w:u w:val="none"/>
        </w:rPr>
        <w:t>La seconde partie dite "partie développée"</w:t>
      </w:r>
      <w:r>
        <w:rPr>
          <w:rFonts w:ascii="Times New Roman" w:hAnsi="Times New Roman" w:cs="Times New Roman"/>
          <w:rFonts w:ascii="Times New Roman" w:hAnsi="Times New Roman"/>
          <w:b w:val="0"/>
          <w:i w:val="0"/>
          <w:sz w:val="22"/>
          <w:u w:val="none"/>
        </w:rPr>
        <w:t xml:space="preserve"> comporte des informations, dispositions et conventions sans incidence sur le fichier immobilier.</w:t>
      </w:r>
    </w:p>
    <w:p>
      <w:pPr>
        <w:pStyle w:val="Heading2"/>
      </w:pPr>
      <w:r>
        <w:rPr>
          <w:rFonts w:ascii="Times New Roman" w:hAnsi="Times New Roman" w:cs="Times New Roman"/>
          <w:rFonts w:ascii="Times New Roman" w:hAnsi="Times New Roman"/>
          <w:sz w:val="22"/>
        </w:rPr>
        <w:t>PARTIE NORMALISEE</w:t>
      </w:r>
    </w:p>
    <w:p>
      <w:pPr>
        <w:pStyle w:val="Heading3"/>
      </w:pPr>
      <w:r>
        <w:rPr>
          <w:rFonts w:ascii="Times New Roman" w:hAnsi="Times New Roman" w:cs="Times New Roman"/>
          <w:rFonts w:ascii="Times New Roman" w:hAnsi="Times New Roman"/>
          <w:sz w:val="22"/>
        </w:rPr>
        <w:t>IDENTIFICATION DES PARTIES</w:t>
      </w:r>
    </w:p>
    <w:p>
      <w:pPr>
        <w:spacing w:after="0" w:before="0"/>
        <w:ind w:firstLine="709"/>
        <w:jc w:val="both"/>
      </w:pPr>
      <w:r>
        <w:rPr>
          <w:rFonts w:ascii="Times New Roman" w:hAnsi="Times New Roman" w:cs="Times New Roman"/>
          <w:rFonts w:ascii="Times New Roman" w:hAnsi="Times New Roman"/>
          <w:b w:val="0"/>
          <w:i w:val="0"/>
          <w:sz w:val="22"/>
          <w:u w:val="none"/>
        </w:rPr>
        <w:t>#### VENDEUR</w:t>
      </w:r>
    </w:p>
    <w:p>
      <w:pPr>
        <w:spacing w:after="60"/>
        <w:ind w:firstLine="0"/>
        <w:jc w:val="both"/>
      </w:pPr>
      <w:r>
        <w:rPr>
          <w:rFonts w:ascii="Times New Roman" w:hAnsi="Times New Roman" w:cs="Times New Roman"/>
          <w:rFonts w:ascii="Times New Roman" w:hAnsi="Times New Roman"/>
          <w:b w:val="0"/>
          <w:i w:val="0"/>
          <w:sz w:val="22"/>
          <w:u w:val="none"/>
        </w:rPr>
        <w:t>&lt;&lt;&gt;&gt;Madame&lt;&lt;&gt;&gt; &lt;&lt;&gt;&gt;Marie Jeanne&lt;&lt;&gt;&gt; &lt;&lt;&gt;&gt;DURAND&lt;&lt;&gt;&gt;, &lt;&lt;&gt;&gt;Retraitée&lt;&lt;&gt;&gt;, demeurant à &lt;&lt;&gt;&gt;170 rue Joliot Curie&lt;&lt;&gt;&gt; &lt;&lt;&gt;&gt;69160&lt;&lt;&gt;&gt; &lt;&lt;&gt;&gt;TASSIN-LA-DEMI-LUNE&lt;&lt;&gt;&gt;</w:t>
      </w:r>
      <w:r>
        <w:br/>
      </w:r>
      <w:r>
        <w:rPr>
          <w:rFonts w:ascii="Times New Roman" w:hAnsi="Times New Roman" w:cs="Times New Roman"/>
          <w:rFonts w:ascii="Times New Roman" w:hAnsi="Times New Roman"/>
          <w:b w:val="0"/>
          <w:i w:val="0"/>
          <w:sz w:val="22"/>
          <w:u w:val="none"/>
        </w:rPr>
        <w:t>&lt;&lt;&gt;&gt;Née&lt;&lt;&gt;&gt; à &lt;&lt;&gt;&gt;LYON 3ème&lt;&lt;&gt;&gt; le &lt;&lt;&gt;&gt;15 mars 1965&lt;&lt;&gt;&gt;.</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&lt;&lt;&gt;&gt;liée&lt;&lt;&gt;&gt; par un pacte civil de solidarité.</w:t>
      </w:r>
      <w:r>
        <w:br/>
      </w:r>
      <w:r>
        <w:rPr>
          <w:rFonts w:ascii="Times New Roman" w:hAnsi="Times New Roman" w:cs="Times New Roman"/>
          <w:rFonts w:ascii="Times New Roman" w:hAnsi="Times New Roman"/>
          <w:b w:val="0"/>
          <w:i w:val="0"/>
          <w:sz w:val="22"/>
          <w:u w:val="none"/>
        </w:rPr>
        <w:br/>
        <w:t>De nationalité &lt;&lt;&gt;&gt;française&lt;&lt;&gt;&gt;.</w:t>
      </w:r>
      <w:r>
        <w:br/>
      </w:r>
      <w:r>
        <w:rPr>
          <w:rFonts w:ascii="Times New Roman" w:hAnsi="Times New Roman" w:cs="Times New Roman"/>
          <w:rFonts w:ascii="Times New Roman" w:hAnsi="Times New Roman"/>
          <w:b w:val="0"/>
          <w:i w:val="0"/>
          <w:sz w:val="22"/>
          <w:u w:val="none"/>
        </w:rPr>
        <w:t>&lt;&lt;&gt;&gt;Résidente&lt;&lt;&gt;&gt; au sens de la réglementation fiscale.</w:t>
        <w:br/>
      </w:r>
    </w:p>
    <w:p>
      <w:pPr>
        <w:spacing w:after="60"/>
        <w:ind w:firstLine="0"/>
        <w:jc w:val="both"/>
      </w:pPr>
      <w:r>
        <w:rPr>
          <w:rFonts w:ascii="Times New Roman" w:hAnsi="Times New Roman" w:cs="Times New Roman"/>
          <w:rFonts w:ascii="Times New Roman" w:hAnsi="Times New Roman"/>
          <w:b w:val="0"/>
          <w:i w:val="0"/>
          <w:sz w:val="22"/>
          <w:u w:val="none"/>
        </w:rPr>
        <w:t>&lt;&lt;&gt;&gt;Monsieur&lt;&lt;&gt;&gt; &lt;&lt;&gt;&gt;Pierre Jean&lt;&lt;&gt;&gt; &lt;&lt;&gt;&gt;DURAND&lt;&lt;&gt;&gt;, &lt;&lt;&gt;&gt;Cadre&lt;&lt;&gt;&gt;, demeurant à &lt;&lt;&gt;&gt;170 rue Joliot Curie&lt;&lt;&gt;&gt; &lt;&lt;&gt;&gt;69160&lt;&lt;&gt;&gt; &lt;&lt;&gt;&gt;TASSIN-LA-DEMI-LUNE&lt;&lt;&gt;&gt;</w:t>
      </w:r>
      <w:r>
        <w:br/>
      </w:r>
      <w:r>
        <w:rPr>
          <w:rFonts w:ascii="Times New Roman" w:hAnsi="Times New Roman" w:cs="Times New Roman"/>
          <w:rFonts w:ascii="Times New Roman" w:hAnsi="Times New Roman"/>
          <w:b w:val="0"/>
          <w:i w:val="0"/>
          <w:sz w:val="22"/>
          <w:u w:val="none"/>
        </w:rPr>
        <w:t>&lt;&lt;&gt;&gt;Né&lt;&lt;&gt;&gt; à &lt;&lt;&gt;&gt;VILLEURBANNE&lt;&lt;&gt;&gt; le &lt;&lt;&gt;&gt;22 juillet 1963&lt;&lt;&gt;&gt;.</w:t>
      </w:r>
      <w:r>
        <w:br/>
      </w:r>
      <w:r>
        <w:rPr>
          <w:rFonts w:ascii="Times New Roman" w:hAnsi="Times New Roman" w:cs="Times New Roman"/>
          <w:rFonts w:ascii="Times New Roman" w:hAnsi="Times New Roman"/>
          <w:b w:val="0"/>
          <w:i w:val="0"/>
          <w:sz w:val="22"/>
          <w:u w:val="none"/>
        </w:rPr>
        <w:br/>
        <w:t>Célibataire.</w:t>
      </w:r>
      <w:r>
        <w:br/>
      </w:r>
      <w:r>
        <w:rPr>
          <w:rFonts w:ascii="Times New Roman" w:hAnsi="Times New Roman" w:cs="Times New Roman"/>
          <w:rFonts w:ascii="Times New Roman" w:hAnsi="Times New Roman"/>
          <w:b w:val="0"/>
          <w:i w:val="0"/>
          <w:sz w:val="22"/>
          <w:u w:val="none"/>
        </w:rPr>
        <w:br/>
        <w:t>Non &lt;&lt;&gt;&gt;lié&lt;&lt;&gt;&gt; par un pacte civil de solidarité.</w:t>
      </w:r>
      <w:r>
        <w:br/>
      </w:r>
      <w:r>
        <w:rPr>
          <w:rFonts w:ascii="Times New Roman" w:hAnsi="Times New Roman" w:cs="Times New Roman"/>
          <w:rFonts w:ascii="Times New Roman" w:hAnsi="Times New Roman"/>
          <w:b w:val="0"/>
          <w:i w:val="0"/>
          <w:sz w:val="22"/>
          <w:u w:val="none"/>
        </w:rPr>
        <w:br/>
        <w:t>De nationalité &lt;&lt;&gt;&gt;française&lt;&lt;&gt;&gt;.</w:t>
      </w:r>
      <w:r>
        <w:br/>
      </w:r>
      <w:r>
        <w:rPr>
          <w:rFonts w:ascii="Times New Roman" w:hAnsi="Times New Roman" w:cs="Times New Roman"/>
          <w:rFonts w:ascii="Times New Roman" w:hAnsi="Times New Roman"/>
          <w:b w:val="0"/>
          <w:i w:val="0"/>
          <w:sz w:val="22"/>
          <w:u w:val="none"/>
        </w:rPr>
        <w:t>&lt;&lt;&gt;&gt;Résident&lt;&lt;&gt;&gt; au sens de la réglementation fiscale.</w:t>
        <w:br/>
      </w:r>
    </w:p>
    <w:p>
      <w:pPr>
        <w:spacing w:after="0" w:before="0"/>
        <w:ind w:firstLine="709"/>
        <w:jc w:val="both"/>
      </w:pPr>
      <w:r>
        <w:rPr>
          <w:rFonts w:ascii="Times New Roman" w:hAnsi="Times New Roman" w:cs="Times New Roman"/>
          <w:rFonts w:ascii="Times New Roman" w:hAnsi="Times New Roman"/>
          <w:b w:val="0"/>
          <w:i w:val="0"/>
          <w:sz w:val="22"/>
          <w:u w:val="none"/>
        </w:rPr>
        <w:t>#### ACQUEREUR</w:t>
      </w:r>
    </w:p>
    <w:p>
      <w:pPr>
        <w:spacing w:after="60"/>
        <w:ind w:firstLine="0"/>
        <w:jc w:val="both"/>
      </w:pPr>
      <w:r>
        <w:rPr>
          <w:rFonts w:ascii="Times New Roman" w:hAnsi="Times New Roman" w:cs="Times New Roman"/>
          <w:rFonts w:ascii="Times New Roman" w:hAnsi="Times New Roman"/>
          <w:b w:val="0"/>
          <w:i w:val="0"/>
          <w:sz w:val="22"/>
          <w:u w:val="none"/>
        </w:rPr>
        <w:t>&lt;&lt;&gt;&gt;Monsieur&lt;&lt;&gt;&gt; &lt;&lt;&gt;&gt;Jean Philippe&lt;&lt;&gt;&gt; &lt;&lt;&gt;&gt;MARTIN&lt;&lt;&gt;&gt;, &lt;&lt;&gt;&gt;Ingénieur&lt;&lt;&gt;&gt;, demeurant à &lt;&lt;&gt;&gt;25 rue de la République&lt;&lt;&gt;&gt; &lt;&lt;&gt;&gt;69002&lt;&lt;&gt;&gt; &lt;&lt;&gt;&gt;LYON&lt;&lt;&gt;&gt;</w:t>
      </w:r>
      <w:r>
        <w:br/>
      </w:r>
      <w:r>
        <w:rPr>
          <w:rFonts w:ascii="Times New Roman" w:hAnsi="Times New Roman" w:cs="Times New Roman"/>
          <w:rFonts w:ascii="Times New Roman" w:hAnsi="Times New Roman"/>
          <w:b w:val="0"/>
          <w:i w:val="0"/>
          <w:sz w:val="22"/>
          <w:u w:val="none"/>
        </w:rPr>
        <w:t>&lt;&lt;&gt;&gt;Né&lt;&lt;&gt;&gt; à &lt;&lt;&gt;&gt;SAINT-ETIENNE&lt;&lt;&gt;&gt; le &lt;&lt;&gt;&gt;10 mai 1990&lt;&lt;&gt;&gt;.</w:t>
      </w:r>
      <w:r>
        <w:br/>
      </w:r>
      <w:r>
        <w:rPr>
          <w:rFonts w:ascii="Times New Roman" w:hAnsi="Times New Roman" w:cs="Times New Roman"/>
          <w:rFonts w:ascii="Times New Roman" w:hAnsi="Times New Roman"/>
          <w:b w:val="0"/>
          <w:i w:val="0"/>
          <w:sz w:val="22"/>
          <w:u w:val="none"/>
        </w:rPr>
        <w:t>&lt;&lt;&gt;&gt;Lié&lt;&lt;&gt;&gt; par un pacte civil de solidarité avec &lt;&lt;&gt;&gt;Madame&lt;&lt;&gt;&gt; &lt;&lt;&gt;&gt;Sophie Anne&lt;&lt;&gt;&gt; &lt;&lt;&gt;&gt;BERNARD&lt;&lt;&gt;&gt; sous le régime de &lt;&lt;&gt;&gt;la séparation de biens&lt;&lt;&gt;&gt;, enregistré &lt;&lt;&gt;&gt;Mairie de LYON 2ème&lt;&lt;&gt;&gt; le &lt;&lt;&gt;&gt;15 juin 2020&lt;&lt;&gt;&gt;.</w:t>
      </w:r>
      <w:r>
        <w:br/>
      </w:r>
      <w:r>
        <w:rPr>
          <w:rFonts w:ascii="Times New Roman" w:hAnsi="Times New Roman" w:cs="Times New Roman"/>
          <w:rFonts w:ascii="Times New Roman" w:hAnsi="Times New Roman"/>
          <w:b w:val="0"/>
          <w:i w:val="0"/>
          <w:sz w:val="22"/>
          <w:u w:val="none"/>
        </w:rPr>
        <w:br/>
        <w:t>Contrat non modifié depuis lors.</w:t>
      </w:r>
      <w:r>
        <w:br/>
      </w:r>
      <w:r>
        <w:rPr>
          <w:rFonts w:ascii="Times New Roman" w:hAnsi="Times New Roman" w:cs="Times New Roman"/>
          <w:rFonts w:ascii="Times New Roman" w:hAnsi="Times New Roman"/>
          <w:b w:val="0"/>
          <w:i w:val="0"/>
          <w:sz w:val="22"/>
          <w:u w:val="none"/>
        </w:rPr>
        <w:br/>
        <w:t>De nationalité &lt;&lt;&gt;&gt;française&lt;&lt;&gt;&gt;.</w:t>
      </w:r>
      <w:r>
        <w:br/>
      </w:r>
      <w:r>
        <w:rPr>
          <w:rFonts w:ascii="Times New Roman" w:hAnsi="Times New Roman" w:cs="Times New Roman"/>
          <w:rFonts w:ascii="Times New Roman" w:hAnsi="Times New Roman"/>
          <w:b w:val="0"/>
          <w:i w:val="0"/>
          <w:sz w:val="22"/>
          <w:u w:val="none"/>
        </w:rPr>
        <w:t>&lt;&lt;&gt;&gt;Résident&lt;&lt;&gt;&gt; au sens de la réglementation fiscale.</w:t>
        <w:br/>
      </w:r>
    </w:p>
    <w:p>
      <w:pPr>
        <w:spacing w:after="60"/>
        <w:ind w:firstLine="0"/>
        <w:jc w:val="both"/>
      </w:pPr>
      <w:r>
        <w:rPr>
          <w:rFonts w:ascii="Times New Roman" w:hAnsi="Times New Roman" w:cs="Times New Roman"/>
          <w:rFonts w:ascii="Times New Roman" w:hAnsi="Times New Roman"/>
          <w:b w:val="0"/>
          <w:i w:val="0"/>
          <w:sz w:val="22"/>
          <w:u w:val="none"/>
        </w:rPr>
        <w:t>&lt;&lt;&gt;&gt;Madame&lt;&lt;&gt;&gt; &lt;&lt;&gt;&gt;Sophie Anne&lt;&lt;&gt;&gt; &lt;&lt;&gt;&gt;BERNARD&lt;&lt;&gt;&gt;, &lt;&lt;&gt;&gt;Médecin&lt;&lt;&gt;&gt;, demeurant à &lt;&lt;&gt;&gt;25 rue de la République&lt;&lt;&gt;&gt; &lt;&lt;&gt;&gt;69002&lt;&lt;&gt;&gt; &lt;&lt;&gt;&gt;LYON&lt;&lt;&gt;&gt;</w:t>
      </w:r>
      <w:r>
        <w:br/>
      </w:r>
      <w:r>
        <w:rPr>
          <w:rFonts w:ascii="Times New Roman" w:hAnsi="Times New Roman" w:cs="Times New Roman"/>
          <w:rFonts w:ascii="Times New Roman" w:hAnsi="Times New Roman"/>
          <w:b w:val="0"/>
          <w:i w:val="0"/>
          <w:sz w:val="22"/>
          <w:u w:val="none"/>
        </w:rPr>
        <w:t>&lt;&lt;&gt;&gt;Née&lt;&lt;&gt;&gt; à &lt;&lt;&gt;&gt;LYON 6ème&lt;&lt;&gt;&gt; le &lt;&lt;&gt;&gt;3 septembre 1992&lt;&lt;&gt;&gt;.</w:t>
      </w:r>
      <w:r>
        <w:br/>
      </w:r>
      <w:r>
        <w:rPr>
          <w:rFonts w:ascii="Times New Roman" w:hAnsi="Times New Roman" w:cs="Times New Roman"/>
          <w:rFonts w:ascii="Times New Roman" w:hAnsi="Times New Roman"/>
          <w:b w:val="0"/>
          <w:i w:val="0"/>
          <w:sz w:val="22"/>
          <w:u w:val="none"/>
        </w:rPr>
        <w:t>&lt;&lt;&gt;&gt;Liée&lt;&lt;&gt;&gt; par un pacte civil de solidarité avec &lt;&lt;&gt;&gt;Monsieur&lt;&lt;&gt;&gt; &lt;&lt;&gt;&gt;Jean Philippe&lt;&lt;&gt;&gt; &lt;&lt;&gt;&gt;MARTIN&lt;&lt;&gt;&gt; sous le régime de &lt;&lt;&gt;&gt;la séparation de biens&lt;&lt;&gt;&gt;, enregistré &lt;&lt;&gt;&gt;Mairie de LYON 2ème&lt;&lt;&gt;&gt; le &lt;&lt;&gt;&gt;15 juin 2020&lt;&lt;&gt;&gt;.</w:t>
      </w:r>
      <w:r>
        <w:br/>
      </w:r>
      <w:r>
        <w:rPr>
          <w:rFonts w:ascii="Times New Roman" w:hAnsi="Times New Roman" w:cs="Times New Roman"/>
          <w:rFonts w:ascii="Times New Roman" w:hAnsi="Times New Roman"/>
          <w:b w:val="0"/>
          <w:i w:val="0"/>
          <w:sz w:val="22"/>
          <w:u w:val="none"/>
        </w:rPr>
        <w:br/>
        <w:t>Contrat non modifié depuis lors.</w:t>
      </w:r>
      <w:r>
        <w:br/>
      </w:r>
      <w:r>
        <w:rPr>
          <w:rFonts w:ascii="Times New Roman" w:hAnsi="Times New Roman" w:cs="Times New Roman"/>
          <w:rFonts w:ascii="Times New Roman" w:hAnsi="Times New Roman"/>
          <w:b w:val="0"/>
          <w:i w:val="0"/>
          <w:sz w:val="22"/>
          <w:u w:val="none"/>
        </w:rPr>
        <w:br/>
        <w:t>De nationalité &lt;&lt;&gt;&gt;française&lt;&lt;&gt;&gt;.</w:t>
      </w:r>
      <w:r>
        <w:br/>
      </w:r>
      <w:r>
        <w:rPr>
          <w:rFonts w:ascii="Times New Roman" w:hAnsi="Times New Roman" w:cs="Times New Roman"/>
          <w:rFonts w:ascii="Times New Roman" w:hAnsi="Times New Roman"/>
          <w:b w:val="0"/>
          <w:i w:val="0"/>
          <w:sz w:val="22"/>
          <w:u w:val="none"/>
        </w:rPr>
        <w:t>&lt;&lt;&gt;&gt;Résidente&lt;&lt;&gt;&gt; au sens de la réglementation fiscale.</w:t>
        <w:br/>
      </w:r>
    </w:p>
    <w:p>
      <w:pPr>
        <w:spacing w:after="0" w:before="0"/>
        <w:ind w:firstLine="709"/>
        <w:jc w:val="both"/>
      </w:pPr>
      <w:r>
        <w:rPr>
          <w:rFonts w:ascii="Times New Roman" w:hAnsi="Times New Roman" w:cs="Times New Roman"/>
          <w:rFonts w:ascii="Times New Roman" w:hAnsi="Times New Roman"/>
          <w:b w:val="0"/>
          <w:i w:val="0"/>
          <w:sz w:val="22"/>
          <w:u w:val="none"/>
        </w:rPr>
        <w:t>#### QUOTITÉS VENDUES</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Marie Jeanne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la pleine propriété indivise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Pierre 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la pleine propriété indivise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QUOTITÉS ACQUISES</w:t>
      </w:r>
    </w:p>
    <w:p>
      <w:pPr>
        <w:spacing w:after="0" w:before="0"/>
        <w:ind w:firstLine="709"/>
        <w:jc w:val="both"/>
      </w:pP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Jean Philippe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acquiert </w:t>
      </w:r>
      <w:r>
        <w:rPr>
          <w:rFonts w:ascii="Times New Roman" w:hAnsi="Times New Roman" w:cs="Times New Roman"/>
          <w:rFonts w:ascii="Times New Roman" w:hAnsi="Times New Roman"/>
          <w:b w:val="0"/>
          <w:i w:val="0"/>
          <w:sz w:val="22"/>
          <w:u w:val="none"/>
        </w:rPr>
        <w:t>la pleine propriété indivise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BERNARD</w:t>
      </w:r>
      <w:r>
        <w:rPr>
          <w:rFonts w:ascii="Times New Roman" w:hAnsi="Times New Roman" w:cs="Times New Roman"/>
          <w:rFonts w:ascii="Times New Roman" w:hAnsi="Times New Roman"/>
          <w:b w:val="0"/>
          <w:i w:val="0"/>
          <w:sz w:val="22"/>
          <w:u w:val="none"/>
        </w:rPr>
        <w:t xml:space="preserve"> acquiert </w:t>
      </w:r>
      <w:r>
        <w:rPr>
          <w:rFonts w:ascii="Times New Roman" w:hAnsi="Times New Roman" w:cs="Times New Roman"/>
          <w:rFonts w:ascii="Times New Roman" w:hAnsi="Times New Roman"/>
          <w:b w:val="0"/>
          <w:i w:val="0"/>
          <w:sz w:val="22"/>
          <w:u w:val="none"/>
        </w:rPr>
        <w:t>la pleine propriété indivise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Marie Jeanne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est </w:t>
      </w:r>
      <w:r>
        <w:rPr>
          <w:rFonts w:ascii="Times New Roman" w:hAnsi="Times New Roman" w:cs="Times New Roman"/>
          <w:rFonts w:ascii="Times New Roman" w:hAnsi="Times New Roman"/>
          <w:b w:val="0"/>
          <w:i w:val="0"/>
          <w:sz w:val="22"/>
          <w:u w:val="none"/>
        </w:rPr>
        <w:t>présente</w:t>
      </w:r>
      <w:r>
        <w:rPr>
          <w:rFonts w:ascii="Times New Roman" w:hAnsi="Times New Roman" w:cs="Times New Roman"/>
          <w:rFonts w:ascii="Times New Roman" w:hAnsi="Times New Roman"/>
          <w:b w:val="0"/>
          <w:i w:val="0"/>
          <w:sz w:val="22"/>
          <w:u w:val="none"/>
        </w:rPr>
        <w:t xml:space="preserv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Pierre 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est </w:t>
      </w:r>
      <w:r>
        <w:rPr>
          <w:rFonts w:ascii="Times New Roman" w:hAnsi="Times New Roman" w:cs="Times New Roman"/>
          <w:rFonts w:ascii="Times New Roman" w:hAnsi="Times New Roman"/>
          <w:b w:val="0"/>
          <w:i w:val="0"/>
          <w:sz w:val="22"/>
          <w:u w:val="none"/>
        </w:rPr>
        <w:t>présent</w:t>
      </w:r>
      <w:r>
        <w:rPr>
          <w:rFonts w:ascii="Times New Roman" w:hAnsi="Times New Roman" w:cs="Times New Roman"/>
          <w:rFonts w:ascii="Times New Roman" w:hAnsi="Times New Roman"/>
          <w:b w:val="0"/>
          <w:i w:val="0"/>
          <w:sz w:val="22"/>
          <w:u w:val="none"/>
        </w:rPr>
        <w:t xml:space="preserv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Jean Philippe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est </w:t>
      </w:r>
      <w:r>
        <w:rPr>
          <w:rFonts w:ascii="Times New Roman" w:hAnsi="Times New Roman" w:cs="Times New Roman"/>
          <w:rFonts w:ascii="Times New Roman" w:hAnsi="Times New Roman"/>
          <w:b w:val="0"/>
          <w:i w:val="0"/>
          <w:sz w:val="22"/>
          <w:u w:val="none"/>
        </w:rPr>
        <w:t>présent</w:t>
      </w:r>
      <w:r>
        <w:rPr>
          <w:rFonts w:ascii="Times New Roman" w:hAnsi="Times New Roman" w:cs="Times New Roman"/>
          <w:rFonts w:ascii="Times New Roman" w:hAnsi="Times New Roman"/>
          <w:b w:val="0"/>
          <w:i w:val="0"/>
          <w:sz w:val="22"/>
          <w:u w:val="none"/>
        </w:rPr>
        <w:t xml:space="preserv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BERNARD</w:t>
      </w:r>
      <w:r>
        <w:rPr>
          <w:rFonts w:ascii="Times New Roman" w:hAnsi="Times New Roman" w:cs="Times New Roman"/>
          <w:rFonts w:ascii="Times New Roman" w:hAnsi="Times New Roman"/>
          <w:b w:val="0"/>
          <w:i w:val="0"/>
          <w:sz w:val="22"/>
          <w:u w:val="none"/>
        </w:rPr>
        <w:t xml:space="preserve"> est </w:t>
      </w:r>
      <w:r>
        <w:rPr>
          <w:rFonts w:ascii="Times New Roman" w:hAnsi="Times New Roman" w:cs="Times New Roman"/>
          <w:rFonts w:ascii="Times New Roman" w:hAnsi="Times New Roman"/>
          <w:b w:val="0"/>
          <w:i w:val="0"/>
          <w:sz w:val="22"/>
          <w:u w:val="none"/>
        </w:rPr>
        <w:t>présente</w:t>
      </w:r>
      <w:r>
        <w:rPr>
          <w:rFonts w:ascii="Times New Roman" w:hAnsi="Times New Roman" w:cs="Times New Roman"/>
          <w:rFonts w:ascii="Times New Roman" w:hAnsi="Times New Roman"/>
          <w:b w:val="0"/>
          <w:i w:val="0"/>
          <w:sz w:val="22"/>
          <w:u w:val="none"/>
        </w:rPr>
        <w:t xml:space="preserve"> à l'acte.</w:t>
      </w:r>
    </w:p>
    <w:p>
      <w:pPr>
        <w:spacing w:after="0" w:before="0"/>
        <w:ind w:firstLine="709"/>
        <w:jc w:val="both"/>
      </w:pPr>
      <w:r>
        <w:rPr>
          <w:rFonts w:ascii="Times New Roman" w:hAnsi="Times New Roman" w:cs="Times New Roman"/>
          <w:rFonts w:ascii="Times New Roman" w:hAnsi="Times New Roman"/>
          <w:b w:val="0"/>
          <w:i w:val="0"/>
          <w:sz w:val="22"/>
          <w:u w:val="none"/>
        </w:rPr>
        <w:t>#### 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l'acquéreur spécialement qu'il n'est, ni à titre personnel, ni en tant qu'associé ou mandataire social, soumis à l'interdiction d'acquérir prévue par l'article 225-26 du Code pénal.</w:t>
      </w:r>
    </w:p>
    <w:p>
      <w:pPr>
        <w:spacing w:after="0" w:before="0"/>
        <w:ind w:firstLine="709"/>
        <w:jc w:val="both"/>
      </w:pPr>
      <w:r>
        <w:rPr>
          <w:rFonts w:ascii="Times New Roman" w:hAnsi="Times New Roman" w:cs="Times New Roman"/>
          <w:rFonts w:ascii="Times New Roman" w:hAnsi="Times New Roman"/>
          <w:b w:val="0"/>
          <w:i w:val="0"/>
          <w:sz w:val="22"/>
          <w:u w:val="none"/>
        </w:rPr>
        <w:t>#### 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pStyle w:val="Heading2"/>
      </w:pPr>
      <w:r>
        <w:rPr>
          <w:rFonts w:ascii="Times New Roman" w:hAnsi="Times New Roman" w:cs="Times New Roman"/>
          <w:rFonts w:ascii="Times New Roman" w:hAnsi="Times New Roman"/>
          <w:sz w:val="22"/>
        </w:rPr>
        <w:t>Concernant &lt;&lt;&lt;VAR_START&gt;&gt;&gt;Madame&lt;&lt;&lt;VAR_END&gt;&gt;&gt; &lt;&lt;&lt;VAR_START&gt;&gt;&gt;Marie Jeanne&lt;&lt;&lt;VAR_END&gt;&gt;&gt; &lt;&lt;&lt;VAR_START&gt;&gt;&gt;DURAND&lt;&lt;&lt;VAR_END&gt;&gt;&gt;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sz w:val="22"/>
        </w:rPr>
        <w:t>Concernant &lt;&lt;&lt;VAR_START&gt;&gt;&gt;Monsieur&lt;&lt;&lt;VAR_END&gt;&gt;&gt; &lt;&lt;&lt;VAR_START&gt;&gt;&gt;Pierre Jean&lt;&lt;&lt;VAR_END&gt;&gt;&gt; &lt;&lt;&lt;VAR_START&gt;&gt;&gt;DURAND&lt;&lt;&lt;VAR_END&gt;&gt;&gt;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sz w:val="22"/>
        </w:rPr>
        <w:t>Concernant &lt;&lt;&lt;VAR_START&gt;&gt;&gt;Monsieur&lt;&lt;&lt;VAR_END&gt;&gt;&gt; &lt;&lt;&lt;VAR_START&gt;&gt;&gt;Jean Philippe&lt;&lt;&lt;VAR_END&gt;&gt;&gt; &lt;&lt;&lt;VAR_START&gt;&gt;&gt;MARTIN&lt;&lt;&lt;VAR_END&gt;&gt;&gt;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sz w:val="22"/>
        </w:rPr>
        <w:t>Concernant &lt;&lt;&lt;VAR_START&gt;&gt;&gt;Madame&lt;&lt;&lt;VAR_END&gt;&gt;&gt; &lt;&lt;&lt;VAR_START&gt;&gt;&gt;Sophie Anne&lt;&lt;&lt;VAR_END&gt;&gt;&gt; &lt;&lt;&lt;VAR_START&gt;&gt;&gt;BERNARD&lt;&lt;&lt;VAR_END&gt;&gt;&gt;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spacing w:after="0" w:before="0"/>
        <w:ind w:firstLine="709"/>
        <w:jc w:val="both"/>
      </w:pPr>
      <w:r>
        <w:rPr>
          <w:rFonts w:ascii="Times New Roman" w:hAnsi="Times New Roman" w:cs="Times New Roman"/>
          <w:rFonts w:ascii="Times New Roman" w:hAnsi="Times New Roman"/>
          <w:b w:val="0"/>
          <w:i w:val="0"/>
          <w:sz w:val="22"/>
          <w:u w:val="none"/>
        </w:rPr>
        <w:t>#### TERMINOLOGIE</w:t>
      </w:r>
    </w:p>
    <w:p>
      <w:pPr>
        <w:spacing w:after="0" w:before="0"/>
        <w:ind w:firstLine="709"/>
        <w:jc w:val="both"/>
      </w:pPr>
      <w:r>
        <w:rPr>
          <w:rFonts w:ascii="Times New Roman" w:hAnsi="Times New Roman" w:cs="Times New Roman"/>
          <w:rFonts w:ascii="Times New Roman" w:hAnsi="Times New Roman"/>
          <w:b w:val="0"/>
          <w:i w:val="0"/>
          <w:sz w:val="22"/>
          <w:u w:val="none"/>
        </w:rPr>
        <w:t>Le vocable employé au présent acte est le suivant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désigne le ou les vendeurs, présents ou représentés. En cas de pluralité, les vendeurs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désigne le ou les acquéreurs, présents ou représentés. En cas de pluralité, les acquéreurs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LES PARTIES</w:t>
      </w:r>
      <w:r>
        <w:rPr>
          <w:rFonts w:ascii="Times New Roman" w:hAnsi="Times New Roman" w:cs="Times New Roman"/>
          <w:rFonts w:ascii="Times New Roman" w:hAnsi="Times New Roman"/>
          <w:b w:val="0"/>
          <w:i w:val="0"/>
          <w:sz w:val="22"/>
          <w:u w:val="none"/>
        </w:rPr>
        <w:t xml:space="preserve">" désignent ensemble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 l'immeuble dont dépendent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LOTS</w:t>
      </w:r>
      <w:r>
        <w:rPr>
          <w:rFonts w:ascii="Times New Roman" w:hAnsi="Times New Roman" w:cs="Times New Roman"/>
          <w:rFonts w:ascii="Times New Roman" w:hAnsi="Times New Roman"/>
          <w:b w:val="0"/>
          <w:i w:val="0"/>
          <w:sz w:val="22"/>
          <w:u w:val="none"/>
        </w:rPr>
        <w:t>" désigneront indifféremment le ou les lots de copropriété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 mobiliers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mobilier</w:t>
      </w:r>
      <w:r>
        <w:rPr>
          <w:rFonts w:ascii="Times New Roman" w:hAnsi="Times New Roman" w:cs="Times New Roman"/>
          <w:rFonts w:ascii="Times New Roman" w:hAnsi="Times New Roman"/>
          <w:b w:val="0"/>
          <w:i w:val="0"/>
          <w:sz w:val="22"/>
          <w:u w:val="none"/>
        </w:rPr>
        <w:t>", désigneront indifféremment, s'il en existe, les meubles et objets mobiliers se trouvant dans le ou les lots de copropriété et vendus avec ceux-ci.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"annexe" désigne tout document annexé. Les annexes forment un tout indissociable avec l'acte. Il est précisé que les pièces mentionnées comme étant annexées sont des copies numérisées.</w:t>
      </w:r>
    </w:p>
    <w:p>
      <w:pPr>
        <w:pStyle w:val="Heading1"/>
      </w:pPr>
      <w:r>
        <w:rPr>
          <w:rFonts w:ascii="Times New Roman" w:hAnsi="Times New Roman" w:cs="Times New Roman"/>
          <w:rFonts w:ascii="Times New Roman" w:hAnsi="Times New Roman"/>
          <w:sz w:val="22"/>
        </w:rPr>
        <w:t>CECI EXPOSE, il est passé à la vente objet des présentes.</w:t>
      </w:r>
    </w:p>
    <w:p>
      <w:pPr>
        <w:spacing w:after="0" w:before="0"/>
        <w:ind w:firstLine="709"/>
        <w:jc w:val="both"/>
      </w:pPr>
      <w:r>
        <w:rPr>
          <w:rFonts w:ascii="Times New Roman" w:hAnsi="Times New Roman" w:cs="Times New Roman"/>
          <w:rFonts w:ascii="Times New Roman" w:hAnsi="Times New Roman"/>
          <w:b w:val="0"/>
          <w:i w:val="0"/>
          <w:sz w:val="22"/>
          <w:u w:val="none"/>
        </w:rPr>
        <w:t>#### NATURE ET QUOTITÉ DES DROITS IMMOBILIERS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pour sa totalité en pleine propriété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la désignation suit.</w:t>
      </w:r>
    </w:p>
    <w:p>
      <w:pPr>
        <w:pStyle w:val="Heading3"/>
      </w:pPr>
      <w:r>
        <w:rPr>
          <w:rFonts w:ascii="Times New Roman" w:hAnsi="Times New Roman" w:cs="Times New Roman"/>
          <w:rFonts w:ascii="Times New Roman" w:hAnsi="Times New Roman"/>
          <w:sz w:val="22"/>
        </w:rPr>
        <w:t>IDENTIFICATION DU BIEN</w:t>
      </w:r>
    </w:p>
    <w:p>
      <w:pPr>
        <w:pStyle w:val="Heading1"/>
      </w:pPr>
      <w:r>
        <w:rPr>
          <w:rFonts w:ascii="Times New Roman" w:hAnsi="Times New Roman" w:cs="Times New Roman"/>
          <w:rFonts w:ascii="Times New Roman" w:hAnsi="Times New Roman"/>
          <w:sz w:val="22"/>
        </w:rPr>
        <w:t>Désignation</w:t>
      </w:r>
    </w:p>
    <w:p>
      <w:pPr>
        <w:spacing w:after="0" w:before="0"/>
        <w:ind w:firstLine="709"/>
        <w:jc w:val="both"/>
      </w:pPr>
      <w:r>
        <w:rPr>
          <w:rFonts w:ascii="Times New Roman" w:hAnsi="Times New Roman" w:cs="Times New Roman"/>
          <w:rFonts w:ascii="Times New Roman" w:hAnsi="Times New Roman"/>
          <w:b/>
          <w:i w:val="0"/>
          <w:sz w:val="22"/>
          <w:u w:val="none"/>
        </w:rPr>
        <w:t xml:space="preserve">Dans un ensemble immobilier situé à </w:t>
      </w:r>
      <w:r>
        <w:rPr>
          <w:rFonts w:ascii="Times New Roman" w:hAnsi="Times New Roman" w:cs="Times New Roman"/>
          <w:rFonts w:ascii="Times New Roman" w:hAnsi="Times New Roman"/>
          <w:b/>
          <w:i w:val="0"/>
          <w:sz w:val="22"/>
          <w:u w:val="none"/>
        </w:rPr>
        <w:t>TASSIN-LA-DEMI-LUNE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RHÔNE</w:t>
      </w:r>
      <w:r>
        <w:rPr>
          <w:rFonts w:ascii="Times New Roman" w:hAnsi="Times New Roman" w:cs="Times New Roman"/>
          <w:rFonts w:ascii="Times New Roman" w:hAnsi="Times New Roman"/>
          <w:b/>
          <w:i w:val="0"/>
          <w:sz w:val="22"/>
          <w:u w:val="none"/>
        </w:rPr>
        <w:t>) (</w:t>
      </w:r>
      <w:r>
        <w:rPr>
          <w:rFonts w:ascii="Times New Roman" w:hAnsi="Times New Roman" w:cs="Times New Roman"/>
          <w:rFonts w:ascii="Times New Roman" w:hAnsi="Times New Roman"/>
          <w:b/>
          <w:i w:val="0"/>
          <w:sz w:val="22"/>
          <w:u w:val="none"/>
        </w:rPr>
        <w:t>69160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170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Rue Joliot Curie</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Section</w:t>
            </w:r>
          </w:p>
        </w:tc>
        <w:tc>
          <w:tcPr>
            <w:tcW w:type="dxa" w:w="1913"/>
          </w:tcPr>
          <w:p>
            <w:pPr>
              <w:spacing w:after="0" w:before="0"/>
              <w:jc w:val="left"/>
            </w:pPr>
            <w:r>
              <w:rPr>
                <w:rFonts w:ascii="Times New Roman" w:hAnsi="Times New Roman" w:cs="Times New Roman"/>
                <w:rFonts w:ascii="Times New Roman" w:hAnsi="Times New Roman"/>
                <w:b/>
                <w:i w:val="0"/>
                <w:sz w:val="22"/>
                <w:u w:val="none"/>
              </w:rPr>
              <w:t>N°</w:t>
            </w:r>
          </w:p>
        </w:tc>
        <w:tc>
          <w:tcPr>
            <w:tcW w:type="dxa" w:w="1913"/>
          </w:tcPr>
          <w:p>
            <w:pPr>
              <w:spacing w:after="0" w:before="0"/>
              <w:jc w:val="left"/>
            </w:pPr>
            <w:r>
              <w:rPr>
                <w:rFonts w:ascii="Times New Roman" w:hAnsi="Times New Roman" w:cs="Times New Roman"/>
                <w:rFonts w:ascii="Times New Roman" w:hAnsi="Times New Roman"/>
                <w:b/>
                <w:i w:val="0"/>
                <w:sz w:val="22"/>
                <w:u w:val="none"/>
              </w:rPr>
              <w:t>Lieudit</w:t>
            </w:r>
          </w:p>
        </w:tc>
        <w:tc>
          <w:tcPr>
            <w:tcW w:type="dxa" w:w="1913"/>
          </w:tcPr>
          <w:p>
            <w:pPr>
              <w:spacing w:after="0" w:before="0"/>
              <w:jc w:val="left"/>
            </w:pPr>
            <w:r>
              <w:rPr>
                <w:rFonts w:ascii="Times New Roman" w:hAnsi="Times New Roman" w:cs="Times New Roman"/>
                <w:rFonts w:ascii="Times New Roman" w:hAnsi="Times New Roman"/>
                <w:b/>
                <w:i w:val="0"/>
                <w:sz w:val="22"/>
                <w:u w:val="none"/>
              </w:rPr>
              <w:t>Surface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AH</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211</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170 RUE JOLIOT CURIE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spacing w:after="0" w:before="0"/>
        <w:ind w:firstLine="709"/>
        <w:jc w:val="both"/>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quatorze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14</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w:t>
      </w:r>
      <w:r>
        <w:rPr>
          <w:rFonts w:ascii="Times New Roman" w:hAnsi="Times New Roman" w:cs="Times New Roman"/>
          <w:rFonts w:ascii="Times New Roman" w:hAnsi="Times New Roman"/>
          <w:b w:val="0"/>
          <w:i w:val="0"/>
          <w:sz w:val="22"/>
          <w:u w:val="none"/>
        </w:rPr>
        <w:t>T3</w:t>
      </w:r>
      <w:r>
        <w:rPr>
          <w:rFonts w:ascii="Times New Roman" w:hAnsi="Times New Roman" w:cs="Times New Roman"/>
          <w:rFonts w:ascii="Times New Roman" w:hAnsi="Times New Roman"/>
          <w:b w:val="0"/>
          <w:i w:val="0"/>
          <w:sz w:val="22"/>
          <w:u w:val="none"/>
        </w:rPr>
        <w:t xml:space="preserve">", situé au </w:t>
      </w:r>
      <w:r>
        <w:rPr>
          <w:rFonts w:ascii="Times New Roman" w:hAnsi="Times New Roman" w:cs="Times New Roman"/>
          <w:rFonts w:ascii="Times New Roman" w:hAnsi="Times New Roman"/>
          <w:b w:val="0"/>
          <w:i w:val="0"/>
          <w:sz w:val="22"/>
          <w:u w:val="none"/>
        </w:rPr>
        <w:t>troisième étage</w:t>
      </w:r>
      <w:r>
        <w:rPr>
          <w:rFonts w:ascii="Times New Roman" w:hAnsi="Times New Roman" w:cs="Times New Roman"/>
          <w:rFonts w:ascii="Times New Roman" w:hAnsi="Times New Roman"/>
          <w:b w:val="0"/>
          <w:i w:val="0"/>
          <w:sz w:val="22"/>
          <w:u w:val="none"/>
        </w:rPr>
        <w:t xml:space="preserve">, escalier </w:t>
      </w:r>
      <w:r>
        <w:rPr>
          <w:rFonts w:ascii="Times New Roman" w:hAnsi="Times New Roman" w:cs="Times New Roman"/>
          <w:rFonts w:ascii="Times New Roman" w:hAnsi="Times New Roman"/>
          <w:b w:val="0"/>
          <w:i w:val="0"/>
          <w:sz w:val="22"/>
          <w:u w:val="none"/>
        </w:rPr>
        <w:t>A</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côté Nord</w:t>
      </w:r>
      <w:r>
        <w:rPr>
          <w:rFonts w:ascii="Times New Roman" w:hAnsi="Times New Roman" w:cs="Times New Roman"/>
          <w:rFonts w:ascii="Times New Roman" w:hAnsi="Times New Roman"/>
          <w:b w:val="0"/>
          <w:i w:val="0"/>
          <w:sz w:val="22"/>
          <w:u w:val="none"/>
        </w:rPr>
        <w:t xml:space="preserve">, comprenant: </w:t>
      </w:r>
      <w:r>
        <w:rPr>
          <w:rFonts w:ascii="Times New Roman" w:hAnsi="Times New Roman" w:cs="Times New Roman"/>
          <w:rFonts w:ascii="Times New Roman" w:hAnsi="Times New Roman"/>
          <w:b w:val="0"/>
          <w:i w:val="0"/>
          <w:sz w:val="22"/>
          <w:u w:val="none"/>
        </w:rPr>
        <w:t>une salle de séjour avec coin repas, deux chambres avec petits balcons, cuisine avec loggia, séchoir, WC, salle de bains, hall, dégagement, placard et penderie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quarante-quatre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44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èmes</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vingt-neuf</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29</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une cave, située au </w:t>
      </w:r>
      <w:r>
        <w:rPr>
          <w:rFonts w:ascii="Times New Roman" w:hAnsi="Times New Roman" w:cs="Times New Roman"/>
          <w:rFonts w:ascii="Times New Roman" w:hAnsi="Times New Roman"/>
          <w:b w:val="0"/>
          <w:i w:val="0"/>
          <w:sz w:val="22"/>
          <w:u w:val="none"/>
        </w:rPr>
        <w:t>sous-sol</w:t>
      </w:r>
      <w:r>
        <w:rPr>
          <w:rFonts w:ascii="Times New Roman" w:hAnsi="Times New Roman" w:cs="Times New Roman"/>
          <w:rFonts w:ascii="Times New Roman" w:hAnsi="Times New Roman"/>
          <w:b w:val="0"/>
          <w:i w:val="0"/>
          <w:sz w:val="22"/>
          <w:u w:val="none"/>
        </w:rPr>
        <w:t xml:space="preserve">, escalier </w:t>
      </w:r>
      <w:r>
        <w:rPr>
          <w:rFonts w:ascii="Times New Roman" w:hAnsi="Times New Roman" w:cs="Times New Roman"/>
          <w:rFonts w:ascii="Times New Roman" w:hAnsi="Times New Roman"/>
          <w:b w:val="0"/>
          <w:i w:val="0"/>
          <w:sz w:val="22"/>
          <w:u w:val="none"/>
        </w:rPr>
        <w:t>A</w:t>
      </w:r>
      <w:r>
        <w:rPr>
          <w:rFonts w:ascii="Times New Roman" w:hAnsi="Times New Roman" w:cs="Times New Roman"/>
          <w:rFonts w:ascii="Times New Roman" w:hAnsi="Times New Roman"/>
          <w:b w:val="0"/>
          <w:i w:val="0"/>
          <w:sz w:val="22"/>
          <w:u w:val="none"/>
        </w:rPr>
        <w:t xml:space="preserve">, portant le numéro </w:t>
      </w:r>
      <w:r>
        <w:rPr>
          <w:rFonts w:ascii="Times New Roman" w:hAnsi="Times New Roman" w:cs="Times New Roman"/>
          <w:rFonts w:ascii="Times New Roman" w:hAnsi="Times New Roman"/>
          <w:b w:val="0"/>
          <w:i w:val="0"/>
          <w:sz w:val="22"/>
          <w:u w:val="none"/>
        </w:rPr>
        <w:t>9</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un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ème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Lot numéro </w:t>
      </w:r>
      <w:r>
        <w:rPr>
          <w:rFonts w:ascii="Times New Roman" w:hAnsi="Times New Roman" w:cs="Times New Roman"/>
          <w:rFonts w:ascii="Times New Roman" w:hAnsi="Times New Roman"/>
          <w:b/>
          <w:i w:val="0"/>
          <w:sz w:val="22"/>
          <w:u w:val="none"/>
        </w:rPr>
        <w:t>quarante-huit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48</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Un emplacement de parking privé portant le numéro </w:t>
      </w:r>
      <w:r>
        <w:rPr>
          <w:rFonts w:ascii="Times New Roman" w:hAnsi="Times New Roman" w:cs="Times New Roman"/>
          <w:rFonts w:ascii="Times New Roman" w:hAnsi="Times New Roman"/>
          <w:b w:val="0"/>
          <w:i w:val="0"/>
          <w:sz w:val="22"/>
          <w:u w:val="none"/>
        </w:rPr>
        <w:t>8</w:t>
      </w:r>
      <w:r>
        <w:rPr>
          <w:rFonts w:ascii="Times New Roman" w:hAnsi="Times New Roman" w:cs="Times New Roman"/>
          <w:rFonts w:ascii="Times New Roman" w:hAnsi="Times New Roman"/>
          <w:b w:val="0"/>
          <w:i w:val="0"/>
          <w:sz w:val="22"/>
          <w:u w:val="none"/>
        </w:rPr>
        <w:t xml:space="preserve"> au plan de masse.</w:t>
      </w:r>
    </w:p>
    <w:p>
      <w:pPr>
        <w:spacing w:after="0" w:before="0"/>
        <w:ind w:firstLine="709"/>
        <w:jc w:val="both"/>
      </w:pPr>
      <w:r>
        <w:rPr>
          <w:rFonts w:ascii="Times New Roman" w:hAnsi="Times New Roman" w:cs="Times New Roman"/>
          <w:rFonts w:ascii="Times New Roman" w:hAnsi="Times New Roman"/>
          <w:b w:val="0"/>
          <w:i w:val="0"/>
          <w:sz w:val="22"/>
          <w:u w:val="none"/>
        </w:rPr>
        <w:t xml:space="preserve">Et les </w:t>
      </w:r>
      <w:r>
        <w:rPr>
          <w:rFonts w:ascii="Times New Roman" w:hAnsi="Times New Roman" w:cs="Times New Roman"/>
          <w:rFonts w:ascii="Times New Roman" w:hAnsi="Times New Roman"/>
          <w:b w:val="0"/>
          <w:i w:val="0"/>
          <w:sz w:val="22"/>
          <w:u w:val="none"/>
        </w:rPr>
        <w:t>un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ème</w:t>
      </w:r>
      <w:r>
        <w:rPr>
          <w:rFonts w:ascii="Times New Roman" w:hAnsi="Times New Roman" w:cs="Times New Roman"/>
          <w:rFonts w:ascii="Times New Roman" w:hAnsi="Times New Roman"/>
          <w:b w:val="0"/>
          <w:i w:val="0"/>
          <w:sz w:val="22"/>
          <w:u w:val="none"/>
        </w:rPr>
        <w:t xml:space="preserve">) des </w:t>
      </w:r>
      <w:r>
        <w:rPr>
          <w:rFonts w:ascii="Times New Roman" w:hAnsi="Times New Roman" w:cs="Times New Roman"/>
          <w:rFonts w:ascii="Times New Roman" w:hAnsi="Times New Roman"/>
          <w:b w:val="0"/>
          <w:i w:val="0"/>
          <w:sz w:val="22"/>
          <w:u w:val="none"/>
        </w:rPr>
        <w:t>parties communes générales</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Une copie du plan de l'étage courant faisant apparaître le lot </w:t>
      </w:r>
      <w:r>
        <w:rPr>
          <w:rFonts w:ascii="Times New Roman" w:hAnsi="Times New Roman" w:cs="Times New Roman"/>
          <w:rFonts w:ascii="Times New Roman" w:hAnsi="Times New Roman"/>
          <w:b w:val="0"/>
          <w:i w:val="0"/>
          <w:sz w:val="22"/>
          <w:u w:val="none"/>
        </w:rPr>
        <w:t>appartement</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QUATORZE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14</w:t>
      </w:r>
      <w:r>
        <w:rPr>
          <w:rFonts w:ascii="Times New Roman" w:hAnsi="Times New Roman" w:cs="Times New Roman"/>
          <w:rFonts w:ascii="Times New Roman" w:hAnsi="Times New Roman"/>
          <w:b w:val="0"/>
          <w:i w:val="0"/>
          <w:sz w:val="22"/>
          <w:u w:val="none"/>
        </w:rPr>
        <w:t xml:space="preserve">)- Une copie du plan des sous-sols faisant apparaître le lot </w:t>
      </w:r>
      <w:r>
        <w:rPr>
          <w:rFonts w:ascii="Times New Roman" w:hAnsi="Times New Roman" w:cs="Times New Roman"/>
          <w:rFonts w:ascii="Times New Roman" w:hAnsi="Times New Roman"/>
          <w:b w:val="0"/>
          <w:i w:val="0"/>
          <w:sz w:val="22"/>
          <w:u w:val="none"/>
        </w:rPr>
        <w:t>cave</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VINGT-NEUF</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29</w:t>
      </w:r>
      <w:r>
        <w:rPr>
          <w:rFonts w:ascii="Times New Roman" w:hAnsi="Times New Roman" w:cs="Times New Roman"/>
          <w:rFonts w:ascii="Times New Roman" w:hAnsi="Times New Roman"/>
          <w:b w:val="0"/>
          <w:i w:val="0"/>
          <w:sz w:val="22"/>
          <w:u w:val="none"/>
        </w:rPr>
        <w:t xml:space="preserve">)- Une copie du plan de masse faisant apparaître le lot </w:t>
      </w:r>
      <w:r>
        <w:rPr>
          <w:rFonts w:ascii="Times New Roman" w:hAnsi="Times New Roman" w:cs="Times New Roman"/>
          <w:rFonts w:ascii="Times New Roman" w:hAnsi="Times New Roman"/>
          <w:b w:val="0"/>
          <w:i w:val="0"/>
          <w:sz w:val="22"/>
          <w:u w:val="none"/>
        </w:rPr>
        <w:t>parking</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QUARANTE-HUIT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48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spacing w:after="0" w:before="0"/>
        <w:ind w:firstLine="709"/>
        <w:jc w:val="both"/>
      </w:pPr>
      <w:r>
        <w:rPr>
          <w:rFonts w:ascii="Times New Roman" w:hAnsi="Times New Roman" w:cs="Times New Roman"/>
          <w:rFonts w:ascii="Times New Roman" w:hAnsi="Times New Roman"/>
          <w:b w:val="0"/>
          <w:i w:val="0"/>
          <w:sz w:val="22"/>
          <w:u w:val="none"/>
        </w:rPr>
        <w:t>#### 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le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visité les lieux préalablement à la signature de l'avant contrat et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 l'avant contrat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w:t>
      </w:r>
      <w:r>
        <w:rPr>
          <w:rFonts w:ascii="Times New Roman" w:hAnsi="Times New Roman" w:cs="Times New Roman"/>
          <w:rFonts w:ascii="Times New Roman" w:hAnsi="Times New Roman"/>
          <w:b/>
          <w:i w:val="0"/>
          <w:sz w:val="22"/>
          <w:u w:val="none"/>
        </w:rPr>
        <w:t xml:space="preserve"> M²</w:t>
      </w:r>
      <w:r>
        <w:rPr>
          <w:rFonts w:ascii="Times New Roman" w:hAnsi="Times New Roman" w:cs="Times New Roman"/>
          <w:rFonts w:ascii="Times New Roman" w:hAnsi="Times New Roman"/>
          <w:b w:val="0"/>
          <w:i w:val="0"/>
          <w:sz w:val="22"/>
          <w:u w:val="none"/>
        </w:rPr>
        <w:t xml:space="preserve"> pour le lot numéro </w:t>
      </w:r>
      <w:r>
        <w:rPr>
          <w:rFonts w:ascii="Times New Roman" w:hAnsi="Times New Roman" w:cs="Times New Roman"/>
          <w:rFonts w:ascii="Times New Roman" w:hAnsi="Times New Roman"/>
          <w:b w:val="0"/>
          <w:i w:val="0"/>
          <w:sz w:val="22"/>
          <w:u w:val="none"/>
        </w:rPr>
        <w:t>QUATORZE (14)</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tout ainsi qu'il est développé ci-après.</w:t>
      </w:r>
    </w:p>
    <w:p>
      <w:pPr>
        <w:spacing w:after="0" w:before="0"/>
        <w:ind w:firstLine="709"/>
        <w:jc w:val="both"/>
      </w:pPr>
      <w:r>
        <w:rPr>
          <w:rFonts w:ascii="Times New Roman" w:hAnsi="Times New Roman" w:cs="Times New Roman"/>
          <w:rFonts w:ascii="Times New Roman" w:hAnsi="Times New Roman"/>
          <w:b w:val="0"/>
          <w:i w:val="0"/>
          <w:sz w:val="22"/>
          <w:u w:val="none"/>
        </w:rPr>
        <w:t>#### 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sus désigné a fait l'objet d'un état descriptif de division et règlement de copropriété établi aux termes d'un acte reçu par </w:t>
      </w:r>
      <w:r>
        <w:rPr>
          <w:rFonts w:ascii="Times New Roman" w:hAnsi="Times New Roman" w:cs="Times New Roman"/>
          <w:rFonts w:ascii="Times New Roman" w:hAnsi="Times New Roman"/>
          <w:b w:val="0"/>
          <w:i w:val="0"/>
          <w:sz w:val="22"/>
          <w:u w:val="none"/>
        </w:rPr>
        <w:t>Maître MARMEY, notaire à MEYZIEU</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septembre 1969</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 le 11 octobre 1969 volume 4892 numéro 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descriptif de division - règlement de copropriété a été modifié aux termes d'un acte reçu par </w:t>
      </w:r>
      <w:r>
        <w:rPr>
          <w:rFonts w:ascii="Times New Roman" w:hAnsi="Times New Roman" w:cs="Times New Roman"/>
          <w:rFonts w:ascii="Times New Roman" w:hAnsi="Times New Roman"/>
          <w:b w:val="0"/>
          <w:i w:val="0"/>
          <w:sz w:val="22"/>
          <w:u w:val="none"/>
        </w:rPr>
        <w:t>Maître DOUCET-BON,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 novembre 2009</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 le 14 décembre 2009, volume 2009P, numéro 6060</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IDENTIFICATION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qui accepte, les meubles ci-après non valorisés dont la liste, établie contradictoirement entre eux, est la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spacing w:after="0" w:before="0"/>
        <w:ind w:firstLine="709"/>
        <w:jc w:val="both"/>
      </w:pPr>
      <w:r>
        <w:rPr>
          <w:rFonts w:ascii="Times New Roman" w:hAnsi="Times New Roman" w:cs="Times New Roman"/>
          <w:rFonts w:ascii="Times New Roman" w:hAnsi="Times New Roman"/>
          <w:b w:val="0"/>
          <w:i w:val="0"/>
          <w:sz w:val="22"/>
          <w:u w:val="none"/>
        </w:rPr>
        <w:t>#### 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informe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 l'existence des équipements, dont la liste figure en partie développée.</w:t>
      </w:r>
    </w:p>
    <w:p>
      <w:pPr>
        <w:spacing w:after="0" w:before="0"/>
        <w:ind w:firstLine="709"/>
        <w:jc w:val="both"/>
      </w:pPr>
      <w:r>
        <w:rPr>
          <w:rFonts w:ascii="Times New Roman" w:hAnsi="Times New Roman" w:cs="Times New Roman"/>
          <w:rFonts w:ascii="Times New Roman" w:hAnsi="Times New Roman"/>
          <w:b w:val="0"/>
          <w:i w:val="0"/>
          <w:sz w:val="22"/>
          <w:u w:val="none"/>
        </w:rPr>
        <w:t>#### 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w:t>
      </w:r>
      <w:r>
        <w:rPr>
          <w:rFonts w:ascii="Times New Roman" w:hAnsi="Times New Roman" w:cs="Times New Roman"/>
          <w:rFonts w:ascii="Times New Roman" w:hAnsi="Times New Roman"/>
          <w:b w:val="0"/>
          <w:i w:val="0"/>
          <w:sz w:val="22"/>
          <w:u w:val="none"/>
        </w:rPr>
        <w:t>d'habitation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entend conserver cet usage.</w:t>
      </w:r>
    </w:p>
    <w:p>
      <w:pPr>
        <w:spacing w:after="0" w:before="0"/>
        <w:ind w:firstLine="709"/>
        <w:jc w:val="both"/>
      </w:pPr>
      <w:r>
        <w:rPr>
          <w:rFonts w:ascii="Times New Roman" w:hAnsi="Times New Roman" w:cs="Times New Roman"/>
          <w:rFonts w:ascii="Times New Roman" w:hAnsi="Times New Roman"/>
          <w:b w:val="0"/>
          <w:i w:val="0"/>
          <w:sz w:val="22"/>
          <w:u w:val="none"/>
        </w:rPr>
        <w:t>#### EFFETS RELATIFS</w:t>
      </w:r>
    </w:p>
    <w:p>
      <w:pPr>
        <w:pStyle w:val="Heading2"/>
      </w:pPr>
      <w:r>
        <w:rPr>
          <w:rFonts w:ascii="Times New Roman" w:hAnsi="Times New Roman" w:cs="Times New Roman"/>
          <w:rFonts w:ascii="Times New Roman" w:hAnsi="Times New Roman"/>
          <w:sz w:val="22"/>
        </w:rPr>
        <w:t>Concernant &lt;&lt;&lt;VAR_START&gt;&gt;&gt;le lot numéro&lt;&lt;&lt;VAR_END&gt;&gt;&gt; &lt;&lt;&lt;VAR_START&gt;&gt;&gt;48&lt;&lt;&lt;VAR_END&gt;&gt;&gt;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sz w:val="22"/>
        </w:rPr>
        <w:t>Concernant &lt;&lt;&lt;VAR_START&gt;&gt;&gt;les lots numéros&lt;&lt;&lt;VAR_END&gt;&gt;&gt; &lt;&lt;&lt;VAR_START&gt;&gt;&gt;14 et 29&lt;&lt;&lt;VAR_END&gt;&gt;&gt;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 xml:space="preserve">,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CHARGES ET CONDITIONS LIEES AU CALCUL DE L'IMPOT</w:t>
      </w:r>
    </w:p>
    <w:p>
      <w:pPr>
        <w:spacing w:after="0" w:before="0"/>
        <w:ind w:firstLine="709"/>
        <w:jc w:val="both"/>
      </w:pPr>
      <w:r>
        <w:rPr>
          <w:rFonts w:ascii="Times New Roman" w:hAnsi="Times New Roman" w:cs="Times New Roman"/>
          <w:rFonts w:ascii="Times New Roman" w:hAnsi="Times New Roman"/>
          <w:b w:val="0"/>
          <w:i w:val="0"/>
          <w:sz w:val="22"/>
          <w:u w:val="none"/>
        </w:rPr>
        <w:t>Les charges et conditions ne donnant pas lieu à taxation figurent en partie développée de l'acte.</w:t>
      </w:r>
    </w:p>
    <w:p>
      <w:pPr>
        <w:spacing w:after="0" w:before="0"/>
        <w:ind w:firstLine="709"/>
        <w:jc w:val="both"/>
      </w:pPr>
      <w:r>
        <w:rPr>
          <w:rFonts w:ascii="Times New Roman" w:hAnsi="Times New Roman" w:cs="Times New Roman"/>
          <w:rFonts w:ascii="Times New Roman" w:hAnsi="Times New Roman"/>
          <w:b w:val="0"/>
          <w:i w:val="0"/>
          <w:sz w:val="22"/>
          <w:u w:val="none"/>
        </w:rPr>
        <w:t>Les frais de la vente et ceux qui en seront la suite et la conséquence sont à la charge exclusive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s'y oblige.</w:t>
      </w:r>
    </w:p>
    <w:p>
      <w:pPr>
        <w:spacing w:after="0" w:before="0"/>
        <w:ind w:firstLine="709"/>
        <w:jc w:val="both"/>
      </w:pPr>
      <w:r>
        <w:rPr>
          <w:rFonts w:ascii="Times New Roman" w:hAnsi="Times New Roman" w:cs="Times New Roman"/>
          <w:rFonts w:ascii="Times New Roman" w:hAnsi="Times New Roman"/>
          <w:b w:val="0"/>
          <w:i w:val="0"/>
          <w:sz w:val="22"/>
          <w:u w:val="none"/>
        </w:rPr>
        <w:t>#### 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L'entrée en jouissance a eu lieu par la prise de possession réelle le </w:t>
      </w:r>
      <w:r>
        <w:rPr>
          <w:rFonts w:ascii="Times New Roman" w:hAnsi="Times New Roman" w:cs="Times New Roman"/>
          <w:rFonts w:ascii="Times New Roman" w:hAnsi="Times New Roman"/>
          <w:b w:val="0"/>
          <w:i w:val="0"/>
          <w:sz w:val="22"/>
          <w:u w:val="none"/>
        </w:rPr>
        <w:t>14 novembre 2025</w:t>
      </w:r>
      <w:r>
        <w:rPr>
          <w:rFonts w:ascii="Times New Roman" w:hAnsi="Times New Roman" w:cs="Times New Roman"/>
          <w:rFonts w:ascii="Times New Roman" w:hAnsi="Times New Roman"/>
          <w:b w:val="0"/>
          <w:i w:val="0"/>
          <w:sz w:val="22"/>
          <w:u w:val="none"/>
        </w:rPr>
        <w:t xml:space="preserve"> ainsi qu'il résulte d'une convention d'entrée en jouissance anticipée en date du </w:t>
      </w:r>
      <w:r>
        <w:rPr>
          <w:rFonts w:ascii="Times New Roman" w:hAnsi="Times New Roman" w:cs="Times New Roman"/>
          <w:rFonts w:ascii="Times New Roman" w:hAnsi="Times New Roman"/>
          <w:b w:val="0"/>
          <w:i w:val="0"/>
          <w:sz w:val="22"/>
          <w:u w:val="none"/>
        </w:rPr>
        <w:t>13 novembre 2025</w:t>
      </w:r>
      <w:r>
        <w:rPr>
          <w:rFonts w:ascii="Times New Roman" w:hAnsi="Times New Roman" w:cs="Times New Roman"/>
          <w:rFonts w:ascii="Times New Roman" w:hAnsi="Times New Roman"/>
          <w:b w:val="0"/>
          <w:i w:val="0"/>
          <w:sz w:val="22"/>
          <w:u w:val="none"/>
        </w:rPr>
        <w:t>, dont une copie demeure jointe et annexée après mention.</w:t>
      </w:r>
    </w:p>
    <w:p>
      <w:pPr>
        <w:spacing w:after="0" w:before="0"/>
        <w:ind w:firstLine="709"/>
        <w:jc w:val="both"/>
      </w:pPr>
      <w:r>
        <w:rPr>
          <w:rFonts w:ascii="Times New Roman" w:hAnsi="Times New Roman" w:cs="Times New Roman"/>
          <w:rFonts w:ascii="Times New Roman" w:hAnsi="Times New Roman"/>
          <w:b/>
          <w:i w:val="0"/>
          <w:sz w:val="22"/>
          <w:u w:val="none"/>
        </w:rPr>
        <w:t>Annexe 2 bis : Convention d'occupation précaire</w:t>
      </w:r>
    </w:p>
    <w:p>
      <w:pPr>
        <w:spacing w:after="0" w:before="0"/>
        <w:ind w:firstLine="709"/>
        <w:jc w:val="both"/>
      </w:pPr>
      <w:r>
        <w:rPr>
          <w:rFonts w:ascii="Times New Roman" w:hAnsi="Times New Roman" w:cs="Times New Roman"/>
          <w:rFonts w:ascii="Times New Roman" w:hAnsi="Times New Roman"/>
          <w:b w:val="0"/>
          <w:i w:val="0"/>
          <w:sz w:val="22"/>
          <w:u w:val="none"/>
        </w:rPr>
        <w:t>#### 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est conclue moyennant le prix de </w:t>
      </w:r>
      <w:r>
        <w:rPr>
          <w:rFonts w:ascii="Times New Roman" w:hAnsi="Times New Roman" w:cs="Times New Roman"/>
          <w:rFonts w:ascii="Times New Roman" w:hAnsi="Times New Roman"/>
          <w:b/>
          <w:i w:val="0"/>
          <w:sz w:val="22"/>
          <w:u w:val="none"/>
        </w:rPr>
        <w:t>DEUX CENT QUARANTE-CINQ MILLE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245 000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paiement de ce prix a lieu de la manière indiquée ci-après.</w:t>
      </w:r>
    </w:p>
    <w:p>
      <w:pPr>
        <w:spacing w:after="0" w:before="0"/>
        <w:ind w:firstLine="709"/>
        <w:jc w:val="both"/>
      </w:pPr>
      <w:r>
        <w:rPr>
          <w:rFonts w:ascii="Times New Roman" w:hAnsi="Times New Roman" w:cs="Times New Roman"/>
          <w:rFonts w:ascii="Times New Roman" w:hAnsi="Times New Roman"/>
          <w:b w:val="0"/>
          <w:i w:val="0"/>
          <w:sz w:val="22"/>
          <w:u w:val="none"/>
        </w:rPr>
        <w:t>#### PAIEMENT DU PRIX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payé le prix comptant ce jour ainsi qu'il résulte de la comptabilité de l'office notarial dénommé en tête des présentes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le reconnaît et lui en consent quittance sans réserve.</w:t>
      </w:r>
    </w:p>
    <w:p>
      <w:pPr>
        <w:pStyle w:val="Heading2"/>
      </w:pPr>
      <w:r>
        <w:rPr>
          <w:rFonts w:ascii="Times New Roman" w:hAnsi="Times New Roman" w:cs="Times New Roman"/>
          <w:rFonts w:ascii="Times New Roman" w:hAnsi="Times New Roman"/>
          <w:sz w:val="22"/>
        </w:rPr>
        <w:t>DONT QUITTANCE</w:t>
      </w:r>
    </w:p>
    <w:p>
      <w:pPr>
        <w:spacing w:after="0" w:before="0"/>
        <w:ind w:firstLine="709"/>
        <w:jc w:val="both"/>
      </w:pPr>
      <w:r>
        <w:rPr>
          <w:rFonts w:ascii="Times New Roman" w:hAnsi="Times New Roman" w:cs="Times New Roman"/>
          <w:rFonts w:ascii="Times New Roman" w:hAnsi="Times New Roman"/>
          <w:b w:val="0"/>
          <w:i w:val="0"/>
          <w:sz w:val="22"/>
          <w:u w:val="none"/>
        </w:rPr>
        <w:t>#### DECLARATION D'ORIGINE DES FONDS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sur la somme ci-dessus payée, celle de </w:t>
      </w:r>
      <w:r>
        <w:rPr>
          <w:rFonts w:ascii="Times New Roman" w:hAnsi="Times New Roman" w:cs="Times New Roman"/>
          <w:rFonts w:ascii="Times New Roman" w:hAnsi="Times New Roman"/>
          <w:b/>
          <w:i w:val="0"/>
          <w:sz w:val="22"/>
          <w:u w:val="none"/>
        </w:rPr>
        <w:t>DEUX CENT QUARANTE-QUATRE MILLE NEUF CENT SOIXANTE-QUATRE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244 964</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provient de fonds empruntés à cet effet suivant acte reçu par </w:t>
      </w:r>
      <w:r>
        <w:rPr>
          <w:rFonts w:ascii="Times New Roman" w:hAnsi="Times New Roman" w:cs="Times New Roman"/>
          <w:rFonts w:ascii="Times New Roman" w:hAnsi="Times New Roman"/>
          <w:b w:val="0"/>
          <w:i w:val="0"/>
          <w:sz w:val="22"/>
          <w:u w:val="none"/>
        </w:rPr>
        <w:t>Maître Claude-Henri GOYET, notaire à LA TALAUDIERE</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13 novembre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Auprès de la </w:t>
      </w:r>
      <w:r>
        <w:rPr>
          <w:rFonts w:ascii="Times New Roman" w:hAnsi="Times New Roman" w:cs="Times New Roman"/>
          <w:rFonts w:ascii="Times New Roman" w:hAnsi="Times New Roman"/>
          <w:b/>
          <w:i w:val="0"/>
          <w:sz w:val="22"/>
          <w:u w:val="none"/>
        </w:rPr>
        <w:t>CAISSE REGIONALE DE CREDIT AGRICOLE MUTUEL LOIRE HAUTE-LOIRE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Société Coopérative à capital variable</w:t>
      </w:r>
      <w:r>
        <w:rPr>
          <w:rFonts w:ascii="Times New Roman" w:hAnsi="Times New Roman" w:cs="Times New Roman"/>
          <w:rFonts w:ascii="Times New Roman" w:hAnsi="Times New Roman"/>
          <w:b w:val="0"/>
          <w:i w:val="0"/>
          <w:sz w:val="22"/>
          <w:u w:val="none"/>
        </w:rPr>
        <w:t xml:space="preserve"> dont le siège est à </w:t>
      </w:r>
      <w:r>
        <w:rPr>
          <w:rFonts w:ascii="Times New Roman" w:hAnsi="Times New Roman" w:cs="Times New Roman"/>
          <w:rFonts w:ascii="Times New Roman" w:hAnsi="Times New Roman"/>
          <w:b w:val="0"/>
          <w:i w:val="0"/>
          <w:sz w:val="22"/>
          <w:u w:val="none"/>
        </w:rPr>
        <w:t>SAINT-ETIENNE (42000), 94 rue Bergson</w:t>
      </w:r>
      <w:r>
        <w:rPr>
          <w:rFonts w:ascii="Times New Roman" w:hAnsi="Times New Roman" w:cs="Times New Roman"/>
          <w:rFonts w:ascii="Times New Roman" w:hAnsi="Times New Roman"/>
          <w:b w:val="0"/>
          <w:i w:val="0"/>
          <w:sz w:val="22"/>
          <w:u w:val="none"/>
        </w:rPr>
        <w:t xml:space="preserve">, identifiée au SIREN sous le numéro </w:t>
      </w:r>
      <w:r>
        <w:rPr>
          <w:rFonts w:ascii="Times New Roman" w:hAnsi="Times New Roman" w:cs="Times New Roman"/>
          <w:rFonts w:ascii="Times New Roman" w:hAnsi="Times New Roman"/>
          <w:b w:val="0"/>
          <w:i w:val="0"/>
          <w:sz w:val="22"/>
          <w:u w:val="none"/>
        </w:rPr>
        <w:t>380386854</w:t>
      </w:r>
      <w:r>
        <w:rPr>
          <w:rFonts w:ascii="Times New Roman" w:hAnsi="Times New Roman" w:cs="Times New Roman"/>
          <w:rFonts w:ascii="Times New Roman" w:hAnsi="Times New Roman"/>
          <w:b w:val="0"/>
          <w:i w:val="0"/>
          <w:sz w:val="22"/>
          <w:u w:val="none"/>
        </w:rPr>
        <w:t xml:space="preserve"> et immatriculée au Registre du Commerce et des Sociétés de </w:t>
      </w:r>
      <w:r>
        <w:rPr>
          <w:rFonts w:ascii="Times New Roman" w:hAnsi="Times New Roman" w:cs="Times New Roman"/>
          <w:rFonts w:ascii="Times New Roman" w:hAnsi="Times New Roman"/>
          <w:b w:val="0"/>
          <w:i w:val="0"/>
          <w:sz w:val="22"/>
          <w:u w:val="none"/>
        </w:rPr>
        <w:t>SAINT-ETIENNE</w:t>
      </w:r>
    </w:p>
    <w:p>
      <w:pPr>
        <w:spacing w:after="0" w:before="0"/>
        <w:ind w:firstLine="709"/>
        <w:jc w:val="both"/>
      </w:pPr>
      <w:r>
        <w:rPr>
          <w:rFonts w:ascii="Times New Roman" w:hAnsi="Times New Roman" w:cs="Times New Roman"/>
          <w:rFonts w:ascii="Times New Roman" w:hAnsi="Times New Roman"/>
          <w:b w:val="0"/>
          <w:i w:val="0"/>
          <w:sz w:val="22"/>
          <w:u w:val="none"/>
        </w:rPr>
        <w:t xml:space="preserve">Prêt </w:t>
      </w:r>
      <w:r>
        <w:rPr>
          <w:rFonts w:ascii="Times New Roman" w:hAnsi="Times New Roman" w:cs="Times New Roman"/>
          <w:rFonts w:ascii="Times New Roman" w:hAnsi="Times New Roman"/>
          <w:b w:val="0"/>
          <w:i w:val="0"/>
          <w:sz w:val="22"/>
          <w:u w:val="none"/>
        </w:rPr>
        <w:t>TOUT HABITAT FACILIMMO n° 00003784487</w:t>
      </w:r>
      <w:r>
        <w:rPr>
          <w:rFonts w:ascii="Times New Roman" w:hAnsi="Times New Roman" w:cs="Times New Roman"/>
          <w:rFonts w:ascii="Times New Roman" w:hAnsi="Times New Roman"/>
          <w:b w:val="0"/>
          <w:i w:val="0"/>
          <w:sz w:val="22"/>
          <w:u w:val="none"/>
        </w:rPr>
        <w:t xml:space="preserve"> d'un montant de </w:t>
      </w:r>
      <w:r>
        <w:rPr>
          <w:rFonts w:ascii="Times New Roman" w:hAnsi="Times New Roman" w:cs="Times New Roman"/>
          <w:rFonts w:ascii="Times New Roman" w:hAnsi="Times New Roman"/>
          <w:b w:val="0"/>
          <w:i w:val="0"/>
          <w:sz w:val="22"/>
          <w:u w:val="none"/>
        </w:rPr>
        <w:t>DEUX CENT VINGT MILLE CINQ CENT SOIXANTE-QUATRE EUROS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220 564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r>
        <w:rPr>
          <w:rFonts w:ascii="Times New Roman" w:hAnsi="Times New Roman" w:cs="Times New Roman"/>
          <w:rFonts w:ascii="Times New Roman" w:hAnsi="Times New Roman"/>
          <w:b w:val="0"/>
          <w:i w:val="0"/>
          <w:sz w:val="22"/>
          <w:u w:val="none"/>
        </w:rPr>
        <w:t xml:space="preserve">), remboursable en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au taux de </w:t>
      </w:r>
      <w:r>
        <w:rPr>
          <w:rFonts w:ascii="Times New Roman" w:hAnsi="Times New Roman" w:cs="Times New Roman"/>
          <w:rFonts w:ascii="Times New Roman" w:hAnsi="Times New Roman"/>
          <w:b w:val="0"/>
          <w:i w:val="0"/>
          <w:sz w:val="22"/>
          <w:u w:val="none"/>
        </w:rPr>
        <w:t>3.09</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paiement de la première échéance aura lieu le </w:t>
      </w:r>
      <w:r>
        <w:rPr>
          <w:rFonts w:ascii="Times New Roman" w:hAnsi="Times New Roman" w:cs="Times New Roman"/>
          <w:rFonts w:ascii="Times New Roman" w:hAnsi="Times New Roman"/>
          <w:b w:val="0"/>
          <w:i w:val="0"/>
          <w:sz w:val="22"/>
          <w:u w:val="none"/>
        </w:rPr>
        <w:t>15 décembre 2025</w:t>
      </w:r>
      <w:r>
        <w:rPr>
          <w:rFonts w:ascii="Times New Roman" w:hAnsi="Times New Roman" w:cs="Times New Roman"/>
          <w:rFonts w:ascii="Times New Roman" w:hAnsi="Times New Roman"/>
          <w:b w:val="0"/>
          <w:i w:val="0"/>
          <w:sz w:val="22"/>
          <w:u w:val="none"/>
        </w:rPr>
        <w:t xml:space="preserve"> et celui de la dernière échéance le </w:t>
      </w:r>
      <w:r>
        <w:rPr>
          <w:rFonts w:ascii="Times New Roman" w:hAnsi="Times New Roman" w:cs="Times New Roman"/>
          <w:rFonts w:ascii="Times New Roman" w:hAnsi="Times New Roman"/>
          <w:b w:val="0"/>
          <w:i w:val="0"/>
          <w:sz w:val="22"/>
          <w:u w:val="none"/>
        </w:rPr>
        <w:t>15 novembre 2053</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péremption de l'inscription : </w:t>
      </w:r>
      <w:r>
        <w:rPr>
          <w:rFonts w:ascii="Times New Roman" w:hAnsi="Times New Roman" w:cs="Times New Roman"/>
          <w:rFonts w:ascii="Times New Roman" w:hAnsi="Times New Roman"/>
          <w:b w:val="0"/>
          <w:i w:val="0"/>
          <w:sz w:val="22"/>
          <w:u w:val="none"/>
        </w:rPr>
        <w:t>15 novembre 2054</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Prêt </w:t>
      </w:r>
      <w:r>
        <w:rPr>
          <w:rFonts w:ascii="Times New Roman" w:hAnsi="Times New Roman" w:cs="Times New Roman"/>
          <w:rFonts w:ascii="Times New Roman" w:hAnsi="Times New Roman"/>
          <w:b w:val="0"/>
          <w:i w:val="0"/>
          <w:sz w:val="22"/>
          <w:u w:val="none"/>
        </w:rPr>
        <w:t>TOUT HABITAT FACILIMMO n° 00003784488</w:t>
      </w:r>
      <w:r>
        <w:rPr>
          <w:rFonts w:ascii="Times New Roman" w:hAnsi="Times New Roman" w:cs="Times New Roman"/>
          <w:rFonts w:ascii="Times New Roman" w:hAnsi="Times New Roman"/>
          <w:b w:val="0"/>
          <w:i w:val="0"/>
          <w:sz w:val="22"/>
          <w:u w:val="none"/>
        </w:rPr>
        <w:t xml:space="preserve"> d'un montant de </w:t>
      </w:r>
      <w:r>
        <w:rPr>
          <w:rFonts w:ascii="Times New Roman" w:hAnsi="Times New Roman" w:cs="Times New Roman"/>
          <w:rFonts w:ascii="Times New Roman" w:hAnsi="Times New Roman"/>
          <w:b w:val="0"/>
          <w:i w:val="0"/>
          <w:sz w:val="22"/>
          <w:u w:val="none"/>
        </w:rPr>
        <w:t>VINGT-QUATRE MILLE QUATRE CENTS EUROS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24 400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r>
        <w:rPr>
          <w:rFonts w:ascii="Times New Roman" w:hAnsi="Times New Roman" w:cs="Times New Roman"/>
          <w:rFonts w:ascii="Times New Roman" w:hAnsi="Times New Roman"/>
          <w:b w:val="0"/>
          <w:i w:val="0"/>
          <w:sz w:val="22"/>
          <w:u w:val="none"/>
        </w:rPr>
        <w:t xml:space="preserve">), remboursable en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au taux de </w:t>
      </w:r>
      <w:r>
        <w:rPr>
          <w:rFonts w:ascii="Times New Roman" w:hAnsi="Times New Roman" w:cs="Times New Roman"/>
          <w:rFonts w:ascii="Times New Roman" w:hAnsi="Times New Roman"/>
          <w:b w:val="0"/>
          <w:i w:val="0"/>
          <w:sz w:val="22"/>
          <w:u w:val="none"/>
        </w:rPr>
        <w:t>1.99</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paiement de la première échéance aura lieu le </w:t>
      </w:r>
      <w:r>
        <w:rPr>
          <w:rFonts w:ascii="Times New Roman" w:hAnsi="Times New Roman" w:cs="Times New Roman"/>
          <w:rFonts w:ascii="Times New Roman" w:hAnsi="Times New Roman"/>
          <w:b w:val="0"/>
          <w:i w:val="0"/>
          <w:sz w:val="22"/>
          <w:u w:val="none"/>
        </w:rPr>
        <w:t>15 décembre 2025</w:t>
      </w:r>
      <w:r>
        <w:rPr>
          <w:rFonts w:ascii="Times New Roman" w:hAnsi="Times New Roman" w:cs="Times New Roman"/>
          <w:rFonts w:ascii="Times New Roman" w:hAnsi="Times New Roman"/>
          <w:b w:val="0"/>
          <w:i w:val="0"/>
          <w:sz w:val="22"/>
          <w:u w:val="none"/>
        </w:rPr>
        <w:t xml:space="preserve"> et celui de la dernière échéance le </w:t>
      </w:r>
      <w:r>
        <w:rPr>
          <w:rFonts w:ascii="Times New Roman" w:hAnsi="Times New Roman" w:cs="Times New Roman"/>
          <w:rFonts w:ascii="Times New Roman" w:hAnsi="Times New Roman"/>
          <w:b w:val="0"/>
          <w:i w:val="0"/>
          <w:sz w:val="22"/>
          <w:u w:val="none"/>
        </w:rPr>
        <w:t>15 novembre 2053</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Date de péremption de l'inscription : </w:t>
      </w:r>
      <w:r>
        <w:rPr>
          <w:rFonts w:ascii="Times New Roman" w:hAnsi="Times New Roman" w:cs="Times New Roman"/>
          <w:rFonts w:ascii="Times New Roman" w:hAnsi="Times New Roman"/>
          <w:b w:val="0"/>
          <w:i w:val="0"/>
          <w:sz w:val="22"/>
          <w:u w:val="none"/>
        </w:rPr>
        <w:t>15 novembre 2054</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PRÊT ORIGINE DES FONDS - HYPOTHÈQUE LÉGALE SPÉCIALE DU PRÊTEUR DE DENIERS</w:t>
      </w:r>
    </w:p>
    <w:p>
      <w:pPr>
        <w:spacing w:after="0" w:before="0"/>
        <w:ind w:firstLine="709"/>
        <w:jc w:val="both"/>
      </w:pPr>
      <w:r>
        <w:rPr>
          <w:rFonts w:ascii="Times New Roman" w:hAnsi="Times New Roman" w:cs="Times New Roman"/>
          <w:rFonts w:ascii="Times New Roman" w:hAnsi="Times New Roman"/>
          <w:b w:val="0"/>
          <w:i w:val="0"/>
          <w:sz w:val="22"/>
          <w:u w:val="none"/>
        </w:rPr>
        <w:t>Aux termes de l'acte susvisé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s'est engagé auprès du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à employer la somme de </w:t>
      </w:r>
      <w:r>
        <w:rPr>
          <w:rFonts w:ascii="Times New Roman" w:hAnsi="Times New Roman" w:cs="Times New Roman"/>
          <w:rFonts w:ascii="Times New Roman" w:hAnsi="Times New Roman"/>
          <w:b/>
          <w:i w:val="0"/>
          <w:sz w:val="22"/>
          <w:u w:val="none"/>
        </w:rPr>
        <w:t>deux cent quarante-quatre mille neuf cent soixante-quatre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244 964</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provenant du prêt au paiement à due concurrence du prix ci-dessus stipulé.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effectué le paiement ci-dessus à due concurrence de la somme de </w:t>
      </w:r>
      <w:r>
        <w:rPr>
          <w:rFonts w:ascii="Times New Roman" w:hAnsi="Times New Roman" w:cs="Times New Roman"/>
          <w:rFonts w:ascii="Times New Roman" w:hAnsi="Times New Roman"/>
          <w:b w:val="0"/>
          <w:i w:val="0"/>
          <w:sz w:val="22"/>
          <w:u w:val="none"/>
        </w:rPr>
        <w:t>deux cent quarante-quatre mille neuf cent soixante-quatre euros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244 964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r>
        <w:rPr>
          <w:rFonts w:ascii="Times New Roman" w:hAnsi="Times New Roman" w:cs="Times New Roman"/>
          <w:rFonts w:ascii="Times New Roman" w:hAnsi="Times New Roman"/>
          <w:b w:val="0"/>
          <w:i w:val="0"/>
          <w:sz w:val="22"/>
          <w:u w:val="none"/>
        </w:rPr>
        <w:t xml:space="preserve">) lui provenant de ce prêt. Il fait cette déclaration pour constater l'origine des fonds conformément à l'engagement qu'il a pris ci-dessus envers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des stipulations et déclarations respectivement contenues dans l'acte de prêt précité et dans le présent acte de vente, tous deux passés en la forme authentique,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 trouve investi par l'article 2402 2° du Code civil, lequel garantit le principal du prêt, les intérêts dont il est productif et ses accessoires.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L'hypothèque bénéficiant au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sera conservée par l'inscription qui sera prise à son profit.</w:t>
      </w:r>
    </w:p>
    <w:p>
      <w:pPr>
        <w:spacing w:after="0" w:before="0"/>
        <w:ind w:firstLine="709"/>
        <w:jc w:val="both"/>
      </w:pPr>
      <w:r>
        <w:rPr>
          <w:rFonts w:ascii="Times New Roman" w:hAnsi="Times New Roman" w:cs="Times New Roman"/>
          <w:rFonts w:ascii="Times New Roman" w:hAnsi="Times New Roman"/>
          <w:b w:val="0"/>
          <w:i w:val="0"/>
          <w:sz w:val="22"/>
          <w:u w:val="none"/>
        </w:rPr>
        <w:t>L'inscription sera requise pour une durée qui cessera d'avoir effet faute d'avoir été renouvelée en temps utile, à l'expiration d'un délai d'une année à partir de la date de la dernière échéance de l'obligation garantie.</w:t>
      </w:r>
    </w:p>
    <w:p>
      <w:pPr>
        <w:spacing w:after="0" w:before="0"/>
        <w:ind w:firstLine="709"/>
        <w:jc w:val="both"/>
      </w:pPr>
      <w:r>
        <w:rPr>
          <w:rFonts w:ascii="Times New Roman" w:hAnsi="Times New Roman" w:cs="Times New Roman"/>
          <w:rFonts w:ascii="Times New Roman" w:hAnsi="Times New Roman"/>
          <w:b w:val="0"/>
          <w:i w:val="0"/>
          <w:sz w:val="22"/>
          <w:u w:val="none"/>
        </w:rPr>
        <w:t>#### FORMALITÉ FUSIONNÉE</w:t>
      </w:r>
    </w:p>
    <w:p>
      <w:pPr>
        <w:spacing w:after="0" w:before="0"/>
        <w:ind w:firstLine="709"/>
        <w:jc w:val="both"/>
      </w:pPr>
      <w:r>
        <w:rPr>
          <w:rFonts w:ascii="Times New Roman" w:hAnsi="Times New Roman" w:cs="Times New Roman"/>
          <w:rFonts w:ascii="Times New Roman" w:hAnsi="Times New Roman"/>
          <w:b w:val="0"/>
          <w:i w:val="0"/>
          <w:sz w:val="22"/>
          <w:u w:val="none"/>
        </w:rPr>
        <w:t xml:space="preserve">L'acte sera soumis à la formalité fusionnée, dans le mois de sa date,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sz w:val="22"/>
        </w:rPr>
        <w:t>DECLARATIONS FISCALES</w:t>
      </w:r>
    </w:p>
    <w:p>
      <w:pPr>
        <w:spacing w:after="0" w:before="0"/>
        <w:ind w:firstLine="709"/>
        <w:jc w:val="both"/>
      </w:pPr>
      <w:r>
        <w:rPr>
          <w:rFonts w:ascii="Times New Roman" w:hAnsi="Times New Roman" w:cs="Times New Roman"/>
          <w:rFonts w:ascii="Times New Roman" w:hAnsi="Times New Roman"/>
          <w:b w:val="0"/>
          <w:i w:val="0"/>
          <w:sz w:val="22"/>
          <w:u w:val="none"/>
        </w:rPr>
        <w:t>#### Impôt sur la plus-value</w:t>
      </w:r>
    </w:p>
    <w:p>
      <w:pPr>
        <w:spacing w:after="0" w:before="0"/>
        <w:ind w:firstLine="709"/>
        <w:jc w:val="both"/>
      </w:pPr>
      <w:r>
        <w:rPr>
          <w:rFonts w:ascii="Times New Roman" w:hAnsi="Times New Roman" w:cs="Times New Roman"/>
          <w:rFonts w:ascii="Times New Roman" w:hAnsi="Times New Roman"/>
          <w:b/>
          <w:i w:val="0"/>
          <w:sz w:val="22"/>
          <w:u w:val="none"/>
        </w:rPr>
        <w:t xml:space="preserve">L'immeuble est entré dans le patrimoine de </w:t>
      </w:r>
      <w:r>
        <w:rPr>
          <w:rFonts w:ascii="Times New Roman" w:hAnsi="Times New Roman" w:cs="Times New Roman"/>
          <w:rFonts w:ascii="Times New Roman" w:hAnsi="Times New Roman"/>
          <w:b/>
          <w:i w:val="0"/>
          <w:sz w:val="22"/>
          <w:u w:val="none"/>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Marie Jeanne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DURAND</w:t>
      </w:r>
      <w:r>
        <w:rPr>
          <w:rFonts w:ascii="Times New Roman" w:hAnsi="Times New Roman" w:cs="Times New Roman"/>
          <w:rFonts w:ascii="Times New Roman" w:hAnsi="Times New Roman"/>
          <w:b/>
          <w:i w:val="0"/>
          <w:sz w:val="22"/>
          <w:u w:val="none"/>
        </w:rPr>
        <w:t xml:space="preserve"> et </w:t>
      </w:r>
      <w:r>
        <w:rPr>
          <w:rFonts w:ascii="Times New Roman" w:hAnsi="Times New Roman" w:cs="Times New Roman"/>
          <w:rFonts w:ascii="Times New Roman" w:hAnsi="Times New Roman"/>
          <w:b/>
          <w:i w:val="0"/>
          <w:sz w:val="22"/>
          <w:u w:val="none"/>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Pierre Jean</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DURAND</w:t>
      </w:r>
    </w:p>
    <w:p>
      <w:pPr>
        <w:pStyle w:val="Heading2"/>
      </w:pPr>
      <w:r>
        <w:rPr>
          <w:rFonts w:ascii="Times New Roman" w:hAnsi="Times New Roman" w:cs="Times New Roman"/>
          <w:rFonts w:ascii="Times New Roman" w:hAnsi="Times New Roman"/>
          <w:sz w:val="22"/>
        </w:rPr>
        <w:t>Concernant &lt;&lt;&lt;VAR_START&gt;&gt;&gt;le lot numéro&lt;&lt;&lt;VAR_END&gt;&gt;&gt; &lt;&lt;&lt;VAR_START&gt;&gt;&gt;48&lt;&lt;&lt;VAR_END&gt;&gt;&gt;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sz w:val="22"/>
        </w:rPr>
        <w:t>Concernant &lt;&lt;&lt;VAR_START&gt;&gt;&gt;les lots numéros&lt;&lt;&lt;VAR_END&gt;&gt;&gt; &lt;&lt;&lt;VAR_START&gt;&gt;&gt;14 et 29&lt;&lt;&lt;VAR_END&gt;&gt;&gt;</w:t>
      </w:r>
    </w:p>
    <w:p>
      <w:pPr>
        <w:spacing w:after="0" w:before="0"/>
        <w:ind w:firstLine="709"/>
        <w:jc w:val="both"/>
      </w:pPr>
      <w:r>
        <w:rPr>
          <w:rFonts w:ascii="Times New Roman" w:hAnsi="Times New Roman" w:cs="Times New Roman"/>
          <w:rFonts w:ascii="Times New Roman" w:hAnsi="Times New Roman"/>
          <w:b w:val="0"/>
          <w:i w:val="0"/>
          <w:sz w:val="22"/>
          <w:u w:val="none"/>
        </w:rPr>
        <w:t>Acquisition</w:t>
      </w:r>
      <w:r>
        <w:rPr>
          <w:rFonts w:ascii="Times New Roman" w:hAnsi="Times New Roman" w:cs="Times New Roman"/>
          <w:rFonts w:ascii="Times New Roman" w:hAnsi="Times New Roman"/>
          <w:b w:val="0"/>
          <w:i w:val="0"/>
          <w:sz w:val="22"/>
          <w:u w:val="none"/>
        </w:rPr>
        <w:t xml:space="preserve"> suivant acte reçu par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Exonération de l'impôt sur les plus-values immobilières en vertu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 de l'exonération de l'impôt sur les plus-values conformément aux dispositions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Précision étant ici faite que la présente vente a pour le vendeur un caractère occasionnel. À défaut, celui-ci pourrait se voir refuser, par l'administration, le bénéfice de l'exonération visée ci-dessus.</w:t>
      </w:r>
    </w:p>
    <w:p>
      <w:pPr>
        <w:spacing w:after="0" w:before="0"/>
        <w:ind w:firstLine="709"/>
        <w:jc w:val="both"/>
      </w:pPr>
      <w:r>
        <w:rPr>
          <w:rFonts w:ascii="Times New Roman" w:hAnsi="Times New Roman" w:cs="Times New Roman"/>
          <w:rFonts w:ascii="Times New Roman" w:hAnsi="Times New Roman"/>
          <w:b w:val="0"/>
          <w:i w:val="0"/>
          <w:sz w:val="22"/>
          <w:u w:val="none"/>
        </w:rPr>
        <w:t>En conséquence, le notaire est dispensé de déposer l'imprimé 2048-IMM-SD.</w:t>
      </w:r>
    </w:p>
    <w:p>
      <w:pPr>
        <w:spacing w:after="0" w:before="0"/>
        <w:ind w:firstLine="709"/>
        <w:jc w:val="both"/>
      </w:pPr>
      <w:r>
        <w:rPr>
          <w:rFonts w:ascii="Times New Roman" w:hAnsi="Times New Roman" w:cs="Times New Roman"/>
          <w:rFonts w:ascii="Times New Roman" w:hAnsi="Times New Roman"/>
          <w:b w:val="0"/>
          <w:i w:val="0"/>
          <w:sz w:val="22"/>
          <w:u w:val="none"/>
        </w:rPr>
        <w:t>#### Domicile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le contrôle de l'impôt,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effectivement domicilié à l'adresse susvisée, et s'engage à signaler au centre tout changement d'adresse.</w:t>
      </w:r>
    </w:p>
    <w:p>
      <w:pPr>
        <w:spacing w:after="0" w:before="0"/>
        <w:ind w:firstLine="709"/>
        <w:jc w:val="both"/>
      </w:pPr>
      <w:r>
        <w:rPr>
          <w:rFonts w:ascii="Times New Roman" w:hAnsi="Times New Roman" w:cs="Times New Roman"/>
          <w:rFonts w:ascii="Times New Roman" w:hAnsi="Times New Roman"/>
          <w:b/>
          <w:i w:val="0"/>
          <w:sz w:val="22"/>
          <w:u w:val="none"/>
        </w:rPr>
        <w:t>Quant au centre des finances publiques du VENDEUR</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Marie Jeanne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Pierre 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dépendent</w:t>
      </w:r>
      <w:r>
        <w:rPr>
          <w:rFonts w:ascii="Times New Roman" w:hAnsi="Times New Roman" w:cs="Times New Roman"/>
          <w:rFonts w:ascii="Times New Roman" w:hAnsi="Times New Roman"/>
          <w:b w:val="0"/>
          <w:i w:val="0"/>
          <w:sz w:val="22"/>
          <w:u w:val="none"/>
        </w:rPr>
        <w:t xml:space="preserve"> actuellement du centre des finances publiques de </w:t>
      </w:r>
      <w:r>
        <w:rPr>
          <w:rFonts w:ascii="Times New Roman" w:hAnsi="Times New Roman" w:cs="Times New Roman"/>
          <w:rFonts w:ascii="Times New Roman" w:hAnsi="Times New Roman"/>
          <w:b w:val="0"/>
          <w:i w:val="0"/>
          <w:sz w:val="22"/>
          <w:u w:val="none"/>
        </w:rPr>
        <w:t>CALUIRE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 rue CLAUDE BAUDRAND BOITE POSTALE 236 - 69732 CALUIRE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Impôt sur la mutation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impôts](http://www.legifrance.gouv.fr/WAspad/UnArticleDeCode?code=CGIMPO00.rcv&amp;art=1594/D).</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du II-A de l'article 116 de la loi du 14 février 2025 (LF 2025), le conseil départemental du </w:t>
      </w:r>
      <w:r>
        <w:rPr>
          <w:rFonts w:ascii="Times New Roman" w:hAnsi="Times New Roman" w:cs="Times New Roman"/>
          <w:rFonts w:ascii="Times New Roman" w:hAnsi="Times New Roman"/>
          <w:b w:val="0"/>
          <w:i w:val="0"/>
          <w:sz w:val="22"/>
          <w:u w:val="none"/>
        </w:rPr>
        <w:t>RHÔNE</w:t>
      </w:r>
      <w:r>
        <w:rPr>
          <w:rFonts w:ascii="Times New Roman" w:hAnsi="Times New Roman" w:cs="Times New Roman"/>
          <w:rFonts w:ascii="Times New Roman" w:hAnsi="Times New Roman"/>
          <w:b w:val="0"/>
          <w:i w:val="0"/>
          <w:sz w:val="22"/>
          <w:u w:val="none"/>
        </w:rPr>
        <w:t>, dont dépend le lieu de situation de l'immeuble objet des présentes, a par une délibération en date du 21 février 2025, notifiée aux services fiscaux, relevé le taux prévu à l'article 1594 D.</w:t>
      </w:r>
    </w:p>
    <w:p>
      <w:pPr>
        <w:spacing w:after="0" w:before="0"/>
        <w:ind w:firstLine="709"/>
        <w:jc w:val="both"/>
      </w:pPr>
      <w:r>
        <w:rPr>
          <w:rFonts w:ascii="Times New Roman" w:hAnsi="Times New Roman" w:cs="Times New Roman"/>
          <w:rFonts w:ascii="Times New Roman" w:hAnsi="Times New Roman"/>
          <w:b w:val="0"/>
          <w:i w:val="0"/>
          <w:sz w:val="22"/>
          <w:u w:val="none"/>
        </w:rPr>
        <w:t>Par exception, les primo-accédants au sens du I de l'article L 31-10-3 du Code de la construction et de l'habitation sont exemptés de cette augmentation pour l'acquisition d'un bien destiné à l'usage de leur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susvisé,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 pas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L'assiette des droits est de </w:t>
      </w:r>
      <w:r>
        <w:rPr>
          <w:rFonts w:ascii="Times New Roman" w:hAnsi="Times New Roman" w:cs="Times New Roman"/>
          <w:rFonts w:ascii="Times New Roman" w:hAnsi="Times New Roman"/>
          <w:b/>
          <w:i w:val="0"/>
          <w:sz w:val="22"/>
          <w:u w:val="none"/>
        </w:rPr>
        <w:t>DEUX CENT QUARANTE-CINQ MILLE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245 000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Droits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p>
        </w:tc>
        <w:tc>
          <w:tcPr>
            <w:tcW w:type="dxa" w:w="1531"/>
          </w:tcPr>
          <w:p>
            <w:pPr>
              <w:spacing w:after="0" w:before="0"/>
              <w:jc w:val="right"/>
            </w:pPr>
            <w:r>
              <w:rPr>
                <w:rFonts w:ascii="Times New Roman" w:hAnsi="Times New Roman" w:cs="Times New Roman"/>
                <w:rFonts w:ascii="Times New Roman" w:hAnsi="Times New Roman"/>
                <w:b/>
                <w:i w:val="0"/>
                <w:sz w:val="22"/>
                <w:u w:val="none"/>
              </w:rPr>
              <w:t>Mt à payer</w:t>
            </w:r>
          </w:p>
        </w:tc>
      </w:tr>
      <w:tr>
        <w:tc>
          <w:tcPr>
            <w:tcW w:type="dxa" w:w="1531"/>
          </w:tcPr>
          <w:p>
            <w:pPr>
              <w:spacing w:after="0" w:before="0"/>
              <w:jc w:val="left"/>
            </w:pPr>
            <w:r>
              <w:rPr>
                <w:rFonts w:ascii="Times New Roman" w:hAnsi="Times New Roman" w:cs="Times New Roman"/>
                <w:rFonts w:ascii="Times New Roman" w:hAnsi="Times New Roman"/>
                <w:b w:val="0"/>
                <w:i/>
                <w:sz w:val="22"/>
                <w:u w:val="none"/>
              </w:rPr>
              <w:t>Taxe départementale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245 000</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x</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4.5</w:t>
            </w:r>
            <w:r>
              <w:rPr>
                <w:rFonts w:ascii="Times New Roman" w:hAnsi="Times New Roman" w:cs="Times New Roman"/>
                <w:rFonts w:ascii="Times New Roman" w:hAnsi="Times New Roman"/>
                <w:b w:val="0"/>
                <w:i w:val="0"/>
                <w:sz w:val="22"/>
                <w:u w:val="none"/>
              </w:rPr>
              <w:t xml:space="preserve"> %</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11 025,00</w:t>
            </w:r>
          </w:p>
        </w:tc>
      </w:tr>
      <w:tr>
        <w:tc>
          <w:tcPr>
            <w:tcW w:type="dxa" w:w="1531"/>
          </w:tcPr>
          <w:p>
            <w:pPr>
              <w:spacing w:after="0" w:before="0"/>
              <w:jc w:val="left"/>
            </w:pPr>
            <w:r>
              <w:rPr>
                <w:rFonts w:ascii="Times New Roman" w:hAnsi="Times New Roman" w:cs="Times New Roman"/>
                <w:rFonts w:ascii="Times New Roman" w:hAnsi="Times New Roman"/>
                <w:b w:val="0"/>
                <w:i/>
                <w:sz w:val="22"/>
                <w:u w:val="none"/>
              </w:rPr>
              <w:t>Taxe communale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245 000</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x</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1.2</w:t>
            </w:r>
            <w:r>
              <w:rPr>
                <w:rFonts w:ascii="Times New Roman" w:hAnsi="Times New Roman" w:cs="Times New Roman"/>
                <w:rFonts w:ascii="Times New Roman" w:hAnsi="Times New Roman"/>
                <w:b w:val="0"/>
                <w:i w:val="0"/>
                <w:sz w:val="22"/>
                <w:u w:val="none"/>
              </w:rPr>
              <w:t xml:space="preserve"> %</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2 940,00</w:t>
            </w:r>
          </w:p>
        </w:tc>
      </w:tr>
      <w:tr>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p>
        </w:tc>
        <w:tc>
          <w:tcPr>
            <w:tcW w:type="dxa" w:w="1531"/>
          </w:tcPr>
          <w:p>
            <w:pPr>
              <w:spacing w:after="0" w:before="0"/>
              <w:jc w:val="right"/>
            </w:pPr>
          </w:p>
        </w:tc>
      </w:tr>
      <w:tr>
        <w:tc>
          <w:tcPr>
            <w:tcW w:type="dxa" w:w="1531"/>
          </w:tcPr>
          <w:p>
            <w:pPr>
              <w:spacing w:after="0" w:before="0"/>
              <w:jc w:val="left"/>
            </w:pPr>
            <w:r>
              <w:rPr>
                <w:rFonts w:ascii="Times New Roman" w:hAnsi="Times New Roman" w:cs="Times New Roman"/>
                <w:rFonts w:ascii="Times New Roman" w:hAnsi="Times New Roman"/>
                <w:b w:val="0"/>
                <w:i/>
                <w:sz w:val="22"/>
                <w:u w:val="none"/>
              </w:rPr>
              <w:t>Frais d'assiette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11 025,00</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x</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2,37 %</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261</w:t>
            </w:r>
            <w:r>
              <w:rPr>
                <w:rFonts w:ascii="Times New Roman" w:hAnsi="Times New Roman" w:cs="Times New Roman"/>
                <w:rFonts w:ascii="Times New Roman" w:hAnsi="Times New Roman"/>
                <w:b w:val="0"/>
                <w:i w:val="0"/>
                <w:sz w:val="22"/>
                <w:u w:val="none"/>
              </w:rPr>
              <w:t>,00</w:t>
            </w:r>
          </w:p>
        </w:tc>
      </w:tr>
      <w:tr>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p>
        </w:tc>
        <w:tc>
          <w:tcPr>
            <w:tcW w:type="dxa" w:w="1531"/>
          </w:tcPr>
          <w:p>
            <w:pPr>
              <w:spacing w:after="0" w:before="0"/>
              <w:jc w:val="left"/>
            </w:pPr>
            <w:r>
              <w:rPr>
                <w:rFonts w:ascii="Times New Roman" w:hAnsi="Times New Roman" w:cs="Times New Roman"/>
                <w:rFonts w:ascii="Times New Roman" w:hAnsi="Times New Roman"/>
                <w:b/>
                <w:i w:val="0"/>
                <w:sz w:val="22"/>
                <w:u w:val="none"/>
              </w:rPr>
              <w:t>TOTAL</w:t>
            </w:r>
          </w:p>
        </w:tc>
        <w:tc>
          <w:tcPr>
            <w:tcW w:type="dxa" w:w="1531"/>
          </w:tcPr>
          <w:p>
            <w:pPr>
              <w:spacing w:after="0" w:before="0"/>
              <w:jc w:val="right"/>
            </w:pPr>
            <w:r>
              <w:rPr>
                <w:rFonts w:ascii="Times New Roman" w:hAnsi="Times New Roman" w:cs="Times New Roman"/>
                <w:rFonts w:ascii="Times New Roman" w:hAnsi="Times New Roman"/>
                <w:b/>
                <w:i w:val="0"/>
                <w:sz w:val="22"/>
                <w:u w:val="none"/>
              </w:rPr>
              <w:t>14 226</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none"/>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En fonction des dispositions de l'acte à publier au fichier immobilier, la contribution de sécurité immobilière représentant la taxe au profit de l'État telle que fixée par l'article 879 du Code général des impôts s'élève à la somme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Type de contribution</w:t>
            </w:r>
          </w:p>
        </w:tc>
        <w:tc>
          <w:tcPr>
            <w:tcW w:type="dxa" w:w="1913"/>
          </w:tcPr>
          <w:p>
            <w:pPr>
              <w:spacing w:after="0" w:before="0"/>
              <w:jc w:val="center"/>
            </w:pPr>
            <w:r>
              <w:rPr>
                <w:rFonts w:ascii="Times New Roman" w:hAnsi="Times New Roman" w:cs="Times New Roman"/>
                <w:rFonts w:ascii="Times New Roman" w:hAnsi="Times New Roman"/>
                <w:b/>
                <w:i w:val="0"/>
                <w:sz w:val="22"/>
                <w:u w:val="none"/>
              </w:rPr>
              <w:t>Assiette (€)</w:t>
            </w:r>
          </w:p>
        </w:tc>
        <w:tc>
          <w:tcPr>
            <w:tcW w:type="dxa" w:w="1913"/>
          </w:tcPr>
          <w:p>
            <w:pPr>
              <w:spacing w:after="0" w:before="0"/>
              <w:jc w:val="center"/>
            </w:pPr>
            <w:r>
              <w:rPr>
                <w:rFonts w:ascii="Times New Roman" w:hAnsi="Times New Roman" w:cs="Times New Roman"/>
                <w:rFonts w:ascii="Times New Roman" w:hAnsi="Times New Roman"/>
                <w:b/>
                <w:i w:val="0"/>
                <w:sz w:val="22"/>
                <w:u w:val="none"/>
              </w:rPr>
              <w:t>Taux</w:t>
            </w:r>
          </w:p>
        </w:tc>
        <w:tc>
          <w:tcPr>
            <w:tcW w:type="dxa" w:w="1913"/>
          </w:tcPr>
          <w:p>
            <w:pPr>
              <w:spacing w:after="0" w:before="0"/>
              <w:jc w:val="center"/>
            </w:pPr>
            <w:r>
              <w:rPr>
                <w:rFonts w:ascii="Times New Roman" w:hAnsi="Times New Roman" w:cs="Times New Roman"/>
                <w:rFonts w:ascii="Times New Roman" w:hAnsi="Times New Roman"/>
                <w:b/>
                <w:i w:val="0"/>
                <w:sz w:val="22"/>
                <w:u w:val="none"/>
              </w:rPr>
              <w:t>Montant (€)</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Contribution proportionnelle taux plein</w:t>
            </w:r>
          </w:p>
        </w:tc>
        <w:tc>
          <w:tcPr>
            <w:tcW w:type="dxa" w:w="1913"/>
          </w:tcPr>
          <w:p>
            <w:pPr>
              <w:spacing w:after="0" w:before="0"/>
              <w:jc w:val="center"/>
            </w:pPr>
            <w:r>
              <w:rPr>
                <w:rFonts w:ascii="Times New Roman" w:hAnsi="Times New Roman" w:cs="Times New Roman"/>
                <w:rFonts w:ascii="Times New Roman" w:hAnsi="Times New Roman"/>
                <w:b w:val="0"/>
                <w:i w:val="0"/>
                <w:sz w:val="22"/>
                <w:u w:val="none"/>
              </w:rPr>
              <w:t>245 000</w:t>
            </w:r>
          </w:p>
        </w:tc>
        <w:tc>
          <w:tcPr>
            <w:tcW w:type="dxa" w:w="1913"/>
          </w:tcPr>
          <w:p>
            <w:pPr>
              <w:spacing w:after="0" w:before="0"/>
              <w:jc w:val="center"/>
            </w:pPr>
            <w:r>
              <w:rPr>
                <w:rFonts w:ascii="Times New Roman" w:hAnsi="Times New Roman" w:cs="Times New Roman"/>
                <w:rFonts w:ascii="Times New Roman" w:hAnsi="Times New Roman"/>
                <w:b w:val="0"/>
                <w:i w:val="0"/>
                <w:sz w:val="22"/>
                <w:u w:val="none"/>
              </w:rPr>
              <w:t>0,10%</w:t>
            </w:r>
          </w:p>
        </w:tc>
        <w:tc>
          <w:tcPr>
            <w:tcW w:type="dxa" w:w="1913"/>
          </w:tcPr>
          <w:p>
            <w:pPr>
              <w:spacing w:after="0" w:before="0"/>
              <w:jc w:val="center"/>
            </w:pPr>
            <w:r>
              <w:rPr>
                <w:rFonts w:ascii="Times New Roman" w:hAnsi="Times New Roman" w:cs="Times New Roman"/>
                <w:rFonts w:ascii="Times New Roman" w:hAnsi="Times New Roman"/>
                <w:b w:val="0"/>
                <w:i w:val="0"/>
                <w:sz w:val="22"/>
                <w:u w:val="none"/>
              </w:rPr>
              <w:t>245,00</w:t>
            </w:r>
          </w:p>
        </w:tc>
      </w:tr>
    </w:tbl>
    <w:p>
      <w:pPr>
        <w:spacing w:after="120" w:before="0"/>
      </w:pPr>
    </w:p>
    <w:p>
      <w:pPr>
        <w:pStyle w:val="Heading2"/>
      </w:pPr>
      <w:r>
        <w:rPr>
          <w:rFonts w:ascii="Times New Roman" w:hAnsi="Times New Roman" w:cs="Times New Roman"/>
          <w:rFonts w:ascii="Times New Roman" w:hAnsi="Times New Roman"/>
          <w:sz w:val="22"/>
        </w:rPr>
        <w:t>FIN DE PARTIE NORMALISEE</w:t>
      </w:r>
    </w:p>
    <w:p>
      <w:pPr>
        <w:pStyle w:val="Heading2"/>
      </w:pPr>
      <w:r>
        <w:rPr>
          <w:rFonts w:ascii="Times New Roman" w:hAnsi="Times New Roman" w:cs="Times New Roman"/>
          <w:rFonts w:ascii="Times New Roman" w:hAnsi="Times New Roman"/>
          <w:sz w:val="22"/>
        </w:rPr>
        <w:t>PARTIE DÉVELOPPÉE</w:t>
      </w:r>
    </w:p>
    <w:p>
      <w:pPr>
        <w:pStyle w:val="Heading3"/>
      </w:pPr>
      <w:r>
        <w:rPr>
          <w:rFonts w:ascii="Times New Roman" w:hAnsi="Times New Roman" w:cs="Times New Roman"/>
          <w:rFonts w:ascii="Times New Roman" w:hAnsi="Times New Roman"/>
          <w:sz w:val="22"/>
        </w:rPr>
        <w:t>FIXATION DE LA PROPORTION DE PROPRIÉTÉ INDIVISE</w:t>
      </w:r>
    </w:p>
    <w:p>
      <w:pPr>
        <w:spacing w:after="0" w:before="0"/>
        <w:ind w:firstLine="709"/>
        <w:jc w:val="both"/>
      </w:pPr>
      <w:r>
        <w:rPr>
          <w:rFonts w:ascii="Times New Roman" w:hAnsi="Times New Roman" w:cs="Times New Roman"/>
          <w:rFonts w:ascii="Times New Roman" w:hAnsi="Times New Roman"/>
          <w:b w:val="0"/>
          <w:i w:val="0"/>
          <w:sz w:val="22"/>
          <w:u w:val="none"/>
        </w:rPr>
        <w:t>#### Proportions entre les acquéreurs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font la présente acquisition sous les proportions indivises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Jean Philippe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w:t>
      </w:r>
      <w:r>
        <w:rPr>
          <w:rFonts w:ascii="Times New Roman" w:hAnsi="Times New Roman" w:cs="Times New Roman"/>
          <w:rFonts w:ascii="Times New Roman" w:hAnsi="Times New Roman"/>
          <w:b/>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BERNARD</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w:t>
      </w:r>
      <w:r>
        <w:rPr>
          <w:rFonts w:ascii="Times New Roman" w:hAnsi="Times New Roman" w:cs="Times New Roman"/>
          <w:rFonts w:ascii="Times New Roman" w:hAnsi="Times New Roman"/>
          <w:b/>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quotités sont définitives et déterminent le droit de propriété de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elles concordent avec la répartition de l'effort de financement entre eux tel que prévu ci-dessous.</w:t>
      </w:r>
    </w:p>
    <w:p>
      <w:pPr>
        <w:spacing w:after="0" w:before="0"/>
        <w:ind w:firstLine="709"/>
        <w:jc w:val="both"/>
      </w:pPr>
      <w:r>
        <w:rPr>
          <w:rFonts w:ascii="Times New Roman" w:hAnsi="Times New Roman" w:cs="Times New Roman"/>
          <w:rFonts w:ascii="Times New Roman" w:hAnsi="Times New Roman"/>
          <w:b w:val="0"/>
          <w:i w:val="0"/>
          <w:sz w:val="22"/>
          <w:u w:val="none"/>
        </w:rPr>
        <w:t>#### Détermination de la contribution des acquéreurs au financement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détaillent leurs apports, leurs obligations aux charges vis-à-vis des créanciers et fixent leurs contributions respectives à celles-ci et ce afin d'établir si nécessaire, lors de la liquidation de l'indivision qui s'effectuera au moment de la vente ou du partage du bien, l'existence de créances liées à un excès de contribution.</w:t>
      </w:r>
    </w:p>
    <w:p>
      <w:pPr>
        <w:spacing w:after="0" w:before="0"/>
        <w:ind w:firstLine="709"/>
        <w:jc w:val="both"/>
      </w:pPr>
      <w:r>
        <w:rPr>
          <w:rFonts w:ascii="Times New Roman" w:hAnsi="Times New Roman" w:cs="Times New Roman"/>
          <w:rFonts w:ascii="Times New Roman" w:hAnsi="Times New Roman"/>
          <w:b w:val="0"/>
          <w:i w:val="0"/>
          <w:sz w:val="22"/>
          <w:u w:val="none"/>
        </w:rPr>
        <w:t>Ils déclarent que les quotités d'acquisition ont été calculées tenant compte du coût global de l'opération et de la prise en charge de chacun quant à son financement, ainsi qu'il est détaillé ci-après.</w:t>
      </w:r>
    </w:p>
    <w:p>
      <w:pPr>
        <w:spacing w:after="0" w:before="0"/>
        <w:ind w:firstLine="709"/>
        <w:jc w:val="both"/>
      </w:pPr>
      <w:r>
        <w:rPr>
          <w:rFonts w:ascii="Times New Roman" w:hAnsi="Times New Roman" w:cs="Times New Roman"/>
          <w:rFonts w:ascii="Times New Roman" w:hAnsi="Times New Roman"/>
          <w:b w:val="0"/>
          <w:i w:val="0"/>
          <w:sz w:val="22"/>
          <w:u w:val="none"/>
        </w:rPr>
        <w:t>#### Coût et financement de l'opération</w:t>
      </w:r>
    </w:p>
    <w:p>
      <w:pPr>
        <w:spacing w:after="0" w:before="0"/>
        <w:ind w:firstLine="709"/>
        <w:jc w:val="both"/>
      </w:pPr>
      <w:r>
        <w:rPr>
          <w:rFonts w:ascii="Times New Roman" w:hAnsi="Times New Roman" w:cs="Times New Roman"/>
          <w:rFonts w:ascii="Times New Roman" w:hAnsi="Times New Roman"/>
          <w:b w:val="0"/>
          <w:i w:val="0"/>
          <w:sz w:val="22"/>
          <w:u w:val="none"/>
        </w:rPr>
        <w:t>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531"/>
          </w:tcPr>
          <w:p>
            <w:pPr>
              <w:spacing w:after="0" w:before="0"/>
              <w:jc w:val="left"/>
            </w:pPr>
          </w:p>
        </w:tc>
        <w:tc>
          <w:tcPr>
            <w:tcW w:type="dxa" w:w="1531"/>
          </w:tcPr>
          <w:p>
            <w:pPr>
              <w:spacing w:after="0" w:before="0"/>
              <w:jc w:val="right"/>
            </w:pP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Prix</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245 000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Frais de la vente</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19 000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Frais de prêt</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1 500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r>
              <w:rPr>
                <w:rFonts w:ascii="Times New Roman" w:hAnsi="Times New Roman" w:cs="Times New Roman"/>
                <w:rFonts w:ascii="Times New Roman" w:hAnsi="Times New Roman"/>
                <w:b/>
                <w:i w:val="0"/>
                <w:sz w:val="22"/>
                <w:u w:val="none"/>
              </w:rPr>
              <w:t>Ensemble</w:t>
            </w:r>
          </w:p>
        </w:tc>
        <w:tc>
          <w:tcPr>
            <w:tcW w:type="dxa" w:w="1531"/>
          </w:tcPr>
          <w:p>
            <w:pPr>
              <w:spacing w:after="0" w:before="0"/>
            </w:pPr>
            <w:r>
              <w:rPr>
                <w:rFonts w:ascii="Times New Roman" w:hAnsi="Times New Roman" w:cs="Times New Roman"/>
                <w:rFonts w:ascii="Times New Roman" w:hAnsi="Times New Roman"/>
                <w:b w:val="0"/>
                <w:i w:val="0"/>
                <w:sz w:val="22"/>
                <w:u w:val="none"/>
              </w:rPr>
              <w:t>265 500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r>
      <w:tr>
        <w:tc>
          <w:tcPr>
            <w:tcW w:type="dxa" w:w="1531"/>
          </w:tcPr>
          <w:p>
            <w:pPr>
              <w:spacing w:after="0" w:before="0"/>
              <w:jc w:val="left"/>
            </w:pPr>
          </w:p>
        </w:tc>
        <w:tc>
          <w:tcPr>
            <w:tcW w:type="dxa" w:w="1531"/>
          </w:tcPr>
          <w:p>
            <w:pPr>
              <w:spacing w:after="0" w:before="0"/>
              <w:jc w:val="right"/>
            </w:pP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i w:val="0"/>
                <w:sz w:val="22"/>
                <w:u w:val="none"/>
              </w:rPr>
              <w:t>FINANCEMENT</w:t>
            </w:r>
          </w:p>
        </w:tc>
        <w:tc>
          <w:tcPr>
            <w:tcW w:type="dxa" w:w="1531"/>
          </w:tcPr>
          <w:p>
            <w:pPr>
              <w:spacing w:after="0" w:before="0"/>
              <w:jc w:val="right"/>
            </w:pP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Fonds personnels</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20 536</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Fonds empruntés</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244 964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p>
        </w:tc>
        <w:tc>
          <w:tcPr>
            <w:tcW w:type="dxa" w:w="1531"/>
          </w:tcPr>
          <w:p>
            <w:pPr>
              <w:spacing w:after="0" w:before="0"/>
            </w:pPr>
          </w:p>
        </w:tc>
      </w:tr>
      <w:tr>
        <w:tc>
          <w:tcPr>
            <w:tcW w:type="dxa" w:w="1531"/>
          </w:tcPr>
          <w:p>
            <w:pPr>
              <w:spacing w:after="0" w:before="0"/>
              <w:jc w:val="left"/>
            </w:pPr>
            <w:r>
              <w:rPr>
                <w:rFonts w:ascii="Times New Roman" w:hAnsi="Times New Roman" w:cs="Times New Roman"/>
                <w:rFonts w:ascii="Times New Roman" w:hAnsi="Times New Roman"/>
                <w:b/>
                <w:i w:val="0"/>
                <w:sz w:val="22"/>
                <w:u w:val="none"/>
              </w:rPr>
              <w:t>Ensemble</w:t>
            </w:r>
          </w:p>
        </w:tc>
        <w:tc>
          <w:tcPr>
            <w:tcW w:type="dxa" w:w="1531"/>
          </w:tcPr>
          <w:p>
            <w:pPr>
              <w:spacing w:after="0" w:before="0"/>
              <w:jc w:val="right"/>
            </w:pPr>
            <w:r>
              <w:rPr>
                <w:rFonts w:ascii="Times New Roman" w:hAnsi="Times New Roman" w:cs="Times New Roman"/>
                <w:rFonts w:ascii="Times New Roman" w:hAnsi="Times New Roman"/>
                <w:b w:val="0"/>
                <w:i w:val="0"/>
                <w:sz w:val="22"/>
                <w:u w:val="none"/>
              </w:rPr>
              <w:t>265 500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p>
        </w:tc>
        <w:tc>
          <w:tcPr>
            <w:tcW w:type="dxa" w:w="1531"/>
          </w:tcPr>
          <w:p>
            <w:pPr>
              <w:spacing w:after="0" w:before="0"/>
            </w:pPr>
          </w:p>
        </w:tc>
        <w:tc>
          <w:tcPr>
            <w:tcW w:type="dxa" w:w="1531"/>
          </w:tcPr>
          <w:p>
            <w:pPr>
              <w:spacing w:after="0" w:before="0"/>
            </w:pPr>
          </w:p>
        </w:tc>
        <w:tc>
          <w:tcPr>
            <w:tcW w:type="dxa" w:w="1531"/>
          </w:tcPr>
          <w:p>
            <w:pPr>
              <w:spacing w:after="0" w:before="0"/>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Prise en charge du financement de l'opération</w:t>
      </w:r>
    </w:p>
    <w:p>
      <w:pPr>
        <w:spacing w:after="0" w:before="0"/>
        <w:ind w:firstLine="709"/>
        <w:jc w:val="both"/>
      </w:pPr>
      <w:r>
        <w:rPr>
          <w:rFonts w:ascii="Times New Roman" w:hAnsi="Times New Roman" w:cs="Times New Roman"/>
          <w:rFonts w:ascii="Times New Roman" w:hAnsi="Times New Roman"/>
          <w:b/>
          <w:i w:val="0"/>
          <w:sz w:val="22"/>
          <w:u w:val="none"/>
        </w:rPr>
        <w:t>Fonds personnels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financement du prix et des frais au moyen de leur apport personnel est réalisé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à concurrence des sommes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Jean Philippe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MARTIN</w:t>
      </w:r>
      <w:r>
        <w:rPr>
          <w:rFonts w:ascii="Times New Roman" w:hAnsi="Times New Roman" w:cs="Times New Roman"/>
          <w:rFonts w:ascii="Times New Roman" w:hAnsi="Times New Roman"/>
          <w:b w:val="0"/>
          <w:i w:val="0"/>
          <w:sz w:val="22"/>
          <w:u w:val="none"/>
        </w:rPr>
        <w:t xml:space="preserve"> apporte </w:t>
      </w:r>
      <w:r>
        <w:rPr>
          <w:rFonts w:ascii="Times New Roman" w:hAnsi="Times New Roman" w:cs="Times New Roman"/>
          <w:rFonts w:ascii="Times New Roman" w:hAnsi="Times New Roman"/>
          <w:b w:val="0"/>
          <w:i w:val="0"/>
          <w:sz w:val="22"/>
          <w:u w:val="none"/>
        </w:rPr>
        <w:t>sa quote-part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r>
        <w:rPr>
          <w:rFonts w:ascii="Times New Roman" w:hAnsi="Times New Roman" w:cs="Times New Roman"/>
          <w:rFonts w:ascii="Times New Roman" w:hAnsi="Times New Roman"/>
          <w:b w:val="0"/>
          <w:i w:val="0"/>
          <w:sz w:val="22"/>
          <w:u w:val="none"/>
        </w:rPr>
        <w:t>) provenant de fonds lui appartenant à titre personnel.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Sophie 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BERNARD</w:t>
      </w:r>
      <w:r>
        <w:rPr>
          <w:rFonts w:ascii="Times New Roman" w:hAnsi="Times New Roman" w:cs="Times New Roman"/>
          <w:rFonts w:ascii="Times New Roman" w:hAnsi="Times New Roman"/>
          <w:b w:val="0"/>
          <w:i w:val="0"/>
          <w:sz w:val="22"/>
          <w:u w:val="none"/>
        </w:rPr>
        <w:t xml:space="preserve"> apporte </w:t>
      </w:r>
      <w:r>
        <w:rPr>
          <w:rFonts w:ascii="Times New Roman" w:hAnsi="Times New Roman" w:cs="Times New Roman"/>
          <w:rFonts w:ascii="Times New Roman" w:hAnsi="Times New Roman"/>
          <w:b w:val="0"/>
          <w:i w:val="0"/>
          <w:sz w:val="22"/>
          <w:u w:val="none"/>
        </w:rPr>
        <w:t>sa quote-part</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0</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EUR</w:t>
      </w:r>
      <w:r>
        <w:rPr>
          <w:rFonts w:ascii="Times New Roman" w:hAnsi="Times New Roman" w:cs="Times New Roman"/>
          <w:rFonts w:ascii="Times New Roman" w:hAnsi="Times New Roman"/>
          <w:b w:val="0"/>
          <w:i w:val="0"/>
          <w:sz w:val="22"/>
          <w:u w:val="none"/>
        </w:rPr>
        <w:t>) provenant de fonds lui appartenant à titre personnel.</w:t>
      </w:r>
    </w:p>
    <w:p>
      <w:pPr>
        <w:spacing w:after="0" w:before="0"/>
        <w:ind w:firstLine="709"/>
        <w:jc w:val="both"/>
      </w:pPr>
      <w:r>
        <w:rPr>
          <w:rFonts w:ascii="Times New Roman" w:hAnsi="Times New Roman" w:cs="Times New Roman"/>
          <w:rFonts w:ascii="Times New Roman" w:hAnsi="Times New Roman"/>
          <w:b/>
          <w:i w:val="0"/>
          <w:sz w:val="22"/>
          <w:u w:val="none"/>
        </w:rPr>
        <w:t>Fonds empruntés</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financement personnel s'ajoute un financement extérieur à concurrence d'une somme empruntée pour un montant de </w:t>
      </w:r>
      <w:r>
        <w:rPr>
          <w:rFonts w:ascii="Times New Roman" w:hAnsi="Times New Roman" w:cs="Times New Roman"/>
          <w:rFonts w:ascii="Times New Roman" w:hAnsi="Times New Roman"/>
          <w:b/>
          <w:i w:val="0"/>
          <w:sz w:val="22"/>
          <w:u w:val="none"/>
        </w:rPr>
        <w:t>deux cent quarante-quatre mille neuf cent soixante-quatre euros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244 964</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EUR</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val="0"/>
          <w:i w:val="0"/>
          <w:sz w:val="22"/>
          <w:u w:val="none"/>
        </w:rPr>
        <w:t xml:space="preserve"> auprès </w:t>
      </w:r>
      <w:r>
        <w:rPr>
          <w:rFonts w:ascii="Times New Roman" w:hAnsi="Times New Roman" w:cs="Times New Roman"/>
          <w:rFonts w:ascii="Times New Roman" w:hAnsi="Times New Roman"/>
          <w:b w:val="0"/>
          <w:i w:val="0"/>
          <w:sz w:val="22"/>
          <w:u w:val="none"/>
        </w:rPr>
        <w:t>CAISSE REGIONALE DE CREDIT AGRICOLE MUTUEL LOIRE HAUTE-LOIRE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sont, au titre de l'obligation à la dette, solidaires de leur remboursement.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prise en charge de ces remboursements sera assurée par eux de la façon suivante : </w:t>
      </w:r>
      <w:r>
        <w:rPr>
          <w:rFonts w:ascii="Times New Roman" w:hAnsi="Times New Roman" w:cs="Times New Roman"/>
          <w:rFonts w:ascii="Times New Roman" w:hAnsi="Times New Roman"/>
          <w:b/>
          <w:i w:val="0"/>
          <w:sz w:val="22"/>
          <w:u w:val="none"/>
        </w:rPr>
        <w:t>Monsieur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Jean Philippe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MARTIN</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i w:val="0"/>
          <w:sz w:val="22"/>
          <w:u w:val="none"/>
        </w:rPr>
        <w:t>Madame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Sophie Anne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BERNARD</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Cette convention est inopposable au créancier compte tenu de la solidarité rappelée ci-dessus.</w:t>
      </w:r>
    </w:p>
    <w:p>
      <w:pPr>
        <w:spacing w:after="0" w:before="0"/>
        <w:ind w:firstLine="709"/>
        <w:jc w:val="both"/>
      </w:pPr>
      <w:r>
        <w:rPr>
          <w:rFonts w:ascii="Times New Roman" w:hAnsi="Times New Roman" w:cs="Times New Roman"/>
          <w:rFonts w:ascii="Times New Roman" w:hAnsi="Times New Roman"/>
          <w:b w:val="0"/>
          <w:i w:val="0"/>
          <w:sz w:val="22"/>
          <w:u w:val="none"/>
        </w:rPr>
        <w:t>S'il est dérogé à cette convention de répartition, il en sera tenu compte au jour de la liquidation de cette indivision, sous réserve d'en justifier à cette date.</w:t>
      </w:r>
    </w:p>
    <w:p>
      <w:pPr>
        <w:spacing w:after="0" w:before="0"/>
        <w:ind w:firstLine="709"/>
        <w:jc w:val="both"/>
      </w:pPr>
      <w:r>
        <w:rPr>
          <w:rFonts w:ascii="Times New Roman" w:hAnsi="Times New Roman" w:cs="Times New Roman"/>
          <w:rFonts w:ascii="Times New Roman" w:hAnsi="Times New Roman"/>
          <w:b w:val="0"/>
          <w:i w:val="0"/>
          <w:sz w:val="22"/>
          <w:u w:val="none"/>
        </w:rPr>
        <w:t>L'assurance décès-invalidité, dans la mesure où elle serait mise en œuvre, profitera en toute hypothèse à l'indivision et ne sera pas constitutive d'une créance.</w:t>
      </w:r>
    </w:p>
    <w:p>
      <w:pPr>
        <w:spacing w:after="0" w:before="0"/>
        <w:ind w:firstLine="709"/>
        <w:jc w:val="both"/>
      </w:pPr>
      <w:r>
        <w:rPr>
          <w:rFonts w:ascii="Times New Roman" w:hAnsi="Times New Roman" w:cs="Times New Roman"/>
          <w:rFonts w:ascii="Times New Roman" w:hAnsi="Times New Roman"/>
          <w:b w:val="0"/>
          <w:i w:val="0"/>
          <w:sz w:val="22"/>
          <w:u w:val="none"/>
        </w:rPr>
        <w:t>#### Prise en charge d'un financement extérieur ultérieur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financement extérieur ultérieur pour des travaux, il est conseillé aux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d'établir également une convention de ce type afin de prévenir toute difficulté lors de la liquidation de l'indivision. A défaut le financement sera présumé proportionnel aux quotités acquises.</w:t>
      </w:r>
    </w:p>
    <w:p>
      <w:pPr>
        <w:spacing w:after="0" w:before="0"/>
        <w:ind w:firstLine="709"/>
        <w:jc w:val="both"/>
      </w:pPr>
      <w:r>
        <w:rPr>
          <w:rFonts w:ascii="Times New Roman" w:hAnsi="Times New Roman" w:cs="Times New Roman"/>
          <w:rFonts w:ascii="Times New Roman" w:hAnsi="Times New Roman"/>
          <w:b w:val="0"/>
          <w:i w:val="0"/>
          <w:sz w:val="22"/>
          <w:u w:val="none"/>
        </w:rPr>
        <w:t>#### Prise en charge d'un financement personnel ultérieur</w:t>
      </w:r>
    </w:p>
    <w:p>
      <w:pPr>
        <w:spacing w:after="0" w:before="0"/>
        <w:ind w:firstLine="709"/>
        <w:jc w:val="both"/>
      </w:pPr>
      <w:r>
        <w:rPr>
          <w:rFonts w:ascii="Times New Roman" w:hAnsi="Times New Roman" w:cs="Times New Roman"/>
          <w:rFonts w:ascii="Times New Roman" w:hAnsi="Times New Roman"/>
          <w:b w:val="0"/>
          <w:i w:val="0"/>
          <w:sz w:val="22"/>
          <w:u w:val="none"/>
        </w:rPr>
        <w:t>Si l'un des indivisaires améliore l'état du bien indivis, ou si l'indivision retire un profit des dépenses nécessaires à la conservation de l'immeuble réalisées par l'un des indivisaires seul, ou pour un montant supérieur à sa part dans l'immeuble, il lui en sera tenu compte conformément aux dispositions de l'article 815-13 du Code civil.</w:t>
      </w:r>
    </w:p>
    <w:p>
      <w:pPr>
        <w:spacing w:after="0" w:before="0"/>
        <w:ind w:firstLine="709"/>
        <w:jc w:val="both"/>
      </w:pPr>
      <w:r>
        <w:rPr>
          <w:rFonts w:ascii="Times New Roman" w:hAnsi="Times New Roman" w:cs="Times New Roman"/>
          <w:rFonts w:ascii="Times New Roman" w:hAnsi="Times New Roman"/>
          <w:b w:val="0"/>
          <w:i w:val="0"/>
          <w:sz w:val="22"/>
          <w:u w:val="none"/>
        </w:rPr>
        <w:t>#### Industrie personnelle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fait observer que l'industrie personnelle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(leur travail) et celle de leurs ayants droit dans les travaux effectués, qu'ils soient d'entretien ou non, ne seront ni cause de créance ni cause d'indemnité.</w:t>
      </w:r>
    </w:p>
    <w:p>
      <w:pPr>
        <w:spacing w:after="0" w:before="0"/>
        <w:ind w:firstLine="709"/>
        <w:jc w:val="both"/>
      </w:pPr>
      <w:r>
        <w:rPr>
          <w:rFonts w:ascii="Times New Roman" w:hAnsi="Times New Roman" w:cs="Times New Roman"/>
          <w:rFonts w:ascii="Times New Roman" w:hAnsi="Times New Roman"/>
          <w:b w:val="0"/>
          <w:i w:val="0"/>
          <w:sz w:val="22"/>
          <w:u w:val="none"/>
        </w:rPr>
        <w:t>#### Vie courante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dépenses d'entretien, les charges courantes, les assurances, les impôts locaux, taxes et autres directement liés à l'usage de l'immeuble, seront supportés, au titre de l'obligation à la dette, par 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sous la même proportionnalité que leurs droits de propriété, sauf à tenir compte de la solidarité en matière fiscale. Il sera tenu compte de la contribution effective de chacun d'entre eux lors de la liquidation de l'indivision, à charge pour le demandeur d'en justifier.</w:t>
      </w:r>
    </w:p>
    <w:p>
      <w:pPr>
        <w:spacing w:after="0" w:before="0"/>
        <w:ind w:firstLine="709"/>
        <w:jc w:val="both"/>
      </w:pPr>
      <w:r>
        <w:rPr>
          <w:rFonts w:ascii="Times New Roman" w:hAnsi="Times New Roman" w:cs="Times New Roman"/>
          <w:rFonts w:ascii="Times New Roman" w:hAnsi="Times New Roman"/>
          <w:b w:val="0"/>
          <w:i w:val="0"/>
          <w:sz w:val="22"/>
          <w:u w:val="none"/>
        </w:rPr>
        <w:t>#### 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Il conviendra de distinguer si les sommes empruntées lors de l'acquisition seront ou non remboursées au moment de la revente.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pour la répartition du prix de revente,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seront prélevés sur le prix de vente : l'impôt sur la plus-value éventuelle, les impôts locaux et taxes exigibles ou à valoir, le solde des sommes empruntées, en capital, intérêts et accessoires, ainsi que les charges de toutes sortes exigibles ou estimées liées au bien indivis et à son utilisation, en ce compris le cas échéant les frais attachés à la radiation des inscriptions.</w:t>
      </w:r>
    </w:p>
    <w:p>
      <w:pPr>
        <w:spacing w:after="0" w:before="0"/>
        <w:ind w:firstLine="709"/>
        <w:jc w:val="both"/>
      </w:pPr>
      <w:r>
        <w:rPr>
          <w:rFonts w:ascii="Times New Roman" w:hAnsi="Times New Roman" w:cs="Times New Roman"/>
          <w:rFonts w:ascii="Times New Roman" w:hAnsi="Times New Roman"/>
          <w:b w:val="0"/>
          <w:i w:val="0"/>
          <w:sz w:val="22"/>
          <w:u w:val="none"/>
        </w:rPr>
        <w:t>Le reliquat du prix sera ensuite réparti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attribuer une quote-part sur le disponible du prix de revente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Solde du prix multiplié par Apports personnels + montant des mensualités pris à sa charge divisé par le Total des apports + total des mensualités réglées.</w:t>
      </w:r>
    </w:p>
    <w:p>
      <w:pPr>
        <w:spacing w:after="0" w:before="0"/>
        <w:ind w:firstLine="709"/>
        <w:jc w:val="both"/>
      </w:pPr>
      <w:r>
        <w:rPr>
          <w:rFonts w:ascii="Times New Roman" w:hAnsi="Times New Roman" w:cs="Times New Roman"/>
          <w:rFonts w:ascii="Times New Roman" w:hAnsi="Times New Roman"/>
          <w:b w:val="0"/>
          <w:i w:val="0"/>
          <w:sz w:val="22"/>
          <w:u w:val="none"/>
        </w:rPr>
        <w:t>#### Répartition lors du partage</w:t>
      </w:r>
    </w:p>
    <w:p>
      <w:pPr>
        <w:spacing w:after="0" w:before="0"/>
        <w:ind w:firstLine="709"/>
        <w:jc w:val="both"/>
      </w:pPr>
      <w:r>
        <w:rPr>
          <w:rFonts w:ascii="Times New Roman" w:hAnsi="Times New Roman" w:cs="Times New Roman"/>
          <w:rFonts w:ascii="Times New Roman" w:hAnsi="Times New Roman"/>
          <w:b w:val="0"/>
          <w:i w:val="0"/>
          <w:sz w:val="22"/>
          <w:u w:val="none"/>
        </w:rPr>
        <w:t>Il conviendra là aussi de distinguer si les sommes empruntées lors de l'acquisition seront ou non remboursées au moment du partage.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par rapport à la valeur du bien au jour du partage pour déterminer la soulte,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les impôts locaux et taxes exigibles ou à valoir, le solde des sommes empruntées, en capital, intérêts et accessoires, ainsi que les charges de toutes sortes exigibles ou estimées liées au bien indivis et à son utilisation, seront déduits de la valeur du bien indivis au jour de ce partage, en ce compris le cas échéant les frais attachés à la radiation des inscriptions si l'attributaire venait à ne pas reprendre le prêt.</w:t>
      </w:r>
    </w:p>
    <w:p>
      <w:pPr>
        <w:spacing w:after="0" w:before="0"/>
        <w:ind w:firstLine="709"/>
        <w:jc w:val="both"/>
      </w:pPr>
      <w:r>
        <w:rPr>
          <w:rFonts w:ascii="Times New Roman" w:hAnsi="Times New Roman" w:cs="Times New Roman"/>
          <w:rFonts w:ascii="Times New Roman" w:hAnsi="Times New Roman"/>
          <w:b w:val="0"/>
          <w:i w:val="0"/>
          <w:sz w:val="22"/>
          <w:u w:val="none"/>
        </w:rPr>
        <w:t>La soulte sera déterminée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déterminer sa quote-part sur la valeur du bien indivis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Valeur nette du bien indivis multipliée par Apports personnels + montant des mensualités pris à sa charge divisée par le total des apports + total des mensualités réglées.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conventions sont acceptées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indivisaires.</w:t>
      </w:r>
    </w:p>
    <w:p>
      <w:pPr>
        <w:pStyle w:val="Heading3"/>
      </w:pPr>
      <w:r>
        <w:rPr>
          <w:rFonts w:ascii="Times New Roman" w:hAnsi="Times New Roman" w:cs="Times New Roman"/>
          <w:rFonts w:ascii="Times New Roman" w:hAnsi="Times New Roman"/>
          <w:sz w:val="22"/>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ont conclu, en vue de la réalisation de cette vente, </w:t>
      </w:r>
      <w:r>
        <w:rPr>
          <w:rFonts w:ascii="Times New Roman" w:hAnsi="Times New Roman" w:cs="Times New Roman"/>
          <w:rFonts w:ascii="Times New Roman" w:hAnsi="Times New Roman"/>
          <w:b w:val="0"/>
          <w:i w:val="0"/>
          <w:sz w:val="22"/>
          <w:u w:val="none"/>
        </w:rPr>
        <w:t>une promesse unilatérale de vente</w:t>
      </w:r>
      <w:r>
        <w:rPr>
          <w:rFonts w:ascii="Times New Roman" w:hAnsi="Times New Roman" w:cs="Times New Roman"/>
          <w:rFonts w:ascii="Times New Roman" w:hAnsi="Times New Roman"/>
          <w:b w:val="0"/>
          <w:i w:val="0"/>
          <w:sz w:val="22"/>
          <w:u w:val="none"/>
        </w:rPr>
        <w:t xml:space="preserve"> aux termes d'un acte reçu par </w:t>
      </w:r>
      <w:r>
        <w:rPr>
          <w:rFonts w:ascii="Times New Roman" w:hAnsi="Times New Roman" w:cs="Times New Roman"/>
          <w:rFonts w:ascii="Times New Roman" w:hAnsi="Times New Roman"/>
          <w:b w:val="0"/>
          <w:i w:val="0"/>
          <w:sz w:val="22"/>
          <w:u w:val="none"/>
        </w:rPr>
        <w:t>Maître Charlotte DIAZ</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15 octobre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sz w:val="22"/>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sz w:val="22"/>
        </w:rPr>
        <w:t>CONDITIONS ET DÉCLARATIONS GÉNÉRALES</w:t>
      </w:r>
    </w:p>
    <w:p>
      <w:pPr>
        <w:spacing w:after="0" w:before="0"/>
        <w:ind w:firstLine="709"/>
        <w:jc w:val="both"/>
      </w:pPr>
      <w:r>
        <w:rPr>
          <w:rFonts w:ascii="Times New Roman" w:hAnsi="Times New Roman" w:cs="Times New Roman"/>
          <w:rFonts w:ascii="Times New Roman" w:hAnsi="Times New Roman"/>
          <w:b w:val="0"/>
          <w:i w:val="0"/>
          <w:sz w:val="22"/>
          <w:u w:val="none"/>
        </w:rPr>
        <w:t>#### 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spacing w:after="0" w:before="0"/>
        <w:ind w:firstLine="709"/>
        <w:jc w:val="both"/>
      </w:pPr>
      <w:r>
        <w:rPr>
          <w:rFonts w:ascii="Times New Roman" w:hAnsi="Times New Roman" w:cs="Times New Roman"/>
          <w:rFonts w:ascii="Times New Roman" w:hAnsi="Times New Roman"/>
          <w:b w:val="0"/>
          <w:i w:val="0"/>
          <w:sz w:val="22"/>
          <w:u w:val="none"/>
        </w:rPr>
        <w:t>#### 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spacing w:after="0" w:before="0"/>
        <w:ind w:firstLine="709"/>
        <w:jc w:val="both"/>
      </w:pPr>
      <w:r>
        <w:rPr>
          <w:rFonts w:ascii="Times New Roman" w:hAnsi="Times New Roman" w:cs="Times New Roman"/>
          <w:rFonts w:ascii="Times New Roman" w:hAnsi="Times New Roman"/>
          <w:b w:val="0"/>
          <w:i w:val="0"/>
          <w:sz w:val="22"/>
          <w:u w:val="none"/>
        </w:rPr>
        <w:t>#### 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spacing w:after="0" w:before="0"/>
        <w:ind w:firstLine="709"/>
        <w:jc w:val="both"/>
      </w:pPr>
      <w:r>
        <w:rPr>
          <w:rFonts w:ascii="Times New Roman" w:hAnsi="Times New Roman" w:cs="Times New Roman"/>
          <w:rFonts w:ascii="Times New Roman" w:hAnsi="Times New Roman"/>
          <w:b w:val="0"/>
          <w:i w:val="0"/>
          <w:sz w:val="22"/>
          <w:u w:val="none"/>
        </w:rPr>
        <w:t>#### 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 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spacing w:after="0" w:before="0"/>
        <w:ind w:firstLine="709"/>
        <w:jc w:val="both"/>
      </w:pPr>
      <w:r>
        <w:rPr>
          <w:rFonts w:ascii="Times New Roman" w:hAnsi="Times New Roman" w:cs="Times New Roman"/>
          <w:rFonts w:ascii="Times New Roman" w:hAnsi="Times New Roman"/>
          <w:b w:val="0"/>
          <w:i w:val="0"/>
          <w:sz w:val="22"/>
          <w:u w:val="none"/>
        </w:rPr>
        <w:t>#### 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spacing w:after="0" w:before="0"/>
        <w:ind w:firstLine="709"/>
        <w:jc w:val="both"/>
      </w:pPr>
      <w:r>
        <w:rPr>
          <w:rFonts w:ascii="Times New Roman" w:hAnsi="Times New Roman" w:cs="Times New Roman"/>
          <w:rFonts w:ascii="Times New Roman" w:hAnsi="Times New Roman"/>
          <w:b w:val="0"/>
          <w:i w:val="0"/>
          <w:sz w:val="22"/>
          <w:u w:val="none"/>
        </w:rPr>
        <w:t>#### 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 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spacing w:after="0" w:before="0"/>
        <w:ind w:firstLine="709"/>
        <w:jc w:val="both"/>
      </w:pPr>
      <w:r>
        <w:rPr>
          <w:rFonts w:ascii="Times New Roman" w:hAnsi="Times New Roman" w:cs="Times New Roman"/>
          <w:rFonts w:ascii="Times New Roman" w:hAnsi="Times New Roman"/>
          <w:b w:val="0"/>
          <w:i w:val="0"/>
          <w:sz w:val="22"/>
          <w:u w:val="none"/>
        </w:rPr>
        <w:t>#### 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3"/>
      </w:pPr>
      <w:r>
        <w:rPr>
          <w:rFonts w:ascii="Times New Roman" w:hAnsi="Times New Roman" w:cs="Times New Roman"/>
          <w:rFonts w:ascii="Times New Roman" w:hAnsi="Times New Roman"/>
          <w:sz w:val="22"/>
        </w:rPr>
        <w:t>RAPPEL DES TEXTES EN MATIÈRE D'INDIVISION</w:t>
      </w:r>
    </w:p>
    <w:p>
      <w:pPr>
        <w:spacing w:after="0" w:before="0"/>
        <w:ind w:firstLine="709"/>
        <w:jc w:val="both"/>
      </w:pPr>
      <w:r>
        <w:rPr>
          <w:rFonts w:ascii="Times New Roman" w:hAnsi="Times New Roman" w:cs="Times New Roman"/>
          <w:rFonts w:ascii="Times New Roman" w:hAnsi="Times New Roman"/>
          <w:b w:val="0"/>
          <w:i w:val="0"/>
          <w:sz w:val="22"/>
          <w:u w:val="none"/>
        </w:rPr>
        <w:t>Les acquéreurs reconnaissent que le notaire les a parfaitement informés des dispositions légales applicables en matière d'indivision et plus particulièrement du droit de préemption reconnu aux indivisaires en matière de cession à titre onéreux à une personne étrangère à l'indivision.</w:t>
      </w:r>
    </w:p>
    <w:p>
      <w:pPr>
        <w:spacing w:after="0" w:before="0"/>
        <w:ind w:firstLine="709"/>
        <w:jc w:val="both"/>
      </w:pPr>
      <w:r>
        <w:rPr>
          <w:rFonts w:ascii="Times New Roman" w:hAnsi="Times New Roman" w:cs="Times New Roman"/>
          <w:rFonts w:ascii="Times New Roman" w:hAnsi="Times New Roman"/>
          <w:b w:val="0"/>
          <w:i w:val="0"/>
          <w:sz w:val="22"/>
          <w:u w:val="none"/>
        </w:rPr>
        <w:t>Pour compléter leur information sont rappelées, ci-après, les dispositions des articles 815, 815-3, 815-5-1, 815-14, 815-16, 815-17 et 815-18 du Code civil.</w:t>
      </w:r>
    </w:p>
    <w:p>
      <w:pPr>
        <w:spacing w:after="0" w:before="0"/>
        <w:ind w:firstLine="709"/>
        <w:jc w:val="both"/>
      </w:pPr>
      <w:r>
        <w:rPr>
          <w:rFonts w:ascii="Times New Roman" w:hAnsi="Times New Roman" w:cs="Times New Roman"/>
          <w:rFonts w:ascii="Times New Roman" w:hAnsi="Times New Roman"/>
          <w:b/>
          <w:i w:val="0"/>
          <w:sz w:val="22"/>
          <w:u w:val="none"/>
        </w:rPr>
        <w:t>Article 815</w:t>
      </w:r>
    </w:p>
    <w:p>
      <w:pPr>
        <w:spacing w:after="0" w:before="0"/>
        <w:ind w:firstLine="709"/>
        <w:jc w:val="both"/>
      </w:pPr>
      <w:r>
        <w:rPr>
          <w:rFonts w:ascii="Times New Roman" w:hAnsi="Times New Roman" w:cs="Times New Roman"/>
          <w:rFonts w:ascii="Times New Roman" w:hAnsi="Times New Roman"/>
          <w:b w:val="0"/>
          <w:i/>
          <w:sz w:val="22"/>
          <w:u w:val="none"/>
        </w:rPr>
        <w:t>"Nul ne peut être contraint à demeurer dans l'indivision et le partage peut toujours être provoqué, à moins qu'il n'y ait été sursis par jugement ou convention."</w:t>
      </w:r>
    </w:p>
    <w:p>
      <w:pPr>
        <w:spacing w:after="0" w:before="0"/>
        <w:ind w:firstLine="709"/>
        <w:jc w:val="both"/>
      </w:pPr>
      <w:r>
        <w:rPr>
          <w:rFonts w:ascii="Times New Roman" w:hAnsi="Times New Roman" w:cs="Times New Roman"/>
          <w:rFonts w:ascii="Times New Roman" w:hAnsi="Times New Roman"/>
          <w:b/>
          <w:i w:val="0"/>
          <w:sz w:val="22"/>
          <w:u w:val="none"/>
        </w:rPr>
        <w:t>Article 815-3</w:t>
      </w:r>
    </w:p>
    <w:p>
      <w:pPr>
        <w:spacing w:after="0" w:before="0"/>
        <w:ind w:firstLine="709"/>
        <w:jc w:val="both"/>
      </w:pPr>
      <w:r>
        <w:rPr>
          <w:rFonts w:ascii="Times New Roman" w:hAnsi="Times New Roman" w:cs="Times New Roman"/>
          <w:rFonts w:ascii="Times New Roman" w:hAnsi="Times New Roman"/>
          <w:b w:val="0"/>
          <w:i/>
          <w:sz w:val="22"/>
          <w:u w:val="none"/>
        </w:rPr>
        <w:t>"Le ou les indivisaires titulaires d'au moins deux tiers des droits indivis peuvent, à cette majorité :</w:t>
      </w:r>
    </w:p>
    <w:p>
      <w:pPr>
        <w:spacing w:after="0" w:before="0"/>
        <w:ind w:firstLine="709"/>
        <w:jc w:val="both"/>
      </w:pPr>
      <w:r>
        <w:rPr>
          <w:rFonts w:ascii="Times New Roman" w:hAnsi="Times New Roman" w:cs="Times New Roman"/>
          <w:rFonts w:ascii="Times New Roman" w:hAnsi="Times New Roman"/>
          <w:b w:val="0"/>
          <w:i w:val="0"/>
          <w:sz w:val="22"/>
          <w:u w:val="none"/>
        </w:rPr>
        <w:t>1° Effectuer les actes d'administration relatifs aux biens indivis ;</w:t>
      </w:r>
    </w:p>
    <w:p>
      <w:pPr>
        <w:spacing w:after="0" w:before="0"/>
        <w:ind w:firstLine="709"/>
        <w:jc w:val="both"/>
      </w:pPr>
      <w:r>
        <w:rPr>
          <w:rFonts w:ascii="Times New Roman" w:hAnsi="Times New Roman" w:cs="Times New Roman"/>
          <w:rFonts w:ascii="Times New Roman" w:hAnsi="Times New Roman"/>
          <w:b w:val="0"/>
          <w:i w:val="0"/>
          <w:sz w:val="22"/>
          <w:u w:val="none"/>
        </w:rPr>
        <w:t>2° Donner à l'un ou plusieurs des indivisaires ou à un tiers un mandat général d'administration ;</w:t>
      </w:r>
    </w:p>
    <w:p>
      <w:pPr>
        <w:spacing w:after="0" w:before="0"/>
        <w:ind w:firstLine="709"/>
        <w:jc w:val="both"/>
      </w:pPr>
      <w:r>
        <w:rPr>
          <w:rFonts w:ascii="Times New Roman" w:hAnsi="Times New Roman" w:cs="Times New Roman"/>
          <w:rFonts w:ascii="Times New Roman" w:hAnsi="Times New Roman"/>
          <w:b w:val="0"/>
          <w:i w:val="0"/>
          <w:sz w:val="22"/>
          <w:u w:val="none"/>
        </w:rPr>
        <w:t>3° Vendre les meubles indivis pour payer les dettes et charges de l'indivision ;</w:t>
      </w:r>
    </w:p>
    <w:p>
      <w:pPr>
        <w:spacing w:after="0" w:before="0"/>
        <w:ind w:firstLine="709"/>
        <w:jc w:val="both"/>
      </w:pPr>
      <w:r>
        <w:rPr>
          <w:rFonts w:ascii="Times New Roman" w:hAnsi="Times New Roman" w:cs="Times New Roman"/>
          <w:rFonts w:ascii="Times New Roman" w:hAnsi="Times New Roman"/>
          <w:b w:val="0"/>
          <w:i w:val="0"/>
          <w:sz w:val="22"/>
          <w:u w:val="none"/>
        </w:rPr>
        <w:t>4° Conclure et renouveler les baux autres que ceux portant sur un immeuble à usage agricole, commercial, industriel ou artisanal.</w:t>
      </w:r>
    </w:p>
    <w:p>
      <w:pPr>
        <w:spacing w:after="0" w:before="0"/>
        <w:ind w:firstLine="709"/>
        <w:jc w:val="both"/>
      </w:pPr>
      <w:r>
        <w:rPr>
          <w:rFonts w:ascii="Times New Roman" w:hAnsi="Times New Roman" w:cs="Times New Roman"/>
          <w:rFonts w:ascii="Times New Roman" w:hAnsi="Times New Roman"/>
          <w:b w:val="0"/>
          <w:i w:val="0"/>
          <w:sz w:val="22"/>
          <w:u w:val="none"/>
        </w:rPr>
        <w:t>Ils sont tenus d'en informer les autres indivisaires. A défaut, les décisions prises sont inopposables à ces derniers.</w:t>
      </w:r>
    </w:p>
    <w:p>
      <w:pPr>
        <w:spacing w:after="0" w:before="0"/>
        <w:ind w:firstLine="709"/>
        <w:jc w:val="both"/>
      </w:pPr>
      <w:r>
        <w:rPr>
          <w:rFonts w:ascii="Times New Roman" w:hAnsi="Times New Roman" w:cs="Times New Roman"/>
          <w:rFonts w:ascii="Times New Roman" w:hAnsi="Times New Roman"/>
          <w:b w:val="0"/>
          <w:i w:val="0"/>
          <w:sz w:val="22"/>
          <w:u w:val="none"/>
        </w:rPr>
        <w:t>Toutefois, le consentement de tous les indivisaires est requis pour effectuer tout acte qui ne ressortit pas à l'exploitation normale des biens indivis et pour effectuer tout acte de disposition autre que ceux visés au 3°.</w:t>
      </w:r>
    </w:p>
    <w:p>
      <w:pPr>
        <w:spacing w:after="0" w:before="0"/>
        <w:ind w:firstLine="709"/>
        <w:jc w:val="both"/>
      </w:pPr>
      <w:r>
        <w:rPr>
          <w:rFonts w:ascii="Times New Roman" w:hAnsi="Times New Roman" w:cs="Times New Roman"/>
          <w:rFonts w:ascii="Times New Roman" w:hAnsi="Times New Roman"/>
          <w:b w:val="0"/>
          <w:i w:val="0"/>
          <w:sz w:val="22"/>
          <w:u w:val="none"/>
        </w:rPr>
        <w:t>Si un indivisaire prend en main la gestion des biens indivis, au su des autres et néanmoins sans opposition de leur part, il est censé avoir reçu un mandat tacite, couvrant les actes d'administration mais non les actes de disposition ni la conclusion ou le renouvellement des baux."</w:t>
      </w:r>
    </w:p>
    <w:p>
      <w:pPr>
        <w:spacing w:after="0" w:before="0"/>
        <w:ind w:firstLine="709"/>
        <w:jc w:val="both"/>
      </w:pPr>
      <w:r>
        <w:rPr>
          <w:rFonts w:ascii="Times New Roman" w:hAnsi="Times New Roman" w:cs="Times New Roman"/>
          <w:rFonts w:ascii="Times New Roman" w:hAnsi="Times New Roman"/>
          <w:b/>
          <w:i w:val="0"/>
          <w:sz w:val="22"/>
          <w:u w:val="none"/>
        </w:rPr>
        <w:t>Article 815-5-1</w:t>
      </w:r>
    </w:p>
    <w:p>
      <w:pPr>
        <w:spacing w:after="0" w:before="0"/>
        <w:ind w:firstLine="709"/>
        <w:jc w:val="both"/>
      </w:pPr>
      <w:r>
        <w:rPr>
          <w:rFonts w:ascii="Times New Roman" w:hAnsi="Times New Roman" w:cs="Times New Roman"/>
          <w:rFonts w:ascii="Times New Roman" w:hAnsi="Times New Roman"/>
          <w:b w:val="0"/>
          <w:i/>
          <w:sz w:val="22"/>
          <w:u w:val="none"/>
        </w:rPr>
        <w:t>"Sauf en cas de démembrement de la propriété du bien ou si l'un des indivisaires se trouve dans l'un des cas prévus à l'article 836, l'aliénation d'un bien indivis peut être autorisée par le tribunal judiciaire, à la demande de l'un ou des indivisaires titulaires d'au moins deux tiers des droits indivis, suivant les conditions et modalités définies aux alinéas suivants.</w:t>
      </w:r>
    </w:p>
    <w:p>
      <w:pPr>
        <w:spacing w:after="0" w:before="0"/>
        <w:ind w:firstLine="709"/>
        <w:jc w:val="both"/>
      </w:pPr>
      <w:r>
        <w:rPr>
          <w:rFonts w:ascii="Times New Roman" w:hAnsi="Times New Roman" w:cs="Times New Roman"/>
          <w:rFonts w:ascii="Times New Roman" w:hAnsi="Times New Roman"/>
          <w:b w:val="0"/>
          <w:i w:val="0"/>
          <w:sz w:val="22"/>
          <w:u w:val="none"/>
        </w:rPr>
        <w:t>Le ou les indivisaires titulaires d'au moins deux tiers des droits indivis expriment devant un notaire, à cette majorité, leur intention de procéder à l'aliénation du bien indivis.</w:t>
      </w:r>
    </w:p>
    <w:p>
      <w:pPr>
        <w:spacing w:after="0" w:before="0"/>
        <w:ind w:firstLine="709"/>
        <w:jc w:val="both"/>
      </w:pPr>
      <w:r>
        <w:rPr>
          <w:rFonts w:ascii="Times New Roman" w:hAnsi="Times New Roman" w:cs="Times New Roman"/>
          <w:rFonts w:ascii="Times New Roman" w:hAnsi="Times New Roman"/>
          <w:b w:val="0"/>
          <w:i w:val="0"/>
          <w:sz w:val="22"/>
          <w:u w:val="none"/>
        </w:rPr>
        <w:t>Dans le délai d'un mois suivant son recueil, le notaire fait signifier cette intention aux autres indivisaires. Si l'un ou plusieurs des indivisaires s'opposent à l'aliénation du bien indivis ou ne se manifestent pas dans un délai de trois mois à compter de la signification, le notaire le constate par procès-verbal.</w:t>
      </w:r>
    </w:p>
    <w:p>
      <w:pPr>
        <w:spacing w:after="0" w:before="0"/>
        <w:ind w:firstLine="709"/>
        <w:jc w:val="both"/>
      </w:pPr>
      <w:r>
        <w:rPr>
          <w:rFonts w:ascii="Times New Roman" w:hAnsi="Times New Roman" w:cs="Times New Roman"/>
          <w:rFonts w:ascii="Times New Roman" w:hAnsi="Times New Roman"/>
          <w:b w:val="0"/>
          <w:i w:val="0"/>
          <w:sz w:val="22"/>
          <w:u w:val="none"/>
        </w:rPr>
        <w:t>Dans ce cas, le tribunal judiciaire peut autoriser l'aliénation du bien indivis si celle-ci ne porte pas une atteinte excessive aux droits des autres indivisaires.</w:t>
      </w:r>
    </w:p>
    <w:p>
      <w:pPr>
        <w:spacing w:after="0" w:before="0"/>
        <w:ind w:firstLine="709"/>
        <w:jc w:val="both"/>
      </w:pPr>
      <w:r>
        <w:rPr>
          <w:rFonts w:ascii="Times New Roman" w:hAnsi="Times New Roman" w:cs="Times New Roman"/>
          <w:rFonts w:ascii="Times New Roman" w:hAnsi="Times New Roman"/>
          <w:b w:val="0"/>
          <w:i w:val="0"/>
          <w:sz w:val="22"/>
          <w:u w:val="none"/>
        </w:rPr>
        <w:t>Cette aliénation s'effectue par licitation. Les sommes qui en sont retirées ne peuvent faire l'objet d'un remploi sauf pour payer les dettes et charges de l'indivision.</w:t>
      </w:r>
    </w:p>
    <w:p>
      <w:pPr>
        <w:spacing w:after="0" w:before="0"/>
        <w:ind w:firstLine="709"/>
        <w:jc w:val="both"/>
      </w:pPr>
      <w:r>
        <w:rPr>
          <w:rFonts w:ascii="Times New Roman" w:hAnsi="Times New Roman" w:cs="Times New Roman"/>
          <w:rFonts w:ascii="Times New Roman" w:hAnsi="Times New Roman"/>
          <w:b w:val="0"/>
          <w:i w:val="0"/>
          <w:sz w:val="22"/>
          <w:u w:val="none"/>
        </w:rPr>
        <w:t>L'aliénation effectuée dans les conditions fixées par l'autorisation du tribunal judiciaire est opposable à l'indivisaire dont le consentement a fait défaut, sauf si l'intention d'aliéner le bien du ou des indivisaires titulaires d'au moins deux tiers des droits indivis ne lui avait pas été signifiée selon les modalités prévues au troisième alinéa."</w:t>
      </w:r>
    </w:p>
    <w:p>
      <w:pPr>
        <w:spacing w:after="0" w:before="0"/>
        <w:ind w:firstLine="709"/>
        <w:jc w:val="both"/>
      </w:pPr>
      <w:r>
        <w:rPr>
          <w:rFonts w:ascii="Times New Roman" w:hAnsi="Times New Roman" w:cs="Times New Roman"/>
          <w:rFonts w:ascii="Times New Roman" w:hAnsi="Times New Roman"/>
          <w:b/>
          <w:i w:val="0"/>
          <w:sz w:val="22"/>
          <w:u w:val="none"/>
        </w:rPr>
        <w:t>Article 815-14</w:t>
      </w:r>
    </w:p>
    <w:p>
      <w:pPr>
        <w:spacing w:after="0" w:before="0"/>
        <w:ind w:firstLine="709"/>
        <w:jc w:val="both"/>
      </w:pPr>
      <w:r>
        <w:rPr>
          <w:rFonts w:ascii="Times New Roman" w:hAnsi="Times New Roman" w:cs="Times New Roman"/>
          <w:rFonts w:ascii="Times New Roman" w:hAnsi="Times New Roman"/>
          <w:b w:val="0"/>
          <w:i/>
          <w:sz w:val="22"/>
          <w:u w:val="none"/>
        </w:rPr>
        <w:t>"L'indivisaire qui entend céder, à titre onéreux, à une personne étrangère à l'indivision, tout ou partie de ses droits dans les biens indivis ou dans un ou plusieurs de ces biens est tenu de notifier par acte extrajudiciaire aux autres indivisaires le prix et les conditions de la cession projetée ainsi que les nom, domicile et profession de la personne qui se propose d'acquérir.</w:t>
      </w:r>
    </w:p>
    <w:p>
      <w:pPr>
        <w:spacing w:after="0" w:before="0"/>
        <w:ind w:firstLine="709"/>
        <w:jc w:val="both"/>
      </w:pPr>
      <w:r>
        <w:rPr>
          <w:rFonts w:ascii="Times New Roman" w:hAnsi="Times New Roman" w:cs="Times New Roman"/>
          <w:rFonts w:ascii="Times New Roman" w:hAnsi="Times New Roman"/>
          <w:b w:val="0"/>
          <w:i w:val="0"/>
          <w:sz w:val="22"/>
          <w:u w:val="none"/>
        </w:rPr>
        <w:t>Tout indivisaire peut, dans le délai d'un mois qui suit cette notification, faire connaître au cédant, par acte extrajudiciaire, qu'il exerce un droit de préemption aux prix et conditions qui lui ont été notifiés.</w:t>
      </w:r>
    </w:p>
    <w:p>
      <w:pPr>
        <w:spacing w:after="0" w:before="0"/>
        <w:ind w:firstLine="709"/>
        <w:jc w:val="both"/>
      </w:pPr>
      <w:r>
        <w:rPr>
          <w:rFonts w:ascii="Times New Roman" w:hAnsi="Times New Roman" w:cs="Times New Roman"/>
          <w:rFonts w:ascii="Times New Roman" w:hAnsi="Times New Roman"/>
          <w:b w:val="0"/>
          <w:i w:val="0"/>
          <w:sz w:val="22"/>
          <w:u w:val="none"/>
        </w:rPr>
        <w:t>En cas de préemption, celui qui l'exerce dispose pour la réalisation de l'acte de vente d'un délai de deux mois à compter de la date d'envoi de sa réponse au vendeur. Passé ce délai, sa déclaration de préemption est nulle de plein droit, quinze jours après une mise en demeure restée sans effet, et sans préjudice des dommages-intérêts qui peuvent lui être demandés par le vendeur.</w:t>
      </w:r>
    </w:p>
    <w:p>
      <w:pPr>
        <w:spacing w:after="0" w:before="0"/>
        <w:ind w:firstLine="709"/>
        <w:jc w:val="both"/>
      </w:pPr>
      <w:r>
        <w:rPr>
          <w:rFonts w:ascii="Times New Roman" w:hAnsi="Times New Roman" w:cs="Times New Roman"/>
          <w:rFonts w:ascii="Times New Roman" w:hAnsi="Times New Roman"/>
          <w:b w:val="0"/>
          <w:i w:val="0"/>
          <w:sz w:val="22"/>
          <w:u w:val="none"/>
        </w:rPr>
        <w:t>Si plusieurs indivisaires exercent leur droit de préemption, ils sont réputés, sauf convention contraire, acquérir ensemble la portion mise en vente en proportion de leur part respective dans l'indivision.</w:t>
      </w:r>
    </w:p>
    <w:p>
      <w:pPr>
        <w:spacing w:after="0" w:before="0"/>
        <w:ind w:firstLine="709"/>
        <w:jc w:val="both"/>
      </w:pPr>
      <w:r>
        <w:rPr>
          <w:rFonts w:ascii="Times New Roman" w:hAnsi="Times New Roman" w:cs="Times New Roman"/>
          <w:rFonts w:ascii="Times New Roman" w:hAnsi="Times New Roman"/>
          <w:b w:val="0"/>
          <w:i w:val="0"/>
          <w:sz w:val="22"/>
          <w:u w:val="none"/>
        </w:rPr>
        <w:t>Lorsque des délais de paiement ont été consentis par le cédant, l'article 828 est applicable."</w:t>
      </w:r>
    </w:p>
    <w:p>
      <w:pPr>
        <w:spacing w:after="0" w:before="0"/>
        <w:ind w:firstLine="709"/>
        <w:jc w:val="both"/>
      </w:pPr>
      <w:r>
        <w:rPr>
          <w:rFonts w:ascii="Times New Roman" w:hAnsi="Times New Roman" w:cs="Times New Roman"/>
          <w:rFonts w:ascii="Times New Roman" w:hAnsi="Times New Roman"/>
          <w:b/>
          <w:i w:val="0"/>
          <w:sz w:val="22"/>
          <w:u w:val="none"/>
        </w:rPr>
        <w:t>Article 815-16</w:t>
      </w:r>
    </w:p>
    <w:p>
      <w:pPr>
        <w:spacing w:after="0" w:before="0"/>
        <w:ind w:firstLine="709"/>
        <w:jc w:val="both"/>
      </w:pPr>
      <w:r>
        <w:rPr>
          <w:rFonts w:ascii="Times New Roman" w:hAnsi="Times New Roman" w:cs="Times New Roman"/>
          <w:rFonts w:ascii="Times New Roman" w:hAnsi="Times New Roman"/>
          <w:b w:val="0"/>
          <w:i/>
          <w:sz w:val="22"/>
          <w:u w:val="none"/>
        </w:rPr>
        <w:t>"Est nulle toute cession ou toute licitation opérée au mépris des dispositions des articles 815-14 et 815-15. L'action en nullité se prescrit par cinq ans. Elle ne peut être exercée que par ceux à qui les notifications devaient être faites ou par leurs héritiers."</w:t>
      </w:r>
    </w:p>
    <w:p>
      <w:pPr>
        <w:spacing w:after="0" w:before="0"/>
        <w:ind w:firstLine="709"/>
        <w:jc w:val="both"/>
      </w:pPr>
      <w:r>
        <w:rPr>
          <w:rFonts w:ascii="Times New Roman" w:hAnsi="Times New Roman" w:cs="Times New Roman"/>
          <w:rFonts w:ascii="Times New Roman" w:hAnsi="Times New Roman"/>
          <w:b/>
          <w:i w:val="0"/>
          <w:sz w:val="22"/>
          <w:u w:val="none"/>
        </w:rPr>
        <w:t>Article 815-17</w:t>
      </w:r>
    </w:p>
    <w:p>
      <w:pPr>
        <w:spacing w:after="0" w:before="0"/>
        <w:ind w:firstLine="709"/>
        <w:jc w:val="both"/>
      </w:pPr>
      <w:r>
        <w:rPr>
          <w:rFonts w:ascii="Times New Roman" w:hAnsi="Times New Roman" w:cs="Times New Roman"/>
          <w:rFonts w:ascii="Times New Roman" w:hAnsi="Times New Roman"/>
          <w:b w:val="0"/>
          <w:i/>
          <w:sz w:val="22"/>
          <w:u w:val="none"/>
        </w:rPr>
        <w:t>"Les créanciers qui auraient pu agir sur les biens indivis avant qu'il y eût indivision, et ceux dont la créance résulte de la conservation ou de la gestion des biens indivis, seront payés par prélèvement sur l'actif avant le partage. Ils peuvent en outre poursuivre la saisie et la vente des biens indivis.</w:t>
      </w:r>
    </w:p>
    <w:p>
      <w:pPr>
        <w:spacing w:after="0" w:before="0"/>
        <w:ind w:firstLine="709"/>
        <w:jc w:val="both"/>
      </w:pPr>
      <w:r>
        <w:rPr>
          <w:rFonts w:ascii="Times New Roman" w:hAnsi="Times New Roman" w:cs="Times New Roman"/>
          <w:rFonts w:ascii="Times New Roman" w:hAnsi="Times New Roman"/>
          <w:b w:val="0"/>
          <w:i w:val="0"/>
          <w:sz w:val="22"/>
          <w:u w:val="none"/>
        </w:rPr>
        <w:t>Les créanciers personnels d'un indivisaire ne peuvent saisir sa part dans les biens indivis, meubles ou immeubles.</w:t>
      </w:r>
    </w:p>
    <w:p>
      <w:pPr>
        <w:spacing w:after="0" w:before="0"/>
        <w:ind w:firstLine="709"/>
        <w:jc w:val="both"/>
      </w:pPr>
      <w:r>
        <w:rPr>
          <w:rFonts w:ascii="Times New Roman" w:hAnsi="Times New Roman" w:cs="Times New Roman"/>
          <w:rFonts w:ascii="Times New Roman" w:hAnsi="Times New Roman"/>
          <w:b w:val="0"/>
          <w:i w:val="0"/>
          <w:sz w:val="22"/>
          <w:u w:val="none"/>
        </w:rPr>
        <w:t>Ils ont toutefois la faculté de provoquer le partage au nom de leur débiteur ou d'intervenir dans le partage provoqué par lui. Les coïndivisaires peuvent arrêter le cours de l'action en partage en acquittant l'obligation au nom et en l'acquit du débiteur. Ceux qui exerceront cette faculté se rembourseront par prélèvement sur les biens indivis."</w:t>
      </w:r>
    </w:p>
    <w:p>
      <w:pPr>
        <w:spacing w:after="0" w:before="0"/>
        <w:ind w:firstLine="709"/>
        <w:jc w:val="both"/>
      </w:pPr>
      <w:r>
        <w:rPr>
          <w:rFonts w:ascii="Times New Roman" w:hAnsi="Times New Roman" w:cs="Times New Roman"/>
          <w:rFonts w:ascii="Times New Roman" w:hAnsi="Times New Roman"/>
          <w:b/>
          <w:i w:val="0"/>
          <w:sz w:val="22"/>
          <w:u w:val="none"/>
        </w:rPr>
        <w:t>Article 815-18</w:t>
      </w:r>
    </w:p>
    <w:p>
      <w:pPr>
        <w:spacing w:after="0" w:before="0"/>
        <w:ind w:firstLine="709"/>
        <w:jc w:val="both"/>
      </w:pPr>
      <w:r>
        <w:rPr>
          <w:rFonts w:ascii="Times New Roman" w:hAnsi="Times New Roman" w:cs="Times New Roman"/>
          <w:rFonts w:ascii="Times New Roman" w:hAnsi="Times New Roman"/>
          <w:b w:val="0"/>
          <w:i/>
          <w:sz w:val="22"/>
          <w:u w:val="none"/>
        </w:rPr>
        <w:t>"Les dispositions des articles 815 à 815-17 sont applicables aux indivisions en usufruit en tant qu'elles sont compatibles avec les règles de l'usufruit.</w:t>
      </w:r>
    </w:p>
    <w:p>
      <w:pPr>
        <w:spacing w:after="0" w:before="0"/>
        <w:ind w:firstLine="709"/>
        <w:jc w:val="both"/>
      </w:pPr>
      <w:r>
        <w:rPr>
          <w:rFonts w:ascii="Times New Roman" w:hAnsi="Times New Roman" w:cs="Times New Roman"/>
          <w:rFonts w:ascii="Times New Roman" w:hAnsi="Times New Roman"/>
          <w:b w:val="0"/>
          <w:i w:val="0"/>
          <w:sz w:val="22"/>
          <w:u w:val="none"/>
        </w:rPr>
        <w:t>Les notifications prévues par les articles 815-14, 815-15 et 815-16 doivent être adressées à tout nu-propriétaire et à tout usufruitier. Mais un usufruitier ne peut acquérir une part en nue-propriété que si aucun nu-propriétaire ne s'en porte acquéreur; un nu-propriétaire ne peut acquérir une part en usufruit que si aucun usufruitier ne s'en porte acquéreur."</w:t>
      </w:r>
    </w:p>
    <w:p>
      <w:pPr>
        <w:pStyle w:val="Heading3"/>
      </w:pPr>
      <w:r>
        <w:rPr>
          <w:rFonts w:ascii="Times New Roman" w:hAnsi="Times New Roman" w:cs="Times New Roman"/>
          <w:rFonts w:ascii="Times New Roman" w:hAnsi="Times New Roman"/>
          <w:sz w:val="22"/>
        </w:rPr>
        <w:t>DISPOSITIONS RELATIVES À L'URBANISME</w:t>
      </w:r>
    </w:p>
    <w:p>
      <w:pPr>
        <w:spacing w:after="0" w:before="0"/>
        <w:ind w:firstLine="709"/>
        <w:jc w:val="both"/>
      </w:pPr>
      <w:r>
        <w:rPr>
          <w:rFonts w:ascii="Times New Roman" w:hAnsi="Times New Roman" w:cs="Times New Roman"/>
          <w:rFonts w:ascii="Times New Roman" w:hAnsi="Times New Roman"/>
          <w:b w:val="0"/>
          <w:i w:val="0"/>
          <w:sz w:val="22"/>
          <w:u w:val="none"/>
        </w:rPr>
        <w:t>#### Urbanisme</w:t>
      </w:r>
    </w:p>
    <w:p>
      <w:pPr>
        <w:spacing w:after="0" w:before="0"/>
        <w:ind w:firstLine="709"/>
        <w:jc w:val="both"/>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 n°5 : Note d'urbanisme</w:t>
      </w:r>
    </w:p>
    <w:p>
      <w:pPr>
        <w:pStyle w:val="Heading3"/>
      </w:pPr>
      <w:r>
        <w:rPr>
          <w:rFonts w:ascii="Times New Roman" w:hAnsi="Times New Roman" w:cs="Times New Roman"/>
          <w:rFonts w:ascii="Times New Roman" w:hAnsi="Times New Roman"/>
          <w:sz w:val="22"/>
        </w:rPr>
        <w:t>DISPOSITIONS RELATIVES À LA PRÉEMPTION</w:t>
      </w:r>
    </w:p>
    <w:p>
      <w:pPr>
        <w:spacing w:after="0" w:before="0"/>
        <w:ind w:firstLine="709"/>
        <w:jc w:val="both"/>
      </w:pPr>
      <w:r>
        <w:rPr>
          <w:rFonts w:ascii="Times New Roman" w:hAnsi="Times New Roman" w:cs="Times New Roman"/>
          <w:rFonts w:ascii="Times New Roman" w:hAnsi="Times New Roman"/>
          <w:b w:val="0"/>
          <w:i w:val="0"/>
          <w:sz w:val="22"/>
          <w:u w:val="none"/>
        </w:rPr>
        <w:t>#### Droit de préemption urbain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ne donne pas ouverture au droit de préemption urbain,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constituant un seul local à usage d'habitation avec ses locaux accessoires dans un bâtiment dont le règlement de copropriété a été publié depuis plus de dix ans au fichier immobilier (article L 211-4, a, du Code de l'urbanisme) ou, à défaut de règlement de copropriété, si l'état descriptif de division a été publié depuis plus de dix ans au fichier immobilier.</w:t>
      </w:r>
    </w:p>
    <w:p>
      <w:pPr>
        <w:spacing w:after="0" w:before="0"/>
        <w:ind w:firstLine="709"/>
        <w:jc w:val="both"/>
      </w:pPr>
      <w:r>
        <w:rPr>
          <w:rFonts w:ascii="Times New Roman" w:hAnsi="Times New Roman" w:cs="Times New Roman"/>
          <w:rFonts w:ascii="Times New Roman" w:hAnsi="Times New Roman"/>
          <w:b w:val="0"/>
          <w:i w:val="0"/>
          <w:sz w:val="22"/>
          <w:u w:val="none"/>
        </w:rPr>
        <w:t>En outre, il résulte des documents d'urbanisme obtenus que la commune n'a pas pris de délibération motivée pour déroger à ces dispositions légales.</w:t>
      </w:r>
    </w:p>
    <w:p>
      <w:pPr>
        <w:pStyle w:val="Heading3"/>
      </w:pPr>
      <w:r>
        <w:rPr>
          <w:rFonts w:ascii="Times New Roman" w:hAnsi="Times New Roman" w:cs="Times New Roman"/>
          <w:rFonts w:ascii="Times New Roman" w:hAnsi="Times New Roman"/>
          <w:sz w:val="22"/>
        </w:rPr>
        <w:t>DISPOSITIONS RELATIVES À LA CONSTRUCTION</w:t>
      </w:r>
    </w:p>
    <w:p>
      <w:pPr>
        <w:spacing w:after="0" w:before="0"/>
        <w:ind w:firstLine="709"/>
        <w:jc w:val="both"/>
      </w:pPr>
      <w:r>
        <w:rPr>
          <w:rFonts w:ascii="Times New Roman" w:hAnsi="Times New Roman" w:cs="Times New Roman"/>
          <w:rFonts w:ascii="Times New Roman" w:hAnsi="Times New Roman"/>
          <w:b w:val="0"/>
          <w:i w:val="0"/>
          <w:sz w:val="22"/>
          <w:u w:val="none"/>
        </w:rPr>
        <w:t>#### 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informé des dispositions des articles L 241-1 et L 242-1 du Code des assurances imposant à tout propriétaire de souscrire avant toute ouverture de chantier de construction et/ou travaux de gros oeuvre ou de second oeuvre, une assurance garantissant le paiement des travaux de réparation des dommages relevant de la garantie décennale, ainsi qu'une assurance couvrant sa responsabilité au cas où il interviendrait dans la construction en tant que concepteur, entrepreneur ou maître d'oeuvre.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travaux, compte tenu de la description faite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ne nécessitaient pas de déclaration préalable.</w:t>
      </w:r>
    </w:p>
    <w:p>
      <w:pPr>
        <w:spacing w:after="0" w:before="0"/>
        <w:ind w:firstLine="709"/>
        <w:jc w:val="both"/>
      </w:pPr>
      <w:r>
        <w:rPr>
          <w:rFonts w:ascii="Times New Roman" w:hAnsi="Times New Roman" w:cs="Times New Roman"/>
          <w:rFonts w:ascii="Times New Roman" w:hAnsi="Times New Roman"/>
          <w:b w:val="0"/>
          <w:i w:val="0"/>
          <w:sz w:val="22"/>
          <w:u w:val="none"/>
        </w:rPr>
        <w:t>Il est précisé qu'une déclaration préalable de travaux est nécessaire dans les cas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travaux qui créent entre 5 m² ou 20 m² de surface de plancher ou d'emprise au sol. Le seuil de 20 m² est porté à 40 m² si la construction est située dans une zone urbaine d'une commune couverte par un plan local d'urbanisme (PLU) ou un document assimilé. Toutefois, entre 20 et 40 m² de surface de plancher ou d'emprise au sol, un permis de construire est exigé si, après réalisation, la surface ou l'emprise totale de la construction dépasse 150 m²,</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travaux ayant pour effet de modifier l'aspect extérieur d'un bâtiment existant, à l'exception des travaux de ravalement,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travaux changeant la destination d'un bâtiment (par exemple, transformation d'un local commercial en local d'habitation) même lorsque celle-ci n'implique pas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confirme que les travaux effectués n'entrent pas dans l'un des cas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averti que celui qui a réalisé un ouvrage est réputé en connaître les vices et doit donc être assimilé à un sachant et cela même s'il n'a pas la qualité de professionnel. Si un dysfonctionnement, inconnu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et préexistant à la vente survient par la suite,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constitué de mauvaise foi.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alors un délai de deux ans pour agir à compter de la découverte du vice.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averti de l'importance de se faire fournir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toutes les factures de ces travaux.</w:t>
      </w:r>
    </w:p>
    <w:p>
      <w:pPr>
        <w:spacing w:after="0" w:before="0"/>
        <w:ind w:firstLine="709"/>
        <w:jc w:val="both"/>
      </w:pPr>
      <w:r>
        <w:rPr>
          <w:rFonts w:ascii="Times New Roman" w:hAnsi="Times New Roman" w:cs="Times New Roman"/>
          <w:rFonts w:ascii="Times New Roman" w:hAnsi="Times New Roman"/>
          <w:b w:val="0"/>
          <w:i w:val="0"/>
          <w:sz w:val="22"/>
          <w:u w:val="none"/>
        </w:rPr>
        <w:t>#### Rappel des articles 1792 et suivants</w:t>
      </w:r>
    </w:p>
    <w:p>
      <w:pPr>
        <w:spacing w:after="0" w:before="0"/>
        <w:ind w:firstLine="709"/>
        <w:jc w:val="both"/>
      </w:pPr>
      <w:r>
        <w:rPr>
          <w:rFonts w:ascii="Times New Roman" w:hAnsi="Times New Roman" w:cs="Times New Roman"/>
          <w:rFonts w:ascii="Times New Roman" w:hAnsi="Times New Roman"/>
          <w:b/>
          <w:i w:val="0"/>
          <w:sz w:val="22"/>
          <w:u w:val="none"/>
        </w:rPr>
        <w:t>Article 1792</w:t>
      </w:r>
    </w:p>
    <w:p>
      <w:pPr>
        <w:spacing w:after="0" w:before="0"/>
        <w:ind w:firstLine="709"/>
        <w:jc w:val="both"/>
      </w:pPr>
      <w:r>
        <w:rPr>
          <w:rFonts w:ascii="Times New Roman" w:hAnsi="Times New Roman" w:cs="Times New Roman"/>
          <w:rFonts w:ascii="Times New Roman" w:hAnsi="Times New Roman"/>
          <w:b w:val="0"/>
          <w:i/>
          <w:sz w:val="22"/>
          <w:u w:val="none"/>
        </w:rP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Une telle responsabilité n'a point lieu si le constructeur prouve que les dommages proviennent d'une cause étrangère.</w:t>
      </w:r>
    </w:p>
    <w:p>
      <w:pPr>
        <w:spacing w:after="0" w:before="0"/>
        <w:ind w:firstLine="709"/>
        <w:jc w:val="both"/>
      </w:pPr>
      <w:r>
        <w:rPr>
          <w:rFonts w:ascii="Times New Roman" w:hAnsi="Times New Roman" w:cs="Times New Roman"/>
          <w:rFonts w:ascii="Times New Roman" w:hAnsi="Times New Roman"/>
          <w:b/>
          <w:i w:val="0"/>
          <w:sz w:val="22"/>
          <w:u w:val="none"/>
        </w:rPr>
        <w:t>Article 1792-1</w:t>
      </w:r>
    </w:p>
    <w:p>
      <w:pPr>
        <w:spacing w:after="0" w:before="0"/>
        <w:ind w:firstLine="709"/>
        <w:jc w:val="both"/>
      </w:pPr>
      <w:r>
        <w:rPr>
          <w:rFonts w:ascii="Times New Roman" w:hAnsi="Times New Roman" w:cs="Times New Roman"/>
          <w:rFonts w:ascii="Times New Roman" w:hAnsi="Times New Roman"/>
          <w:b w:val="0"/>
          <w:i/>
          <w:sz w:val="22"/>
          <w:u w:val="none"/>
        </w:rPr>
        <w:t>Est réputé constructeur de l'ouvrage :</w:t>
      </w:r>
    </w:p>
    <w:p>
      <w:pPr>
        <w:spacing w:after="0" w:before="0"/>
        <w:ind w:firstLine="709"/>
        <w:jc w:val="both"/>
      </w:pPr>
      <w:r>
        <w:rPr>
          <w:rFonts w:ascii="Times New Roman" w:hAnsi="Times New Roman" w:cs="Times New Roman"/>
          <w:rFonts w:ascii="Times New Roman" w:hAnsi="Times New Roman"/>
          <w:b w:val="0"/>
          <w:i w:val="0"/>
          <w:sz w:val="22"/>
          <w:u w:val="none"/>
        </w:rPr>
        <w:t>1° Tout architecte, entrepreneur, technicien ou autre personne liée au maître de l'ouvrage par un contrat de louage d'ouvrage ;</w:t>
      </w:r>
    </w:p>
    <w:p>
      <w:pPr>
        <w:spacing w:after="0" w:before="0"/>
        <w:ind w:firstLine="709"/>
        <w:jc w:val="both"/>
      </w:pPr>
      <w:r>
        <w:rPr>
          <w:rFonts w:ascii="Times New Roman" w:hAnsi="Times New Roman" w:cs="Times New Roman"/>
          <w:rFonts w:ascii="Times New Roman" w:hAnsi="Times New Roman"/>
          <w:b w:val="0"/>
          <w:i w:val="0"/>
          <w:sz w:val="22"/>
          <w:u w:val="none"/>
        </w:rPr>
        <w:t>2° Toute personne qui vend, après achèvement, un ouvrage qu'elle a construit ou fait construire ;</w:t>
      </w:r>
    </w:p>
    <w:p>
      <w:pPr>
        <w:spacing w:after="0" w:before="0"/>
        <w:ind w:firstLine="709"/>
        <w:jc w:val="both"/>
      </w:pPr>
      <w:r>
        <w:rPr>
          <w:rFonts w:ascii="Times New Roman" w:hAnsi="Times New Roman" w:cs="Times New Roman"/>
          <w:rFonts w:ascii="Times New Roman" w:hAnsi="Times New Roman"/>
          <w:b w:val="0"/>
          <w:i w:val="0"/>
          <w:sz w:val="22"/>
          <w:u w:val="none"/>
        </w:rPr>
        <w:t>3° Toute personne qui, bien qu'agissant en qualité de mandataire du propriétaire de l'ouvrage, accomplit une mission assimilable à celle d'un locateur d'ouvrage.</w:t>
      </w:r>
    </w:p>
    <w:p>
      <w:pPr>
        <w:spacing w:after="0" w:before="0"/>
        <w:ind w:firstLine="709"/>
        <w:jc w:val="both"/>
      </w:pPr>
      <w:r>
        <w:rPr>
          <w:rFonts w:ascii="Times New Roman" w:hAnsi="Times New Roman" w:cs="Times New Roman"/>
          <w:rFonts w:ascii="Times New Roman" w:hAnsi="Times New Roman"/>
          <w:b/>
          <w:i w:val="0"/>
          <w:sz w:val="22"/>
          <w:u w:val="none"/>
        </w:rPr>
        <w:t>Article 1792-2</w:t>
      </w:r>
    </w:p>
    <w:p>
      <w:pPr>
        <w:spacing w:after="0" w:before="0"/>
        <w:ind w:firstLine="709"/>
        <w:jc w:val="both"/>
      </w:pPr>
      <w:r>
        <w:rPr>
          <w:rFonts w:ascii="Times New Roman" w:hAnsi="Times New Roman" w:cs="Times New Roman"/>
          <w:rFonts w:ascii="Times New Roman" w:hAnsi="Times New Roman"/>
          <w:b w:val="0"/>
          <w:i/>
          <w:sz w:val="22"/>
          <w:u w:val="none"/>
        </w:rPr>
        <w:t>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 Un élément d'équipement est considéré comme formant indissociablement corps avec l'un des ouvrages de viabilité, de fondation, d'ossature, de clos ou de couvert lorsque sa dépose, son démontage ou son remplacement ne peut s'effectuer sans détérioration ou enlèvement de matière de cet ouvrage.</w:t>
      </w:r>
    </w:p>
    <w:p>
      <w:pPr>
        <w:spacing w:after="0" w:before="0"/>
        <w:ind w:firstLine="709"/>
        <w:jc w:val="both"/>
      </w:pPr>
      <w:r>
        <w:rPr>
          <w:rFonts w:ascii="Times New Roman" w:hAnsi="Times New Roman" w:cs="Times New Roman"/>
          <w:rFonts w:ascii="Times New Roman" w:hAnsi="Times New Roman"/>
          <w:b/>
          <w:i w:val="0"/>
          <w:sz w:val="22"/>
          <w:u w:val="none"/>
        </w:rPr>
        <w:t>Article 1792-3</w:t>
      </w:r>
    </w:p>
    <w:p>
      <w:pPr>
        <w:spacing w:after="0" w:before="0"/>
        <w:ind w:firstLine="709"/>
        <w:jc w:val="both"/>
      </w:pPr>
      <w:r>
        <w:rPr>
          <w:rFonts w:ascii="Times New Roman" w:hAnsi="Times New Roman" w:cs="Times New Roman"/>
          <w:rFonts w:ascii="Times New Roman" w:hAnsi="Times New Roman"/>
          <w:b w:val="0"/>
          <w:i/>
          <w:sz w:val="22"/>
          <w:u w:val="none"/>
        </w:rPr>
        <w:t>Les autres éléments d'équipement de l'ouvrage font l'objet d'une garantie de bon fonctionnement d'une durée minimale de deux ans à compter de sa réception.</w:t>
      </w:r>
    </w:p>
    <w:p>
      <w:pPr>
        <w:spacing w:after="0" w:before="0"/>
        <w:ind w:firstLine="709"/>
        <w:jc w:val="both"/>
      </w:pPr>
      <w:r>
        <w:rPr>
          <w:rFonts w:ascii="Times New Roman" w:hAnsi="Times New Roman" w:cs="Times New Roman"/>
          <w:rFonts w:ascii="Times New Roman" w:hAnsi="Times New Roman"/>
          <w:b/>
          <w:i w:val="0"/>
          <w:sz w:val="22"/>
          <w:u w:val="none"/>
        </w:rPr>
        <w:t>Article 1792-4-1</w:t>
      </w:r>
    </w:p>
    <w:p>
      <w:pPr>
        <w:spacing w:after="0" w:before="0"/>
        <w:ind w:firstLine="709"/>
        <w:jc w:val="both"/>
      </w:pPr>
      <w:r>
        <w:rPr>
          <w:rFonts w:ascii="Times New Roman" w:hAnsi="Times New Roman" w:cs="Times New Roman"/>
          <w:rFonts w:ascii="Times New Roman" w:hAnsi="Times New Roman"/>
          <w:b w:val="0"/>
          <w:i/>
          <w:sz w:val="22"/>
          <w:u w:val="none"/>
        </w:rPr>
        <w:t>Toute personne physique ou morale dont la responsabilité peut être engagée en vertu des articles 1792 à 1792-4 du présent code est déchargée des responsabilités et garanties pesant sur elle, en application des articles 1792 à 1792-2, après dix ans à compter de la réception des travaux ou, en application de l'article 1792-3, à l'expiration du délai visé à cet article.</w:t>
      </w:r>
    </w:p>
    <w:p>
      <w:pPr>
        <w:spacing w:after="0" w:before="0"/>
        <w:ind w:firstLine="709"/>
        <w:jc w:val="both"/>
      </w:pPr>
      <w:r>
        <w:rPr>
          <w:rFonts w:ascii="Times New Roman" w:hAnsi="Times New Roman" w:cs="Times New Roman"/>
          <w:rFonts w:ascii="Times New Roman" w:hAnsi="Times New Roman"/>
          <w:b w:val="0"/>
          <w:i w:val="0"/>
          <w:sz w:val="22"/>
          <w:u w:val="none"/>
        </w:rPr>
        <w:t>#### Absence d'opération de construction ou de rénovation depuis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aucune construction, aucune rénovation et aucuns travaux entrant dans le champ d'application des dispositions des articles L 241-1 et L 242-1 du Code des assurances n'ont été effectués dans les dix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aucun élément constitutif d'ouvrage ou équipement indissociable de l'ouvrage au sens de l'article 1792 du Code civil n'a été réalisé dans ce délai.</w:t>
      </w:r>
    </w:p>
    <w:p>
      <w:pPr>
        <w:pStyle w:val="Heading3"/>
      </w:pPr>
      <w:r>
        <w:rPr>
          <w:rFonts w:ascii="Times New Roman" w:hAnsi="Times New Roman" w:cs="Times New Roman"/>
          <w:rFonts w:ascii="Times New Roman" w:hAnsi="Times New Roman"/>
          <w:sz w:val="22"/>
        </w:rPr>
        <w:t>DIAGNOSTICS</w:t>
      </w:r>
    </w:p>
    <w:p>
      <w:pPr>
        <w:spacing w:after="0" w:before="0"/>
        <w:ind w:firstLine="709"/>
        <w:jc w:val="both"/>
      </w:pPr>
      <w:r>
        <w:rPr>
          <w:rFonts w:ascii="Times New Roman" w:hAnsi="Times New Roman" w:cs="Times New Roman"/>
          <w:rFonts w:ascii="Times New Roman" w:hAnsi="Times New Roman"/>
          <w:b w:val="0"/>
          <w:i w:val="0"/>
          <w:sz w:val="22"/>
          <w:u w:val="none"/>
        </w:rPr>
        <w:t>#### Diagnostics techniques</w:t>
      </w:r>
    </w:p>
    <w:p>
      <w:pPr>
        <w:spacing w:after="0" w:before="0"/>
        <w:ind w:firstLine="709"/>
        <w:jc w:val="both"/>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 en conséquence il n'entre pas dans le champ d'application des dispositions des articles L 1334-5 et suivants du Code de la santé publique relatifs à la lutte contre la présence de plomb.</w:t>
      </w:r>
    </w:p>
    <w:p>
      <w:pPr>
        <w:spacing w:after="0" w:before="0"/>
        <w:ind w:firstLine="709"/>
        <w:jc w:val="both"/>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L'article L 1334-13 premier alinéa du Code de la santé publique commande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de faire établir un état constatant la présence ou l'absence de matériaux ou produits de la construction contenant de l'amiante.</w:t>
      </w:r>
    </w:p>
    <w:p>
      <w:pPr>
        <w:spacing w:after="0" w:before="0"/>
        <w:ind w:firstLine="709"/>
        <w:jc w:val="both"/>
      </w:pPr>
      <w:r>
        <w:rPr>
          <w:rFonts w:ascii="Times New Roman" w:hAnsi="Times New Roman" w:cs="Times New Roman"/>
          <w:rFonts w:ascii="Times New Roman" w:hAnsi="Times New Roman"/>
          <w:b w:val="0"/>
          <w:i w:val="0"/>
          <w:sz w:val="22"/>
          <w:u w:val="none"/>
        </w:rPr>
        <w:t>Cet état s'impose à tous les bâtiments dont le permis de construire a été délivré avant le 1er juillet 1997.</w:t>
      </w:r>
    </w:p>
    <w:p>
      <w:pPr>
        <w:spacing w:after="0" w:before="0"/>
        <w:ind w:firstLine="709"/>
        <w:jc w:val="both"/>
      </w:pPr>
      <w:r>
        <w:rPr>
          <w:rFonts w:ascii="Times New Roman" w:hAnsi="Times New Roman" w:cs="Times New Roman"/>
          <w:rFonts w:ascii="Times New Roman" w:hAnsi="Times New Roman"/>
          <w:b w:val="0"/>
          <w:i w:val="0"/>
          <w:sz w:val="22"/>
          <w:u w:val="none"/>
        </w:rPr>
        <w:t>Il doit être intégré au dossier de diagnostics techniques, annexé à l'avant-contrat, ou à défaut, à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Il a pour objet de repérer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matériaux et produits de la liste A (dits matériaux friables tels que les flocages, calorifugeages et faux plafonds),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les matériaux et produits de la liste B (dits matériaux non friables y compris les produits situés en extérieur tels que les matériaux de couverture, les bardages, les conduits de fumée etc.) de l'annexe 13-9 du Code de la santé publique.</w:t>
      </w:r>
    </w:p>
    <w:p>
      <w:pPr>
        <w:spacing w:after="0" w:before="0"/>
        <w:ind w:firstLine="709"/>
        <w:jc w:val="both"/>
      </w:pPr>
      <w:r>
        <w:rPr>
          <w:rFonts w:ascii="Times New Roman" w:hAnsi="Times New Roman" w:cs="Times New Roman"/>
          <w:rFonts w:ascii="Times New Roman" w:hAnsi="Times New Roman"/>
          <w:b w:val="0"/>
          <w:i w:val="0"/>
          <w:sz w:val="22"/>
          <w:u w:val="none"/>
        </w:rPr>
        <w:t>Des recommandations sont préconisées au propriétaire dans ce rapport en fonction du résultat du repérage et de l'état de conservation des éléments contenant de l'amiante.</w:t>
      </w:r>
    </w:p>
    <w:p>
      <w:pPr>
        <w:spacing w:after="0" w:before="0"/>
        <w:ind w:firstLine="709"/>
        <w:jc w:val="both"/>
      </w:pPr>
      <w:r>
        <w:rPr>
          <w:rFonts w:ascii="Times New Roman" w:hAnsi="Times New Roman" w:cs="Times New Roman"/>
          <w:rFonts w:ascii="Times New Roman" w:hAnsi="Times New Roman"/>
          <w:b/>
          <w:i w:val="0"/>
          <w:sz w:val="22"/>
          <w:u w:val="none"/>
        </w:rPr>
        <w:t>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qu'à sa connaissance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infesté par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lui-même procédé ni fait procéder par une entreprise à un traitement curatif contre les termites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n'est pas situé dans une zone contaminée par les termites.</w:t>
      </w:r>
    </w:p>
    <w:p>
      <w:pPr>
        <w:spacing w:after="0" w:before="0"/>
        <w:ind w:firstLine="709"/>
        <w:jc w:val="both"/>
      </w:pPr>
      <w:r>
        <w:rPr>
          <w:rFonts w:ascii="Times New Roman" w:hAnsi="Times New Roman" w:cs="Times New Roman"/>
          <w:rFonts w:ascii="Times New Roman" w:hAnsi="Times New Roman"/>
          <w:b/>
          <w:i w:val="0"/>
          <w:sz w:val="22"/>
          <w:u w:val="none"/>
        </w:rPr>
        <w:t>Mérules</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des dégâts pouvant être occasionnés par la présence de mérules dans un bâtiment, la mérule étant un champignon qui se développe dans l'obscurité, en espace non ventilé et en présence de bois humide.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constaté l'existence de zones de condensation interne, de moisissures ou encore de présence d'effritements ou de déformation dans le bois ou l'existence de filaments blancs à l'aspect cotonneux, tous des éléments parmi les plus révélateurs de la potentialité de la présence de ce champignon.</w:t>
      </w:r>
    </w:p>
    <w:p>
      <w:pPr>
        <w:spacing w:after="0" w:before="0"/>
        <w:ind w:firstLine="709"/>
        <w:jc w:val="both"/>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L 134-7 du Code de la construction et de l'habitation, la vente d'un bien immobilier à usage d'habitation comportant une installation intérieure d'électricité réalisée en tout ou partie depuis plus de quinze ans doit être précédée d'un diagnostic de celle-ci.</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dispose d'une installation intérieure électrique au moins pour partie de plus de quinze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fait établir un état de celle-ci par </w:t>
      </w:r>
      <w:r>
        <w:rPr>
          <w:rFonts w:ascii="Times New Roman" w:hAnsi="Times New Roman" w:cs="Times New Roman"/>
          <w:rFonts w:ascii="Times New Roman" w:hAnsi="Times New Roman"/>
          <w:b w:val="0"/>
          <w:i w:val="0"/>
          <w:sz w:val="22"/>
          <w:u w:val="none"/>
        </w:rPr>
        <w:t>ACHIN DIAG EXPERT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147 Chemin de la crouze-Le Haut Marjon - 69510 Soucieu en Jarrest</w:t>
      </w:r>
      <w:r>
        <w:rPr>
          <w:rFonts w:ascii="Times New Roman" w:hAnsi="Times New Roman" w:cs="Times New Roman"/>
          <w:rFonts w:ascii="Times New Roman" w:hAnsi="Times New Roman"/>
          <w:b w:val="0"/>
          <w:i w:val="0"/>
          <w:sz w:val="22"/>
          <w:u w:val="none"/>
        </w:rPr>
        <w:t xml:space="preserve"> répondant aux critères de l'article L 271-6 du Code de la construction et de l'habitation,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annexé.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conclusions sont les suivantes : </w:t>
      </w:r>
      <w:r>
        <w:rPr>
          <w:rFonts w:ascii="Times New Roman" w:hAnsi="Times New Roman" w:cs="Times New Roman"/>
          <w:rFonts w:ascii="Times New Roman" w:hAnsi="Times New Roman"/>
          <w:b/>
          <w:i/>
          <w:sz w:val="22"/>
          <w:u w:val="none"/>
        </w:rPr>
        <w:t>"</w:t>
      </w:r>
      <w:r>
        <w:rPr>
          <w:rFonts w:ascii="Times New Roman" w:hAnsi="Times New Roman" w:cs="Times New Roman"/>
          <w:rFonts w:ascii="Times New Roman" w:hAnsi="Times New Roman"/>
          <w:b/>
          <w:i/>
          <w:sz w:val="22"/>
          <w:u w:val="none"/>
        </w:rPr>
        <w:t>L'installation intérieure d'électricité comporte une ou des anomalies</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n°12 : Diagnostic électricité</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qu'en cas d'accidents électriques consécutifs aux anomalies pouvant être révélées par l'état annexé, sa responsabilité pourrait être engagée tant civilement que pénalement, de la même façon que la compagnie d'assurances pourrait invoquer le défaut d'aléa afin de refuser de garantir le sinistre électrique. D'une manière générale, le propriétaire au jour du sinistre est seul responsable de l'état du système électrique.</w:t>
      </w:r>
    </w:p>
    <w:p>
      <w:pPr>
        <w:spacing w:after="0" w:before="0"/>
        <w:ind w:firstLine="709"/>
        <w:jc w:val="both"/>
      </w:pPr>
      <w:r>
        <w:rPr>
          <w:rFonts w:ascii="Times New Roman" w:hAnsi="Times New Roman" w:cs="Times New Roman"/>
          <w:rFonts w:ascii="Times New Roman" w:hAnsi="Times New Roman"/>
          <w:b/>
          <w:i w:val="0"/>
          <w:sz w:val="22"/>
          <w:u w:val="none"/>
        </w:rPr>
        <w:t>Diagnostic de performance énergétique</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126-26 et suivants du Code de la construction et de l'habitation, un diagnostic de performance énergétique doit être établi.</w:t>
      </w:r>
    </w:p>
    <w:p>
      <w:pPr>
        <w:spacing w:after="0" w:before="0"/>
        <w:ind w:firstLine="709"/>
        <w:jc w:val="both"/>
      </w:pPr>
      <w:r>
        <w:rPr>
          <w:rFonts w:ascii="Times New Roman" w:hAnsi="Times New Roman" w:cs="Times New Roman"/>
          <w:rFonts w:ascii="Times New Roman" w:hAnsi="Times New Roman"/>
          <w:b w:val="0"/>
          <w:i w:val="0"/>
          <w:sz w:val="22"/>
          <w:u w:val="none"/>
        </w:rPr>
        <w:t>Ce diagnostic doit notamment permettre d'évaluer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caractéristiques du logement ainsi que le descriptif des équipements.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descriptif des équipements de chauffage, d'eau chaude sanitaire, de refroidissement, et indication des conditions d'utilisation et de gestion.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La valeur isolante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immobilier.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consommation d'énergie et l'émission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Il existe 7 classes d'énergie de "A"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économe) à "G"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énergivore).</w:t>
      </w:r>
    </w:p>
    <w:p>
      <w:pPr>
        <w:spacing w:after="0" w:before="0"/>
        <w:ind w:firstLine="709"/>
        <w:jc w:val="both"/>
      </w:pPr>
      <w:r>
        <w:rPr>
          <w:rFonts w:ascii="Times New Roman" w:hAnsi="Times New Roman" w:cs="Times New Roman"/>
          <w:rFonts w:ascii="Times New Roman" w:hAnsi="Times New Roman"/>
          <w:b w:val="0"/>
          <w:i w:val="0"/>
          <w:sz w:val="22"/>
          <w:u w:val="none"/>
        </w:rPr>
        <w:t>Les logements mis en location doivent respecter des critères de décence énergétique répondant à un niveau de performance minimal prévu par l'article 6 de la loi du 6 juillet 1989.</w:t>
      </w:r>
    </w:p>
    <w:p>
      <w:pPr>
        <w:spacing w:after="0" w:before="0"/>
        <w:ind w:firstLine="709"/>
        <w:jc w:val="both"/>
      </w:pPr>
      <w:r>
        <w:rPr>
          <w:rFonts w:ascii="Times New Roman" w:hAnsi="Times New Roman" w:cs="Times New Roman"/>
          <w:rFonts w:ascii="Times New Roman" w:hAnsi="Times New Roman"/>
          <w:b w:val="0"/>
          <w:i w:val="0"/>
          <w:sz w:val="22"/>
          <w:u w:val="none"/>
        </w:rPr>
        <w:t>Ainsi, depuis le 1er janvier 2025, la location des logements d'habitation avec un DPE de classe G est interdite. A compter du 1er janvier 2028, cette interdiction s'étendra aux logements de classe F, et à partir du 1er janvier 2034 aux logements de classe E. Aucune révision, majoration ou réévaluation du loyer n'est possible pour les logements d'habitation classés F ou G.</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établi par </w:t>
      </w:r>
      <w:r>
        <w:rPr>
          <w:rFonts w:ascii="Times New Roman" w:hAnsi="Times New Roman" w:cs="Times New Roman"/>
          <w:rFonts w:ascii="Times New Roman" w:hAnsi="Times New Roman"/>
          <w:b w:val="0"/>
          <w:i w:val="0"/>
          <w:sz w:val="22"/>
          <w:u w:val="none"/>
        </w:rPr>
        <w:t>ACHIN DIAG EXPERT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147 Chemin de la crouze-Le Haut Marjon - 69510 Soucieu en Jarrest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est annexé.</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Consommation énergétique : </w:t>
      </w:r>
      <w:r>
        <w:rPr>
          <w:rFonts w:ascii="Times New Roman" w:hAnsi="Times New Roman" w:cs="Times New Roman"/>
          <w:rFonts w:ascii="Times New Roman" w:hAnsi="Times New Roman"/>
          <w:b w:val="0"/>
          <w:i w:val="0"/>
          <w:sz w:val="22"/>
          <w:u w:val="none"/>
        </w:rPr>
        <w:t>174</w:t>
      </w:r>
      <w:r>
        <w:rPr>
          <w:rFonts w:ascii="Times New Roman" w:hAnsi="Times New Roman" w:cs="Times New Roman"/>
          <w:rFonts w:ascii="Times New Roman" w:hAnsi="Times New Roman"/>
          <w:b w:val="0"/>
          <w:i w:val="0"/>
          <w:sz w:val="22"/>
          <w:u w:val="none"/>
        </w:rPr>
        <w:t xml:space="preserve"> kWhep/m².an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Émissions de gaz à effet de serre : </w:t>
      </w:r>
      <w:r>
        <w:rPr>
          <w:rFonts w:ascii="Times New Roman" w:hAnsi="Times New Roman" w:cs="Times New Roman"/>
          <w:rFonts w:ascii="Times New Roman" w:hAnsi="Times New Roman"/>
          <w:b w:val="0"/>
          <w:i w:val="0"/>
          <w:sz w:val="22"/>
          <w:u w:val="none"/>
        </w:rPr>
        <w:t>25</w:t>
      </w:r>
      <w:r>
        <w:rPr>
          <w:rFonts w:ascii="Times New Roman" w:hAnsi="Times New Roman" w:cs="Times New Roman"/>
          <w:rFonts w:ascii="Times New Roman" w:hAnsi="Times New Roman"/>
          <w:b w:val="0"/>
          <w:i w:val="0"/>
          <w:sz w:val="22"/>
          <w:u w:val="none"/>
        </w:rPr>
        <w:t xml:space="preserve"> kg éqCO2/m².an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Numéro ADEME : </w:t>
      </w:r>
      <w:r>
        <w:rPr>
          <w:rFonts w:ascii="Times New Roman" w:hAnsi="Times New Roman" w:cs="Times New Roman"/>
          <w:rFonts w:ascii="Times New Roman" w:hAnsi="Times New Roman"/>
          <w:b w:val="0"/>
          <w:i w:val="0"/>
          <w:sz w:val="22"/>
          <w:u w:val="none"/>
        </w:rPr>
        <w:t>2569E1706974R</w:t>
      </w:r>
    </w:p>
    <w:p>
      <w:pPr>
        <w:spacing w:after="0" w:before="0"/>
        <w:ind w:firstLine="709"/>
        <w:jc w:val="both"/>
      </w:pPr>
      <w:r>
        <w:rPr>
          <w:rFonts w:ascii="Times New Roman" w:hAnsi="Times New Roman" w:cs="Times New Roman"/>
          <w:rFonts w:ascii="Times New Roman" w:hAnsi="Times New Roman"/>
          <w:b/>
          <w:i w:val="0"/>
          <w:sz w:val="22"/>
          <w:u w:val="none"/>
        </w:rPr>
        <w:t>Annexe n°13 : Diagnostic de performance énergétique</w:t>
      </w:r>
    </w:p>
    <w:p>
      <w:pPr>
        <w:spacing w:after="0" w:before="0"/>
        <w:ind w:firstLine="709"/>
        <w:jc w:val="both"/>
      </w:pPr>
      <w:r>
        <w:rPr>
          <w:rFonts w:ascii="Times New Roman" w:hAnsi="Times New Roman" w:cs="Times New Roman"/>
          <w:rFonts w:ascii="Times New Roman" w:hAnsi="Times New Roman"/>
          <w:b/>
          <w:i w:val="0"/>
          <w:sz w:val="22"/>
          <w:u w:val="none"/>
        </w:rPr>
        <w:t>Carnet d'information du logement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L 126-35-2 à L 126-35-11 et R 126-32 à R 126-34 du Code de la construction et de l'habitation, un carnet d'information du logement, s'il est à usage d'habitation, doit être établi par le propriétaire ou le maître de l'ouvrage lors de sa construction ou à l'occasion de la réalisation de travaux de rénovation ayant une incidence significative sur sa performance énergétique, sous réserve que ces constructions ou travaux aient débuté à compter du 1er janvier 2023.</w:t>
      </w:r>
    </w:p>
    <w:p>
      <w:pPr>
        <w:spacing w:after="0" w:before="0"/>
        <w:ind w:firstLine="709"/>
        <w:jc w:val="both"/>
      </w:pPr>
      <w:r>
        <w:rPr>
          <w:rFonts w:ascii="Times New Roman" w:hAnsi="Times New Roman" w:cs="Times New Roman"/>
          <w:rFonts w:ascii="Times New Roman" w:hAnsi="Times New Roman"/>
          <w:b w:val="0"/>
          <w:i w:val="0"/>
          <w:sz w:val="22"/>
          <w:u w:val="none"/>
        </w:rPr>
        <w:t>Le contenu de ce carnet est fixé par les textes susvisés.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été informé, par le notaire soussigné, de l'obligation d'établir ledit carnet et de le transmettre au nouveau propriétaire lors de toute mutation du logement tel qu'il est au moment de la mutation.</w:t>
      </w:r>
    </w:p>
    <w:p>
      <w:pPr>
        <w:spacing w:after="0" w:before="0"/>
        <w:ind w:firstLine="709"/>
        <w:jc w:val="both"/>
      </w:pPr>
      <w:r>
        <w:rPr>
          <w:rFonts w:ascii="Times New Roman" w:hAnsi="Times New Roman" w:cs="Times New Roman"/>
          <w:rFonts w:ascii="Times New Roman" w:hAnsi="Times New Roman"/>
          <w:b w:val="0"/>
          <w:i w:val="0"/>
          <w:sz w:val="22"/>
          <w:u w:val="none"/>
        </w:rPr>
        <w:t>Le nouveau propriétaire est informé qu'il devra mettre à jour ce carnet en cas d'extension du logement ou de travaux de rénovation ayant une incidence significative sur la performance énergétique celui-ci.</w:t>
      </w:r>
    </w:p>
    <w:p>
      <w:pPr>
        <w:spacing w:after="0" w:before="0"/>
        <w:ind w:firstLine="709"/>
        <w:jc w:val="both"/>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relevant de la loi n° 65-557 du 10 juillet 1965 fixant le statut de la copropriété des immeubles bâtis, il n'entre pas dans le champ d'application des dispositions de l'article L 126-28-1 du Code de la construction et de l'habitation, par suite il n'a pas été établi d'audit énergétique.</w:t>
      </w:r>
    </w:p>
    <w:p>
      <w:pPr>
        <w:spacing w:after="0" w:before="0"/>
        <w:ind w:firstLine="709"/>
        <w:jc w:val="both"/>
      </w:pPr>
      <w:r>
        <w:rPr>
          <w:rFonts w:ascii="Times New Roman" w:hAnsi="Times New Roman" w:cs="Times New Roman"/>
          <w:rFonts w:ascii="Times New Roman" w:hAnsi="Times New Roman"/>
          <w:b/>
          <w:i w:val="0"/>
          <w:sz w:val="22"/>
          <w:u w:val="none"/>
        </w:rPr>
        <w:t>Zone de bruit - Plan d'exposition au bruit des aérodromes</w:t>
      </w:r>
    </w:p>
    <w:p>
      <w:pPr>
        <w:spacing w:after="0" w:before="0"/>
        <w:ind w:firstLine="709"/>
        <w:jc w:val="both"/>
      </w:pPr>
      <w:r>
        <w:rPr>
          <w:rFonts w:ascii="Times New Roman" w:hAnsi="Times New Roman" w:cs="Times New Roman"/>
          <w:rFonts w:ascii="Times New Roman" w:hAnsi="Times New Roman"/>
          <w:b w:val="0"/>
          <w:i w:val="0"/>
          <w:sz w:val="22"/>
          <w:u w:val="none"/>
        </w:rPr>
        <w:t xml:space="preserve">L'immeuble ne se trouve pas dans une zone de bruit définie par un plan d'exposition au bruit des aérodromes, prévu par l'article L 112-6 du Code de l'urbanisme ainsi qu'il résulte de l'Etat des Nuisances Sonores Aériennes établi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et intégré à l'état des risques ci-après relaté.</w:t>
      </w:r>
    </w:p>
    <w:p>
      <w:pPr>
        <w:spacing w:after="0" w:before="0"/>
        <w:ind w:firstLine="709"/>
        <w:jc w:val="both"/>
      </w:pPr>
      <w:r>
        <w:rPr>
          <w:rFonts w:ascii="Times New Roman" w:hAnsi="Times New Roman" w:cs="Times New Roman"/>
          <w:rFonts w:ascii="Times New Roman" w:hAnsi="Times New Roman"/>
          <w:b/>
          <w:i w:val="0"/>
          <w:sz w:val="22"/>
          <w:u w:val="none"/>
        </w:rPr>
        <w:t>Radon</w:t>
      </w:r>
    </w:p>
    <w:p>
      <w:pPr>
        <w:spacing w:after="0" w:before="0"/>
        <w:ind w:firstLine="709"/>
        <w:jc w:val="both"/>
      </w:pPr>
      <w:r>
        <w:rPr>
          <w:rFonts w:ascii="Times New Roman" w:hAnsi="Times New Roman" w:cs="Times New Roman"/>
          <w:rFonts w:ascii="Times New Roman" w:hAnsi="Times New Roman"/>
          <w:b w:val="0"/>
          <w:i w:val="0"/>
          <w:sz w:val="22"/>
          <w:u w:val="none"/>
        </w:rPr>
        <w:t>Le radon est un gaz radioactif d'origine naturelle qui représente le tiers de l'exposition moyenne de la population française aux rayonnements ionisants.</w:t>
      </w:r>
    </w:p>
    <w:p>
      <w:pPr>
        <w:spacing w:after="0" w:before="0"/>
        <w:ind w:firstLine="709"/>
        <w:jc w:val="both"/>
      </w:pPr>
      <w:r>
        <w:rPr>
          <w:rFonts w:ascii="Times New Roman" w:hAnsi="Times New Roman" w:cs="Times New Roman"/>
          <w:rFonts w:ascii="Times New Roman" w:hAnsi="Times New Roman"/>
          <w:b w:val="0"/>
          <w:i w:val="0"/>
          <w:sz w:val="22"/>
          <w:u w:val="none"/>
        </w:rPr>
        <w:t>Il est issu de la désintégration de l'uranium et du radium présents dans la croûte terrestre.</w:t>
      </w:r>
    </w:p>
    <w:p>
      <w:pPr>
        <w:spacing w:after="0" w:before="0"/>
        <w:ind w:firstLine="709"/>
        <w:jc w:val="both"/>
      </w:pPr>
      <w:r>
        <w:rPr>
          <w:rFonts w:ascii="Times New Roman" w:hAnsi="Times New Roman" w:cs="Times New Roman"/>
          <w:rFonts w:ascii="Times New Roman" w:hAnsi="Times New Roman"/>
          <w:b w:val="0"/>
          <w:i w:val="0"/>
          <w:sz w:val="22"/>
          <w:u w:val="none"/>
        </w:rPr>
        <w:t>Il est présent partout à la surface de la planète et provient surtout des sous-sols granitiques et volcaniques ainsi que de certains matériaux de construction.</w:t>
      </w:r>
    </w:p>
    <w:p>
      <w:pPr>
        <w:spacing w:after="0" w:before="0"/>
        <w:ind w:firstLine="709"/>
        <w:jc w:val="both"/>
      </w:pPr>
      <w:r>
        <w:rPr>
          <w:rFonts w:ascii="Times New Roman" w:hAnsi="Times New Roman" w:cs="Times New Roman"/>
          <w:rFonts w:ascii="Times New Roman" w:hAnsi="Times New Roman"/>
          <w:b w:val="0"/>
          <w:i w:val="0"/>
          <w:sz w:val="22"/>
          <w:u w:val="none"/>
        </w:rPr>
        <w:t>Le radon peut s'accumuler dans les espaces clos, notamment dans les maisons. Les moyens pour diminuer les concentrations en radon dans les maisons sont simples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aérer et ventiler les bâtiments, les sous-sols et les vides sanitaires,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améliorer l'étanchéité des murs et planchers.</w:t>
      </w:r>
    </w:p>
    <w:p>
      <w:pPr>
        <w:spacing w:after="0" w:before="0"/>
        <w:ind w:firstLine="709"/>
        <w:jc w:val="both"/>
      </w:pPr>
      <w:r>
        <w:rPr>
          <w:rFonts w:ascii="Times New Roman" w:hAnsi="Times New Roman" w:cs="Times New Roman"/>
          <w:rFonts w:ascii="Times New Roman" w:hAnsi="Times New Roman"/>
          <w:b w:val="0"/>
          <w:i w:val="0"/>
          <w:sz w:val="22"/>
          <w:u w:val="none"/>
        </w:rPr>
        <w:t>L'activité volumique du radon (ou concentration de radon) à l'intérieur des habitations s'exprime en becquerel par mètre cube (Bq/m3).</w:t>
      </w:r>
    </w:p>
    <w:p>
      <w:pPr>
        <w:spacing w:after="0" w:before="0"/>
        <w:ind w:firstLine="709"/>
        <w:jc w:val="both"/>
      </w:pPr>
      <w:r>
        <w:rPr>
          <w:rFonts w:ascii="Times New Roman" w:hAnsi="Times New Roman" w:cs="Times New Roman"/>
          <w:rFonts w:ascii="Times New Roman" w:hAnsi="Times New Roman"/>
          <w:b w:val="0"/>
          <w:i w:val="0"/>
          <w:sz w:val="22"/>
          <w:u w:val="none"/>
        </w:rPr>
        <w:t>L'article L 1333-22 du Code de la santé publique dispose que les propriétaires ou exploitants d'immeubles bâtis situés dans les zones à potentiel radon où l'exposition au radon est susceptible de porter atteinte à la santé sont tenus de mettre en oeuvre les mesures nécessaires pour réduire cette exposition et préserver la santé des personnes.</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 l'article R 1333-29 de ce Code le territoire national est divisé en trois zones à potentiel radon définies en fonction des flux d'exhalation du radon des sols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1 : zones à potentiel radon faible.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2 : zones à potentiel radon faible mais sur lesquelles des facteurs géologiques particuliers peuvent faciliter le transfert du radon vers les bâtiments.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3 : zones à potentiel radon significatif.</w:t>
      </w:r>
    </w:p>
    <w:p>
      <w:pPr>
        <w:spacing w:after="0" w:before="0"/>
        <w:ind w:firstLine="709"/>
        <w:jc w:val="both"/>
      </w:pPr>
      <w:r>
        <w:rPr>
          <w:rFonts w:ascii="Times New Roman" w:hAnsi="Times New Roman" w:cs="Times New Roman"/>
          <w:rFonts w:ascii="Times New Roman" w:hAnsi="Times New Roman"/>
          <w:b w:val="0"/>
          <w:i w:val="0"/>
          <w:sz w:val="22"/>
          <w:u w:val="none"/>
        </w:rPr>
        <w:t>L'article R 125-23 5° du Code de l'environnement dispose que l'obligation d'information s'impose dans les zones à potentiel radon de niveau 3.</w:t>
      </w:r>
    </w:p>
    <w:p>
      <w:pPr>
        <w:spacing w:after="0" w:before="0"/>
        <w:ind w:firstLine="709"/>
        <w:jc w:val="both"/>
      </w:pPr>
      <w:r>
        <w:rPr>
          <w:rFonts w:ascii="Times New Roman" w:hAnsi="Times New Roman" w:cs="Times New Roman"/>
          <w:rFonts w:ascii="Times New Roman" w:hAnsi="Times New Roman"/>
          <w:b w:val="0"/>
          <w:i w:val="0"/>
          <w:sz w:val="22"/>
          <w:u w:val="none"/>
        </w:rPr>
        <w:t>La liste des communes réparties entre ces trois zones est fixée par un arrêté du 27 juin 2018.</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se trouvant </w:t>
      </w:r>
      <w:r>
        <w:rPr>
          <w:rFonts w:ascii="Times New Roman" w:hAnsi="Times New Roman" w:cs="Times New Roman"/>
          <w:rFonts w:ascii="Times New Roman" w:hAnsi="Times New Roman"/>
          <w:b/>
          <w:i w:val="0"/>
          <w:sz w:val="22"/>
          <w:u w:val="none"/>
        </w:rPr>
        <w:t>en zone 1 (faible),</w:t>
      </w:r>
      <w:r>
        <w:rPr>
          <w:rFonts w:ascii="Times New Roman" w:hAnsi="Times New Roman" w:cs="Times New Roman"/>
          <w:rFonts w:ascii="Times New Roman" w:hAnsi="Times New Roman"/>
          <w:b w:val="0"/>
          <w:i w:val="0"/>
          <w:sz w:val="22"/>
          <w:u w:val="none"/>
        </w:rPr>
        <w:t xml:space="preserve"> l'obligation d'information n'est pas nécessaire, ainsi qu'il résulte de l'état des risques ci-annexé.</w:t>
      </w:r>
    </w:p>
    <w:p>
      <w:pPr>
        <w:spacing w:after="0" w:before="0"/>
        <w:ind w:firstLine="709"/>
        <w:jc w:val="both"/>
      </w:pPr>
      <w:r>
        <w:rPr>
          <w:rFonts w:ascii="Times New Roman" w:hAnsi="Times New Roman" w:cs="Times New Roman"/>
          <w:rFonts w:ascii="Times New Roman" w:hAnsi="Times New Roman"/>
          <w:b w:val="0"/>
          <w:i w:val="0"/>
          <w:sz w:val="22"/>
          <w:u w:val="none"/>
        </w:rPr>
        <w:t>#### Diagnostics environnementaux</w:t>
      </w:r>
    </w:p>
    <w:p>
      <w:pPr>
        <w:spacing w:after="0" w:before="0"/>
        <w:ind w:firstLine="709"/>
        <w:jc w:val="both"/>
      </w:pPr>
      <w:r>
        <w:rPr>
          <w:rFonts w:ascii="Times New Roman" w:hAnsi="Times New Roman" w:cs="Times New Roman"/>
          <w:rFonts w:ascii="Times New Roman" w:hAnsi="Times New Roman"/>
          <w:b/>
          <w:i w:val="0"/>
          <w:sz w:val="22"/>
          <w:u w:val="none"/>
        </w:rPr>
        <w:t>Assainissement</w:t>
      </w:r>
    </w:p>
    <w:p>
      <w:pPr>
        <w:spacing w:after="0" w:before="0"/>
        <w:ind w:firstLine="709"/>
        <w:jc w:val="both"/>
      </w:pPr>
      <w:r>
        <w:rPr>
          <w:rFonts w:ascii="Times New Roman" w:hAnsi="Times New Roman" w:cs="Times New Roman"/>
          <w:rFonts w:ascii="Times New Roman" w:hAnsi="Times New Roman"/>
          <w:b/>
          <w:i w:val="0"/>
          <w:sz w:val="22"/>
          <w:u w:val="none"/>
        </w:rPr>
        <w:t>En ce qui concerne l'installation de l'ensemble immobilier dont dépendent les biens objet des présentes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est raccordé à un réseau d'assainissement collectif des eaux usées domestiques conformément aux dispositions de l'article L 1331-1 du Code de la santé publique.</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des articles L 1331-4 et L 1331-6 de ce Code, les parties sont informées que l'entretien et le bon fonctionnement des ouvrages permettant d'amener les eaux usées domestiques de l'immeuble à la partie publique sont soumis au contrôle de la commune, qui peut procéder sous astreinte et aux frais du syndicat des copropriétaires, répartis entre les copropriétaires en fonction de leur quote-part, aux travaux indispensables à ces effets.</w:t>
      </w:r>
    </w:p>
    <w:p>
      <w:pPr>
        <w:spacing w:after="0" w:before="0"/>
        <w:ind w:firstLine="709"/>
        <w:jc w:val="both"/>
      </w:pPr>
      <w:r>
        <w:rPr>
          <w:rFonts w:ascii="Times New Roman" w:hAnsi="Times New Roman" w:cs="Times New Roman"/>
          <w:rFonts w:ascii="Times New Roman" w:hAnsi="Times New Roman"/>
          <w:b w:val="0"/>
          <w:i w:val="0"/>
          <w:sz w:val="22"/>
          <w:u w:val="none"/>
        </w:rPr>
        <w:t>Il est, en outre, précisé que le système d'écoulement des eaux pluviales doit être distinct de l'installation d'évacuation des eaux usées, étant spécifié que le régime d'évacuation des eaux pluviales est fixé par le règlement sanitaire départemental.</w:t>
      </w:r>
    </w:p>
    <w:p>
      <w:pPr>
        <w:spacing w:after="0" w:before="0"/>
        <w:ind w:firstLine="709"/>
        <w:jc w:val="both"/>
      </w:pPr>
      <w:r>
        <w:rPr>
          <w:rFonts w:ascii="Times New Roman" w:hAnsi="Times New Roman" w:cs="Times New Roman"/>
          <w:rFonts w:ascii="Times New Roman" w:hAnsi="Times New Roman"/>
          <w:b w:val="0"/>
          <w:i w:val="0"/>
          <w:sz w:val="22"/>
          <w:u w:val="none"/>
        </w:rPr>
        <w:t>L'évacuation des eaux pluviales doit être assurée et maîtrisée en permanence, elles ne doivent pas être versées sur les fonds voisins et la voie publique.</w:t>
      </w:r>
    </w:p>
    <w:p>
      <w:pPr>
        <w:spacing w:after="0" w:before="0"/>
        <w:ind w:firstLine="709"/>
        <w:jc w:val="both"/>
      </w:pPr>
      <w:r>
        <w:rPr>
          <w:rFonts w:ascii="Times New Roman" w:hAnsi="Times New Roman" w:cs="Times New Roman"/>
          <w:rFonts w:ascii="Times New Roman" w:hAnsi="Times New Roman"/>
          <w:b/>
          <w:i w:val="0"/>
          <w:sz w:val="22"/>
          <w:u w:val="none"/>
        </w:rPr>
        <w:t>En ce qui concerne l'installation intérieure des biens vendus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vendu est relié aux canalisations collectives de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dont il dépend et qu'il ne constate pas de difficultés d'utilisation.</w:t>
      </w:r>
    </w:p>
    <w:p>
      <w:pPr>
        <w:spacing w:after="0" w:before="0"/>
        <w:ind w:firstLine="709"/>
        <w:jc w:val="both"/>
      </w:pPr>
      <w:r>
        <w:rPr>
          <w:rFonts w:ascii="Times New Roman" w:hAnsi="Times New Roman" w:cs="Times New Roman"/>
          <w:rFonts w:ascii="Times New Roman" w:hAnsi="Times New Roman"/>
          <w:b w:val="0"/>
          <w:i w:val="0"/>
          <w:sz w:val="22"/>
          <w:u w:val="none"/>
        </w:rPr>
        <w:t>Il précise, par ailleurs, qu'il n'existe pas d'installation de type "sanibroyeur" ou de toilettes chimiques.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informe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qu'à sa connaissance les ouvrages permettant d'amener les eaux usées domestiques de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à la partie publique ne présentent pas d'anomalie ni aucune difficulté particulière d'utilisation, et que l'évacuation des eaux pluviales s'effectue sans difficulté et sans nuisance.</w:t>
      </w:r>
    </w:p>
    <w:p>
      <w:pPr>
        <w:spacing w:after="0" w:before="0"/>
        <w:ind w:firstLine="709"/>
        <w:jc w:val="both"/>
      </w:pPr>
      <w:r>
        <w:rPr>
          <w:rFonts w:ascii="Times New Roman" w:hAnsi="Times New Roman" w:cs="Times New Roman"/>
          <w:rFonts w:ascii="Times New Roman" w:hAnsi="Times New Roman"/>
          <w:b/>
          <w:i w:val="0"/>
          <w:sz w:val="22"/>
          <w:u w:val="none"/>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des risques en date du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est annexé.</w:t>
      </w:r>
    </w:p>
    <w:p>
      <w:pPr>
        <w:spacing w:after="0" w:before="0"/>
        <w:ind w:firstLine="709"/>
        <w:jc w:val="both"/>
      </w:pPr>
      <w:r>
        <w:rPr>
          <w:rFonts w:ascii="Times New Roman" w:hAnsi="Times New Roman" w:cs="Times New Roman"/>
          <w:rFonts w:ascii="Times New Roman" w:hAnsi="Times New Roman"/>
          <w:b/>
          <w:i w:val="0"/>
          <w:sz w:val="22"/>
          <w:u w:val="none"/>
        </w:rPr>
        <w:t>Annexe n°14 : Etat des risques</w:t>
      </w:r>
    </w:p>
    <w:p>
      <w:pPr>
        <w:spacing w:after="0" w:before="0"/>
        <w:ind w:firstLine="709"/>
        <w:jc w:val="both"/>
      </w:pPr>
      <w:r>
        <w:rPr>
          <w:rFonts w:ascii="Times New Roman" w:hAnsi="Times New Roman" w:cs="Times New Roman"/>
          <w:rFonts w:ascii="Times New Roman" w:hAnsi="Times New Roman"/>
          <w:b/>
          <w:i w:val="0"/>
          <w:sz w:val="22"/>
          <w:u w:val="none"/>
        </w:rPr>
        <w:t>Absence de sinistres avec indemnisation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l'immeuble n'a pas subi de sinistres ayant donné lieu au versement d'une indemnité en application de l'article L 125-2 ou de l'article L 128-2 du Code des assurances.</w:t>
      </w:r>
    </w:p>
    <w:p>
      <w:pPr>
        <w:spacing w:after="0" w:before="0"/>
        <w:ind w:firstLine="709"/>
        <w:jc w:val="both"/>
      </w:pPr>
      <w:r>
        <w:rPr>
          <w:rFonts w:ascii="Times New Roman" w:hAnsi="Times New Roman" w:cs="Times New Roman"/>
          <w:rFonts w:ascii="Times New Roman" w:hAnsi="Times New Roman"/>
          <w:b/>
          <w:i w:val="0"/>
          <w:sz w:val="22"/>
          <w:u w:val="none"/>
        </w:rPr>
        <w:t>SITUATION ENVIRONNEMENTALE</w:t>
      </w:r>
    </w:p>
    <w:p>
      <w:pPr>
        <w:spacing w:after="0" w:before="0"/>
        <w:ind w:firstLine="709"/>
        <w:jc w:val="both"/>
      </w:pPr>
      <w:r>
        <w:rPr>
          <w:rFonts w:ascii="Times New Roman" w:hAnsi="Times New Roman" w:cs="Times New Roman"/>
          <w:rFonts w:ascii="Times New Roman" w:hAnsi="Times New Roman"/>
          <w:b/>
          <w:i w:val="0"/>
          <w:sz w:val="22"/>
          <w:u w:val="none"/>
        </w:rPr>
        <w:t>Consultation de bases de données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Les bases de données suivantes ont été consultées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anciens sites industriels et activités de service (BASIAS).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sites et sols pollués ou potentiellement pollués appelant une action des pouvoirs publics, à titre préventif ou curatif (BASOL).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aux risques naturels et technologiques (Géorisques).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des installations classées soumises à autorisation ou à enregistrement du ministère de l'Environnement, de l'énergie et de la mer.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dédiée aux anciens sites miniers d'uranium (Mimausa)</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sur les risques naturels GEODERIS.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base de données relative à la localisation des déchets radioactifs produits en France.</w:t>
      </w:r>
    </w:p>
    <w:p>
      <w:pPr>
        <w:spacing w:after="0" w:before="0"/>
        <w:ind w:firstLine="709"/>
        <w:jc w:val="both"/>
      </w:pPr>
      <w:r>
        <w:rPr>
          <w:rFonts w:ascii="Times New Roman" w:hAnsi="Times New Roman" w:cs="Times New Roman"/>
          <w:rFonts w:ascii="Times New Roman" w:hAnsi="Times New Roman"/>
          <w:b w:val="0"/>
          <w:i w:val="0"/>
          <w:sz w:val="22"/>
          <w:u w:val="none"/>
        </w:rPr>
        <w:t>Une copie de ces consultations est annexée.</w:t>
      </w:r>
    </w:p>
    <w:p>
      <w:pPr>
        <w:spacing w:after="0" w:before="0"/>
        <w:ind w:firstLine="709"/>
        <w:jc w:val="both"/>
      </w:pPr>
      <w:r>
        <w:rPr>
          <w:rFonts w:ascii="Times New Roman" w:hAnsi="Times New Roman" w:cs="Times New Roman"/>
          <w:rFonts w:ascii="Times New Roman" w:hAnsi="Times New Roman"/>
          <w:b/>
          <w:i w:val="0"/>
          <w:sz w:val="22"/>
          <w:u w:val="none"/>
        </w:rPr>
        <w:t>Annexe n°15 : Données environnementales</w:t>
      </w:r>
    </w:p>
    <w:p>
      <w:pPr>
        <w:pStyle w:val="Heading3"/>
      </w:pPr>
      <w:r>
        <w:rPr>
          <w:rFonts w:ascii="Times New Roman" w:hAnsi="Times New Roman" w:cs="Times New Roman"/>
          <w:rFonts w:ascii="Times New Roman" w:hAnsi="Times New Roman"/>
          <w:sz w:val="22"/>
        </w:rPr>
        <w:t>REGLEMENTATIONS SPECIFIQUES A LA COPROPRIETE</w:t>
      </w:r>
    </w:p>
    <w:p>
      <w:pPr>
        <w:spacing w:after="0" w:before="0"/>
        <w:ind w:firstLine="709"/>
        <w:jc w:val="both"/>
      </w:pPr>
      <w:r>
        <w:rPr>
          <w:rFonts w:ascii="Times New Roman" w:hAnsi="Times New Roman" w:cs="Times New Roman"/>
          <w:rFonts w:ascii="Times New Roman" w:hAnsi="Times New Roman"/>
          <w:b w:val="0"/>
          <w:i w:val="0"/>
          <w:sz w:val="22"/>
          <w:u w:val="none"/>
        </w:rPr>
        <w:t>Un certificat du syndic de la copropriété, délivré en application de l'article 20 II de la loi n° 65-557 du 10 juillet 1965, atteste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et son conjoint, ou partenaire lié à lui par un pacte civil de solidarité, ne sont pas déjà propriétaires d'un lot dans l'ensemble immobilier dont il s'agit.</w:t>
      </w:r>
    </w:p>
    <w:p>
      <w:pPr>
        <w:spacing w:after="0" w:before="0"/>
        <w:ind w:firstLine="709"/>
        <w:jc w:val="both"/>
      </w:pPr>
      <w:r>
        <w:rPr>
          <w:rFonts w:ascii="Times New Roman" w:hAnsi="Times New Roman" w:cs="Times New Roman"/>
          <w:rFonts w:ascii="Times New Roman" w:hAnsi="Times New Roman"/>
          <w:b w:val="0"/>
          <w:i w:val="0"/>
          <w:sz w:val="22"/>
          <w:u w:val="none"/>
        </w:rPr>
        <w:t>Ce certificat est annexé ci-après.</w:t>
      </w:r>
    </w:p>
    <w:p>
      <w:pPr>
        <w:spacing w:after="0" w:before="0"/>
        <w:ind w:firstLine="709"/>
        <w:jc w:val="both"/>
      </w:pPr>
      <w:r>
        <w:rPr>
          <w:rFonts w:ascii="Times New Roman" w:hAnsi="Times New Roman" w:cs="Times New Roman"/>
          <w:rFonts w:ascii="Times New Roman" w:hAnsi="Times New Roman"/>
          <w:b w:val="0"/>
          <w:i w:val="0"/>
          <w:sz w:val="22"/>
          <w:u w:val="none"/>
        </w:rPr>
        <w:t>L'article 20 II précise en tant que de besoin que le terme "acquéreur" s'entend tant de lui-même, s'il s'agit d'une personne physique, que des mandataires sociaux et associés de la société, s'il s'agit d'une personne morale.</w:t>
      </w:r>
    </w:p>
    <w:p>
      <w:pPr>
        <w:spacing w:after="0" w:before="0"/>
        <w:ind w:firstLine="709"/>
        <w:jc w:val="both"/>
      </w:pPr>
      <w:r>
        <w:rPr>
          <w:rFonts w:ascii="Times New Roman" w:hAnsi="Times New Roman" w:cs="Times New Roman"/>
          <w:rFonts w:ascii="Times New Roman" w:hAnsi="Times New Roman"/>
          <w:b/>
          <w:i w:val="0"/>
          <w:sz w:val="22"/>
          <w:u w:val="none"/>
        </w:rPr>
        <w:t>Annexe n°16 : Certificat article 20 II</w:t>
      </w:r>
    </w:p>
    <w:p>
      <w:pPr>
        <w:spacing w:after="0" w:before="0"/>
        <w:ind w:firstLine="709"/>
        <w:jc w:val="both"/>
      </w:pPr>
      <w:r>
        <w:rPr>
          <w:rFonts w:ascii="Times New Roman" w:hAnsi="Times New Roman" w:cs="Times New Roman"/>
          <w:rFonts w:ascii="Times New Roman" w:hAnsi="Times New Roman"/>
          <w:b w:val="0"/>
          <w:i w:val="0"/>
          <w:sz w:val="22"/>
          <w:u w:val="none"/>
        </w:rPr>
        <w:t>#### 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L'article L 711-1 du Code de la construction et de l'habitation institue un registre auquel sont immatriculés les syndicats de copropriétaires définis à l'article 14 de la loi n° 65-557 du 10 juillet 1965 fixant le statut de la copropriété des immeubles bâtis, qui administrent des immeubles à destination partielle ou totale d'habitation.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AD9-775-875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Annexe n°17 : Attestation d'immatriculation</w:t>
      </w:r>
    </w:p>
    <w:p>
      <w:pPr>
        <w:spacing w:after="0" w:before="0"/>
        <w:ind w:firstLine="709"/>
        <w:jc w:val="both"/>
      </w:pPr>
      <w:r>
        <w:rPr>
          <w:rFonts w:ascii="Times New Roman" w:hAnsi="Times New Roman" w:cs="Times New Roman"/>
          <w:rFonts w:ascii="Times New Roman" w:hAnsi="Times New Roman"/>
          <w:b w:val="0"/>
          <w:i w:val="0"/>
          <w:sz w:val="22"/>
          <w:u w:val="none"/>
        </w:rPr>
        <w:t>####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l'ensemble immobilier doit être tenu par le syndic.</w:t>
      </w:r>
    </w:p>
    <w:p>
      <w:pPr>
        <w:spacing w:after="0" w:before="0"/>
        <w:ind w:firstLine="709"/>
        <w:jc w:val="both"/>
      </w:pPr>
      <w:r>
        <w:rPr>
          <w:rFonts w:ascii="Times New Roman" w:hAnsi="Times New Roman" w:cs="Times New Roman"/>
          <w:rFonts w:ascii="Times New Roman" w:hAnsi="Times New Roman"/>
          <w:b w:val="0"/>
          <w:i w:val="0"/>
          <w:sz w:val="22"/>
          <w:u w:val="none"/>
        </w:rPr>
        <w:t>Ce carnet d'entretien a pour objet de mentionner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 des travaux importants ont été réalisés,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 des contrats d'assurance dommages souscrits par le syndicat des copropriétaires sont en cours,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 existe des contrats d'entretien et de maintenance des équipements communs,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l'échéancier du programme pluriannuel de travaux décidés par l'assemblée générale s'il en existe un.</w:t>
      </w:r>
    </w:p>
    <w:p>
      <w:pPr>
        <w:spacing w:after="0" w:before="0"/>
        <w:ind w:firstLine="709"/>
        <w:jc w:val="both"/>
      </w:pPr>
      <w:r>
        <w:rPr>
          <w:rFonts w:ascii="Times New Roman" w:hAnsi="Times New Roman" w:cs="Times New Roman"/>
          <w:rFonts w:ascii="Times New Roman" w:hAnsi="Times New Roman"/>
          <w:b w:val="0"/>
          <w:i w:val="0"/>
          <w:sz w:val="22"/>
          <w:u w:val="none"/>
        </w:rPr>
        <w:t>L'état délivré par le syndic révèle l'existence du carnet d'entretien.</w:t>
      </w:r>
    </w:p>
    <w:p>
      <w:pPr>
        <w:spacing w:after="0" w:before="0"/>
        <w:ind w:firstLine="709"/>
        <w:jc w:val="both"/>
      </w:pPr>
      <w:r>
        <w:rPr>
          <w:rFonts w:ascii="Times New Roman" w:hAnsi="Times New Roman" w:cs="Times New Roman"/>
          <w:rFonts w:ascii="Times New Roman" w:hAnsi="Times New Roman"/>
          <w:b w:val="0"/>
          <w:i w:val="0"/>
          <w:sz w:val="22"/>
          <w:u w:val="none"/>
        </w:rPr>
        <w:t>#### Diagnostic technique global</w:t>
      </w:r>
    </w:p>
    <w:p>
      <w:pPr>
        <w:spacing w:after="0" w:before="0"/>
        <w:ind w:firstLine="709"/>
        <w:jc w:val="both"/>
      </w:pPr>
      <w:r>
        <w:rPr>
          <w:rFonts w:ascii="Times New Roman" w:hAnsi="Times New Roman" w:cs="Times New Roman"/>
          <w:rFonts w:ascii="Times New Roman" w:hAnsi="Times New Roman"/>
          <w:b w:val="0"/>
          <w:i w:val="0"/>
          <w:sz w:val="22"/>
          <w:u w:val="none"/>
        </w:rPr>
        <w:t>Le 1er alinéa de l'article L 731-1 du Code de la construction et de l'habitation dispose que :</w:t>
      </w:r>
    </w:p>
    <w:p>
      <w:pPr>
        <w:spacing w:after="0" w:before="0"/>
        <w:ind w:firstLine="709"/>
        <w:jc w:val="both"/>
      </w:pPr>
      <w:r>
        <w:rPr>
          <w:rFonts w:ascii="Times New Roman" w:hAnsi="Times New Roman" w:cs="Times New Roman"/>
          <w:rFonts w:ascii="Times New Roman" w:hAnsi="Times New Roman"/>
          <w:b w:val="0"/>
          <w:i/>
          <w:sz w:val="22"/>
          <w:u w:val="none"/>
        </w:rPr>
        <w:t>"Afin d'assurer l'information des copropriétaires sur la situation technique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pPr>
        <w:spacing w:after="0" w:before="0"/>
        <w:ind w:firstLine="709"/>
        <w:jc w:val="both"/>
      </w:pPr>
      <w:r>
        <w:rPr>
          <w:rFonts w:ascii="Times New Roman" w:hAnsi="Times New Roman" w:cs="Times New Roman"/>
          <w:rFonts w:ascii="Times New Roman" w:hAnsi="Times New Roman"/>
          <w:b w:val="0"/>
          <w:i w:val="0"/>
          <w:sz w:val="22"/>
          <w:u w:val="none"/>
        </w:rPr>
        <w:t>L'article L 731-4 du Code de la construction et de l'habitation dispose que :</w:t>
      </w:r>
    </w:p>
    <w:p>
      <w:pPr>
        <w:spacing w:after="0" w:before="0"/>
        <w:ind w:firstLine="709"/>
        <w:jc w:val="both"/>
      </w:pPr>
      <w:r>
        <w:rPr>
          <w:rFonts w:ascii="Times New Roman" w:hAnsi="Times New Roman" w:cs="Times New Roman"/>
          <w:rFonts w:ascii="Times New Roman" w:hAnsi="Times New Roman"/>
          <w:b w:val="0"/>
          <w:i/>
          <w:sz w:val="22"/>
          <w:u w:val="none"/>
        </w:rPr>
        <w:t>"Toute mise en copropriété d'un immeuble construit depuis plus de dix ans est précédée du diagnostic technique global prévu à l'article L. 731-1."</w:t>
      </w:r>
    </w:p>
    <w:p>
      <w:pPr>
        <w:spacing w:after="0" w:before="0"/>
        <w:ind w:firstLine="709"/>
        <w:jc w:val="both"/>
      </w:pPr>
      <w:r>
        <w:rPr>
          <w:rFonts w:ascii="Times New Roman" w:hAnsi="Times New Roman" w:cs="Times New Roman"/>
          <w:rFonts w:ascii="Times New Roman" w:hAnsi="Times New Roman"/>
          <w:b w:val="0"/>
          <w:i w:val="0"/>
          <w:sz w:val="22"/>
          <w:u w:val="none"/>
        </w:rPr>
        <w:t>Ce dossier doit comporter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analyse de l'état apparent des parties communes et des équipements communs de l'immeuble,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état technique de l'immeuble et des équipements communs au regard des obligations légales et réglementaires au titre de la construction,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analyse des améliorations possibles de la gestion technique et patrimoniale de l'immeuble,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diagnostic de performance énergétique de l'immeuble tel que prévu par les dispositions des articles L 126-28 ou L 126-31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L'autorité administrative compétente peut à tout moment, pour vérifier l'état de bon usage et de sécurité des parties communes d'un immeuble collectif à usage principal d'habitation soumis au statut de la copropriété présentant des désordres potentiels, demander au syndic de produire ce diagnostic. À défaut de sa production dans un délai d'un mois après notification de la demande, l'autorité administrative compétente mentionnée peut le faire réaliser d'office en lieu et place du syndicat des copropriétaires et à ses frais.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vendeur déclare que le diagnostic technique global </w:t>
      </w:r>
      <w:r>
        <w:rPr>
          <w:rFonts w:ascii="Times New Roman" w:hAnsi="Times New Roman" w:cs="Times New Roman"/>
          <w:rFonts w:ascii="Times New Roman" w:hAnsi="Times New Roman"/>
          <w:b/>
          <w:i w:val="0"/>
          <w:sz w:val="22"/>
          <w:u w:val="none"/>
        </w:rPr>
        <w:t>n'a pas été établi.</w:t>
      </w:r>
    </w:p>
    <w:p>
      <w:pPr>
        <w:spacing w:after="0" w:before="0"/>
        <w:ind w:firstLine="709"/>
        <w:jc w:val="both"/>
      </w:pPr>
      <w:r>
        <w:rPr>
          <w:rFonts w:ascii="Times New Roman" w:hAnsi="Times New Roman" w:cs="Times New Roman"/>
          <w:rFonts w:ascii="Times New Roman" w:hAnsi="Times New Roman"/>
          <w:b w:val="0"/>
          <w:i w:val="0"/>
          <w:sz w:val="22"/>
          <w:u w:val="none"/>
        </w:rPr>
        <w:t>Le notaire précise que l'absence d'un tel diagnostic ne permet pas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d'apprécier valablement l'importance matérielle et financière des dépenses à prévoir dans la copropriété dans les années à venir.</w:t>
      </w:r>
    </w:p>
    <w:p>
      <w:pPr>
        <w:spacing w:after="0" w:before="0"/>
        <w:ind w:firstLine="709"/>
        <w:jc w:val="both"/>
      </w:pPr>
      <w:r>
        <w:rPr>
          <w:rFonts w:ascii="Times New Roman" w:hAnsi="Times New Roman" w:cs="Times New Roman"/>
          <w:rFonts w:ascii="Times New Roman" w:hAnsi="Times New Roman"/>
          <w:b w:val="0"/>
          <w:i w:val="0"/>
          <w:sz w:val="22"/>
          <w:u w:val="none"/>
        </w:rPr>
        <w:t>#### 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L'article 14-2 de la loi n° 65-557 du 10 juillet 1965 dispose notamment ce qui suit :</w:t>
      </w:r>
    </w:p>
    <w:p>
      <w:pPr>
        <w:spacing w:after="0" w:before="0"/>
        <w:ind w:firstLine="709"/>
        <w:jc w:val="both"/>
      </w:pPr>
      <w:r>
        <w:rPr>
          <w:rFonts w:ascii="Times New Roman" w:hAnsi="Times New Roman" w:cs="Times New Roman"/>
          <w:rFonts w:ascii="Times New Roman" w:hAnsi="Times New Roman"/>
          <w:b w:val="0"/>
          <w:i/>
          <w:sz w:val="22"/>
          <w:u w:val="none"/>
        </w:rPr>
        <w:t>"I.- A l'expiration d'un délai de quinze ans à compter de la date de réception des travaux de construction de l'immeuble, un projet de plan pluriannuel de travaux est élaboré dans les immeubles à destination partielle ou totale d'habitation soumis à la présente loi. Il est actualisé tous les dix ans."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vendeur déclare </w:t>
      </w:r>
      <w:r>
        <w:rPr>
          <w:rFonts w:ascii="Times New Roman" w:hAnsi="Times New Roman" w:cs="Times New Roman"/>
          <w:rFonts w:ascii="Times New Roman" w:hAnsi="Times New Roman"/>
          <w:b/>
          <w:i w:val="0"/>
          <w:sz w:val="22"/>
          <w:u w:val="none"/>
        </w:rPr>
        <w:t>qu'il n'existe pas</w:t>
      </w:r>
      <w:r>
        <w:rPr>
          <w:rFonts w:ascii="Times New Roman" w:hAnsi="Times New Roman" w:cs="Times New Roman"/>
          <w:rFonts w:ascii="Times New Roman" w:hAnsi="Times New Roman"/>
          <w:b w:val="0"/>
          <w:i w:val="0"/>
          <w:sz w:val="22"/>
          <w:u w:val="none"/>
        </w:rPr>
        <w:t xml:space="preserve"> de 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 Emprunt collectif</w:t>
      </w:r>
    </w:p>
    <w:p>
      <w:pPr>
        <w:spacing w:after="0" w:before="0"/>
        <w:ind w:firstLine="709"/>
        <w:jc w:val="both"/>
      </w:pPr>
      <w:r>
        <w:rPr>
          <w:rFonts w:ascii="Times New Roman" w:hAnsi="Times New Roman" w:cs="Times New Roman"/>
          <w:rFonts w:ascii="Times New Roman" w:hAnsi="Times New Roman"/>
          <w:b w:val="0"/>
          <w:i w:val="0"/>
          <w:sz w:val="22"/>
          <w:u w:val="none"/>
        </w:rPr>
        <w:t>Les articles 26-4 à 26-14 de la loi numéro 65-557 du 10 juillet 1965 donnent la possibilité aux syndicats de copropriétaires de souscrire un emprunt bancaire en leur nom propre en vue de financer non seulement des travaux sur les parties communes de l'immeuble, mais également des travaux d'intérêt collectif sur les parties privatives, des acquisitions de biens conformes à l'objet du syndicat, ou d'assurer le préfinancement de subventions publiques accordées pour la réalisation des travaux votés.</w:t>
      </w:r>
    </w:p>
    <w:p>
      <w:pPr>
        <w:spacing w:after="0" w:before="0"/>
        <w:ind w:firstLine="709"/>
        <w:jc w:val="both"/>
      </w:pPr>
      <w:r>
        <w:rPr>
          <w:rFonts w:ascii="Times New Roman" w:hAnsi="Times New Roman" w:cs="Times New Roman"/>
          <w:rFonts w:ascii="Times New Roman" w:hAnsi="Times New Roman"/>
          <w:b/>
          <w:i w:val="0"/>
          <w:sz w:val="22"/>
          <w:u w:val="none"/>
        </w:rPr>
        <w:t xml:space="preserve">L'état délivré par le syndic révèle l'existence d'un tel type d'emprunt souscrit, le solde étant en principal et intérêts à la date du </w:t>
      </w:r>
      <w:r>
        <w:rPr>
          <w:rFonts w:ascii="Times New Roman" w:hAnsi="Times New Roman" w:cs="Times New Roman"/>
          <w:rFonts w:ascii="Times New Roman" w:hAnsi="Times New Roman"/>
          <w:b/>
          <w:i w:val="0"/>
          <w:sz w:val="22"/>
          <w:u w:val="none"/>
        </w:rPr>
        <w:t>21 novembre 2025</w:t>
      </w:r>
      <w:r>
        <w:rPr>
          <w:rFonts w:ascii="Times New Roman" w:hAnsi="Times New Roman" w:cs="Times New Roman"/>
          <w:rFonts w:ascii="Times New Roman" w:hAnsi="Times New Roman"/>
          <w:b/>
          <w:i w:val="0"/>
          <w:sz w:val="22"/>
          <w:u w:val="none"/>
        </w:rPr>
        <w:t xml:space="preserve"> de </w:t>
      </w:r>
      <w:r>
        <w:rPr>
          <w:rFonts w:ascii="Times New Roman" w:hAnsi="Times New Roman" w:cs="Times New Roman"/>
          <w:rFonts w:ascii="Times New Roman" w:hAnsi="Times New Roman"/>
          <w:b/>
          <w:i w:val="0"/>
          <w:sz w:val="22"/>
          <w:u w:val="none"/>
        </w:rPr>
        <w:t>9 956,86</w:t>
      </w:r>
      <w:r>
        <w:rPr>
          <w:rFonts w:ascii="Times New Roman" w:hAnsi="Times New Roman" w:cs="Times New Roman"/>
          <w:rFonts w:ascii="Times New Roman" w:hAnsi="Times New Roman"/>
          <w:b/>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Le VENDEUR est informé de l'exigibilité de cet emprunt en cas de mutation. Par suite, il donne son accord au notaire détenteur du prix de vente de régler au syndic, par prélèvement sur ce prix, le montant dû afin que ce dernier l'affecte au remboursement de l'emprunt, de sorte que le syndicat et l'ACQUEREUR ne puissent ni être recherchés ni être inquiétés.</w:t>
      </w:r>
    </w:p>
    <w:p>
      <w:pPr>
        <w:spacing w:after="0" w:before="0"/>
        <w:ind w:firstLine="709"/>
        <w:jc w:val="both"/>
      </w:pPr>
      <w:r>
        <w:rPr>
          <w:rFonts w:ascii="Times New Roman" w:hAnsi="Times New Roman" w:cs="Times New Roman"/>
          <w:rFonts w:ascii="Times New Roman" w:hAnsi="Times New Roman"/>
          <w:b w:val="0"/>
          <w:i w:val="0"/>
          <w:sz w:val="22"/>
          <w:u w:val="none"/>
        </w:rPr>
        <w:t>#### Fonds de travaux</w:t>
      </w:r>
    </w:p>
    <w:p>
      <w:pPr>
        <w:spacing w:after="0" w:before="0"/>
        <w:ind w:firstLine="709"/>
        <w:jc w:val="both"/>
      </w:pPr>
      <w:r>
        <w:rPr>
          <w:rFonts w:ascii="Times New Roman" w:hAnsi="Times New Roman" w:cs="Times New Roman"/>
          <w:rFonts w:ascii="Times New Roman" w:hAnsi="Times New Roman"/>
          <w:b w:val="0"/>
          <w:i w:val="0"/>
          <w:sz w:val="22"/>
          <w:u w:val="none"/>
        </w:rPr>
        <w:t>L'article 14-2-1 de la loi numéro 65-557 du 10 juillet 1965 instaure la création d'un fonds de travaux pour les immeubles soumis au régime de la copropriété et à usage d'habitation en tout ou partie.</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constitue un fonds de travaux au terme d'une période de dix ans à compter de la date de la réception des travaux de construction de l'immeuble, pour faire face aux dépenses résultant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l'élaboration du projet de plan pluriannuel de travaux mentionné à l'article 14-2 de ladite loi et, le cas échéant, du diagnostic technique global mentionné à l'article L 731-1 du Code de la construction et de l'habitation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la réalisation des travaux prévus dans le plan pluriannuel de travaux adopté par l'assemblée générale des copropriétaires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travaux décidés par le syndic en cas d'urgence, dans les conditions prévues au troisième alinéa du I de l'article 18 de la présente loi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travaux nécessaires à la sauvegarde de l'immeuble, à la préservation de la santé et de la sécurité des occupants et à la réalisation d'économies d'énergie, non prévus dans le plan pluriannuel de travaux.</w:t>
      </w:r>
    </w:p>
    <w:p>
      <w:pPr>
        <w:spacing w:after="0" w:before="0"/>
        <w:ind w:firstLine="709"/>
        <w:jc w:val="both"/>
      </w:pPr>
      <w:r>
        <w:rPr>
          <w:rFonts w:ascii="Times New Roman" w:hAnsi="Times New Roman" w:cs="Times New Roman"/>
          <w:rFonts w:ascii="Times New Roman" w:hAnsi="Times New Roman"/>
          <w:b w:val="0"/>
          <w:i w:val="0"/>
          <w:sz w:val="22"/>
          <w:u w:val="none"/>
        </w:rPr>
        <w:t>Ce fonds de travaux est alimenté par une cotisation annuelle obligatoire. Chaque copropriétaire contribue au fonds selon les mêmes modalités que celles décidées par l'assemblée générale pour le versement des provisions du budget prévisionnel.</w:t>
      </w:r>
    </w:p>
    <w:p>
      <w:pPr>
        <w:spacing w:after="0" w:before="0"/>
        <w:ind w:firstLine="709"/>
        <w:jc w:val="both"/>
      </w:pPr>
      <w:r>
        <w:rPr>
          <w:rFonts w:ascii="Times New Roman" w:hAnsi="Times New Roman" w:cs="Times New Roman"/>
          <w:rFonts w:ascii="Times New Roman" w:hAnsi="Times New Roman"/>
          <w:b w:val="0"/>
          <w:i w:val="0"/>
          <w:sz w:val="22"/>
          <w:u w:val="none"/>
        </w:rPr>
        <w:t>Ces sommes sont définitivement acquises au syndicat, la cession des lots ne donne donc pas lieu à leur remboursement par le syndicat.</w:t>
      </w:r>
    </w:p>
    <w:p>
      <w:pPr>
        <w:spacing w:after="0" w:before="0"/>
        <w:ind w:firstLine="709"/>
        <w:jc w:val="both"/>
      </w:pPr>
      <w:r>
        <w:rPr>
          <w:rFonts w:ascii="Times New Roman" w:hAnsi="Times New Roman" w:cs="Times New Roman"/>
          <w:rFonts w:ascii="Times New Roman" w:hAnsi="Times New Roman"/>
          <w:b w:val="0"/>
          <w:i w:val="0"/>
          <w:sz w:val="22"/>
          <w:u w:val="none"/>
        </w:rPr>
        <w:t>Lorsque le montant du fonds de travaux sera supérieur à celui du budget prévisionnel le syndic inscrira, à l'ordre du jour de l'assemblée générale, l'élaboration d'un plan pluriannuel de travaux et la suspension des cotisations en fonction des décisions prises par cette assemblée sur le plan de travaux.</w:t>
      </w:r>
    </w:p>
    <w:p>
      <w:pPr>
        <w:spacing w:after="0" w:before="0"/>
        <w:ind w:firstLine="709"/>
        <w:jc w:val="both"/>
      </w:pPr>
      <w:r>
        <w:rPr>
          <w:rFonts w:ascii="Times New Roman" w:hAnsi="Times New Roman" w:cs="Times New Roman"/>
          <w:rFonts w:ascii="Times New Roman" w:hAnsi="Times New Roman"/>
          <w:b w:val="0"/>
          <w:i w:val="0"/>
          <w:sz w:val="22"/>
          <w:u w:val="none"/>
        </w:rPr>
        <w:t>L'immeuble entre dans le champ d'application de l'obligation de créer un fonds de travaux.</w:t>
      </w:r>
    </w:p>
    <w:p>
      <w:pPr>
        <w:spacing w:after="0" w:before="0"/>
        <w:ind w:firstLine="709"/>
        <w:jc w:val="both"/>
      </w:pPr>
      <w:r>
        <w:rPr>
          <w:rFonts w:ascii="Times New Roman" w:hAnsi="Times New Roman" w:cs="Times New Roman"/>
          <w:rFonts w:ascii="Times New Roman" w:hAnsi="Times New Roman"/>
          <w:b w:val="0"/>
          <w:i w:val="0"/>
          <w:sz w:val="22"/>
          <w:u w:val="none"/>
        </w:rPr>
        <w:t>#### Garantie de superficie</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46 de la loi du 10 juillet 1965, tout contrat réalisant ou constatant la vente d'un lot ou d'une fraction de lot mentionne la superficie de la partie privative de ce lot ou de cette fraction de lot. La nullité de l'acte peut être invoquée sur le fondement de l'absence de toute mention de superficie.</w:t>
      </w:r>
    </w:p>
    <w:p>
      <w:pPr>
        <w:spacing w:after="0" w:before="0"/>
        <w:ind w:firstLine="709"/>
        <w:jc w:val="both"/>
      </w:pPr>
      <w:r>
        <w:rPr>
          <w:rFonts w:ascii="Times New Roman" w:hAnsi="Times New Roman" w:cs="Times New Roman"/>
          <w:rFonts w:ascii="Times New Roman" w:hAnsi="Times New Roman"/>
          <w:b w:val="0"/>
          <w:i w:val="0"/>
          <w:sz w:val="22"/>
          <w:u w:val="none"/>
        </w:rPr>
        <w:t>Ces dispositions ne sont pas applicables aux caves, garages, emplacements de stationnement ni aux lots ou fractions de lots d'une superficie inférieure à 8 mètres carrés.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la superficie de la partie privative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soumis à la loi ainsi qu'à ses textes subséquents, est de savoir </w:t>
      </w:r>
      <w:r>
        <w:rPr>
          <w:rFonts w:ascii="Times New Roman" w:hAnsi="Times New Roman" w:cs="Times New Roman"/>
          <w:rFonts w:ascii="Times New Roman" w:hAnsi="Times New Roman"/>
          <w:b/>
          <w:i w:val="0"/>
          <w:sz w:val="22"/>
          <w:u w:val="none"/>
        </w:rPr>
        <w:t>67.76</w:t>
      </w:r>
      <w:r>
        <w:rPr>
          <w:rFonts w:ascii="Times New Roman" w:hAnsi="Times New Roman" w:cs="Times New Roman"/>
          <w:rFonts w:ascii="Times New Roman" w:hAnsi="Times New Roman"/>
          <w:b/>
          <w:i w:val="0"/>
          <w:sz w:val="22"/>
          <w:u w:val="none"/>
        </w:rPr>
        <w:t xml:space="preserve"> M²</w:t>
      </w:r>
      <w:r>
        <w:rPr>
          <w:rFonts w:ascii="Times New Roman" w:hAnsi="Times New Roman" w:cs="Times New Roman"/>
          <w:rFonts w:ascii="Times New Roman" w:hAnsi="Times New Roman"/>
          <w:b w:val="0"/>
          <w:i w:val="0"/>
          <w:sz w:val="22"/>
          <w:u w:val="none"/>
        </w:rPr>
        <w:t xml:space="preserve"> pour le lot numéro </w:t>
      </w:r>
      <w:r>
        <w:rPr>
          <w:rFonts w:ascii="Times New Roman" w:hAnsi="Times New Roman" w:cs="Times New Roman"/>
          <w:rFonts w:ascii="Times New Roman" w:hAnsi="Times New Roman"/>
          <w:b w:val="0"/>
          <w:i w:val="0"/>
          <w:sz w:val="22"/>
          <w:u w:val="none"/>
        </w:rPr>
        <w:t>QUATORZE (14)</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Ainsi qu'il résulte d'une attestation établie par </w:t>
      </w:r>
      <w:r>
        <w:rPr>
          <w:rFonts w:ascii="Times New Roman" w:hAnsi="Times New Roman" w:cs="Times New Roman"/>
          <w:rFonts w:ascii="Times New Roman" w:hAnsi="Times New Roman"/>
          <w:b w:val="0"/>
          <w:i w:val="0"/>
          <w:sz w:val="22"/>
          <w:u w:val="none"/>
        </w:rPr>
        <w:t>ACHIN DIAG EXPERT</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12 fevrier 2025</w:t>
      </w:r>
      <w:r>
        <w:rPr>
          <w:rFonts w:ascii="Times New Roman" w:hAnsi="Times New Roman" w:cs="Times New Roman"/>
          <w:rFonts w:ascii="Times New Roman" w:hAnsi="Times New Roman"/>
          <w:b w:val="0"/>
          <w:i w:val="0"/>
          <w:sz w:val="22"/>
          <w:u w:val="none"/>
        </w:rPr>
        <w:t xml:space="preserve"> annexée.</w:t>
      </w:r>
    </w:p>
    <w:p>
      <w:pPr>
        <w:spacing w:after="0" w:before="0"/>
        <w:ind w:firstLine="709"/>
        <w:jc w:val="both"/>
      </w:pPr>
      <w:r>
        <w:rPr>
          <w:rFonts w:ascii="Times New Roman" w:hAnsi="Times New Roman" w:cs="Times New Roman"/>
          <w:rFonts w:ascii="Times New Roman" w:hAnsi="Times New Roman"/>
          <w:b/>
          <w:i w:val="0"/>
          <w:sz w:val="22"/>
          <w:u w:val="none"/>
        </w:rPr>
        <w:t>Annexe n°19 : Certificat de superficie</w:t>
      </w:r>
    </w:p>
    <w:p>
      <w:pPr>
        <w:spacing w:after="0" w:before="0"/>
        <w:ind w:firstLine="709"/>
        <w:jc w:val="both"/>
      </w:pPr>
      <w:r>
        <w:rPr>
          <w:rFonts w:ascii="Times New Roman" w:hAnsi="Times New Roman" w:cs="Times New Roman"/>
          <w:rFonts w:ascii="Times New Roman" w:hAnsi="Times New Roman"/>
          <w:b w:val="0"/>
          <w:i w:val="0"/>
          <w:sz w:val="22"/>
          <w:u w:val="none"/>
        </w:rPr>
        <w:t>Les parties ont été informées par le notaire, ce qu'elles reconnaissent, de la possibilité pour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d'agir en révision du prix si, pour au moins un des lots, la superficie réelle est inférieure de plus d'un vingtième à celle exprimée aux présentes. En cas de pluralité d'inexactitudes, il y aura pluralité d'actions, chaque action en révision de prix ne concernant que la propre valeur du lot concerné.</w:t>
      </w:r>
    </w:p>
    <w:p>
      <w:pPr>
        <w:spacing w:after="0" w:before="0"/>
        <w:ind w:firstLine="709"/>
        <w:jc w:val="both"/>
      </w:pPr>
      <w:r>
        <w:rPr>
          <w:rFonts w:ascii="Times New Roman" w:hAnsi="Times New Roman" w:cs="Times New Roman"/>
          <w:rFonts w:ascii="Times New Roman" w:hAnsi="Times New Roman"/>
          <w:b w:val="0"/>
          <w:i w:val="0"/>
          <w:sz w:val="22"/>
          <w:u w:val="none"/>
        </w:rPr>
        <w:t>La révision du prix dont il s'agit consistera en une diminution de la valeur du lot concerné proportionnelle à la moindre mesure.</w:t>
      </w:r>
    </w:p>
    <w:p>
      <w:pPr>
        <w:spacing w:after="0" w:before="0"/>
        <w:ind w:firstLine="709"/>
        <w:jc w:val="both"/>
      </w:pPr>
      <w:r>
        <w:rPr>
          <w:rFonts w:ascii="Times New Roman" w:hAnsi="Times New Roman" w:cs="Times New Roman"/>
          <w:rFonts w:ascii="Times New Roman" w:hAnsi="Times New Roman"/>
          <w:b w:val="0"/>
          <w:i w:val="0"/>
          <w:sz w:val="22"/>
          <w:u w:val="none"/>
        </w:rPr>
        <w:t>L'action en diminution, si elle est recevable, devra être intentée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un délai d'un an à compter des présentes, et ce à peine de déchéance.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réalisé d'aménagements de lots susceptibles d'en modifier la superficie ci-dessus indiquée.</w:t>
      </w:r>
    </w:p>
    <w:p>
      <w:pPr>
        <w:spacing w:after="0" w:before="0"/>
        <w:ind w:firstLine="709"/>
        <w:jc w:val="both"/>
      </w:pPr>
      <w:r>
        <w:rPr>
          <w:rFonts w:ascii="Times New Roman" w:hAnsi="Times New Roman" w:cs="Times New Roman"/>
          <w:rFonts w:ascii="Times New Roman" w:hAnsi="Times New Roman"/>
          <w:b w:val="0"/>
          <w:i w:val="0"/>
          <w:sz w:val="22"/>
          <w:u w:val="none"/>
        </w:rPr>
        <w:t>Une attestation mentionnant les dispositions de l'article 46 est remise à l'instant même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reconnaissent et en donnent décharge.</w:t>
      </w:r>
    </w:p>
    <w:p>
      <w:pPr>
        <w:spacing w:after="0" w:before="0"/>
        <w:ind w:firstLine="709"/>
        <w:jc w:val="both"/>
      </w:pPr>
      <w:r>
        <w:rPr>
          <w:rFonts w:ascii="Times New Roman" w:hAnsi="Times New Roman" w:cs="Times New Roman"/>
          <w:rFonts w:ascii="Times New Roman" w:hAnsi="Times New Roman"/>
          <w:b w:val="0"/>
          <w:i w:val="0"/>
          <w:sz w:val="22"/>
          <w:u w:val="none"/>
        </w:rPr>
        <w:t>#### Statut de la copropriété</w:t>
      </w:r>
    </w:p>
    <w:p>
      <w:pPr>
        <w:spacing w:after="0" w:before="0"/>
        <w:ind w:firstLine="709"/>
        <w:jc w:val="both"/>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pris connaissance de l'ensemble des documents relatifs au règlement de copropriété et à l'état descriptif de division.</w:t>
      </w:r>
    </w:p>
    <w:p>
      <w:pPr>
        <w:spacing w:after="0" w:before="0"/>
        <w:ind w:firstLine="709"/>
        <w:jc w:val="both"/>
      </w:pPr>
      <w:r>
        <w:rPr>
          <w:rFonts w:ascii="Times New Roman" w:hAnsi="Times New Roman" w:cs="Times New Roman"/>
          <w:rFonts w:ascii="Times New Roman" w:hAnsi="Times New Roman"/>
          <w:b w:val="0"/>
          <w:i w:val="0"/>
          <w:sz w:val="22"/>
          <w:u w:val="none"/>
        </w:rPr>
        <w:t>Il s'engage à exécuter toutes les charges, clauses et conditions contenues au règlement de copropriété sus-énoncé et dans ses modificatifs éventuels.</w:t>
      </w:r>
    </w:p>
    <w:p>
      <w:pPr>
        <w:spacing w:after="0" w:before="0"/>
        <w:ind w:firstLine="709"/>
        <w:jc w:val="both"/>
      </w:pPr>
      <w:r>
        <w:rPr>
          <w:rFonts w:ascii="Times New Roman" w:hAnsi="Times New Roman" w:cs="Times New Roman"/>
          <w:rFonts w:ascii="Times New Roman" w:hAnsi="Times New Roman"/>
          <w:b w:val="0"/>
          <w:i w:val="0"/>
          <w:sz w:val="22"/>
          <w:u w:val="none"/>
        </w:rPr>
        <w:t>Il atteste être parfaitement informé que les dispositions du règlement de copropriété s'imposent à lui, sauf dans la mesure où des dispositions législatives postérieures à son établissement viendraient à le modifier et ainsi s'imposer à l'ensemble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subrogé dans tous les droits et obligations résultant pour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du règlement de copropriété, de son ou de ses modificatifs et des décisions régulièrement prises par l'assemblée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Il sera tenu de régler tous les appels de fonds qui seront faits par le syndic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Le notaire avertit les parties que toutes les clauses du règlement de copropriété s'imposent, même celles réputées illicites tant qu'elles n'ont pas été annulées par une décision soit judiciaire soit d'une assemblée générale des copropriétaires dans les conditions de l'article 26b de la loi n°65-557 du 10 juillet 1965. Toutefois, si le règlement contient des clauses obsolètes, c'est-à-dire des clauses qui, lors de son établissement, étaient conformes aux prescriptions légales mais dont le contenu a été modifié ultérieurement par une nouvelle législation, celles-ci ne peuvent plus s'appliquer.</w:t>
      </w:r>
    </w:p>
    <w:p>
      <w:pPr>
        <w:spacing w:after="0" w:before="0"/>
        <w:ind w:firstLine="709"/>
        <w:jc w:val="both"/>
      </w:pPr>
      <w:r>
        <w:rPr>
          <w:rFonts w:ascii="Times New Roman" w:hAnsi="Times New Roman" w:cs="Times New Roman"/>
          <w:rFonts w:ascii="Times New Roman" w:hAnsi="Times New Roman"/>
          <w:b w:val="0"/>
          <w:i w:val="0"/>
          <w:sz w:val="22"/>
          <w:u w:val="none"/>
        </w:rPr>
        <w:t>Un exemplaire du règlement de copropriété a été remis dès avant ce jour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le reconnaît.</w:t>
      </w:r>
    </w:p>
    <w:p>
      <w:pPr>
        <w:spacing w:after="0" w:before="0"/>
        <w:ind w:firstLine="709"/>
        <w:jc w:val="both"/>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Le syndic actuel de l'immeuble est :</w:t>
      </w:r>
    </w:p>
    <w:p>
      <w:pPr>
        <w:spacing w:after="0" w:before="0"/>
        <w:ind w:firstLine="709"/>
        <w:jc w:val="both"/>
      </w:pPr>
      <w:r>
        <w:rPr>
          <w:rFonts w:ascii="Times New Roman" w:hAnsi="Times New Roman" w:cs="Times New Roman"/>
          <w:rFonts w:ascii="Times New Roman" w:hAnsi="Times New Roman"/>
          <w:b/>
          <w:i w:val="0"/>
          <w:sz w:val="22"/>
          <w:u w:val="none"/>
        </w:rPr>
        <w:t>FONCIA SAINT-LOUIS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264 Rue Garibaldi</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69003</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val="0"/>
          <w:sz w:val="22"/>
          <w:u w:val="none"/>
        </w:rPr>
        <w:t>LYON 3ÈME ARRONDISSEMENT</w:t>
      </w:r>
    </w:p>
    <w:p>
      <w:pPr>
        <w:spacing w:after="0" w:before="0"/>
        <w:ind w:firstLine="709"/>
        <w:jc w:val="both"/>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L'état contenant les informations prévues par l'article 5 du décret du 17 mars 1967 modifié a été délivré par le syndic et demeure annexé.</w:t>
      </w:r>
    </w:p>
    <w:p>
      <w:pPr>
        <w:spacing w:after="0" w:before="0"/>
        <w:ind w:firstLine="709"/>
        <w:jc w:val="both"/>
      </w:pPr>
      <w:r>
        <w:rPr>
          <w:rFonts w:ascii="Times New Roman" w:hAnsi="Times New Roman" w:cs="Times New Roman"/>
          <w:rFonts w:ascii="Times New Roman" w:hAnsi="Times New Roman"/>
          <w:b/>
          <w:i w:val="0"/>
          <w:sz w:val="22"/>
          <w:u w:val="none"/>
        </w:rPr>
        <w:t>Annexe n°20 : Etat daté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pris parfaite connaissance de cet état tant par la lecture qui lui en a été faite par le notaire soussigné que par les explications qui lui ont été données par ce dernier.</w:t>
      </w:r>
    </w:p>
    <w:p>
      <w:pPr>
        <w:spacing w:after="0" w:before="0"/>
        <w:ind w:firstLine="709"/>
        <w:jc w:val="both"/>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atteste en outre n'avoir reçu depuis la conclusion de l'avant-contrat de convocation pour une assemblée des copropriétaires, ni avoir reçu précédemment à l'avant-contrat de convocation pour une assemblée générale entre celui-ci et ce jour.</w:t>
      </w:r>
    </w:p>
    <w:p>
      <w:pPr>
        <w:spacing w:after="0" w:before="0"/>
        <w:ind w:firstLine="709"/>
        <w:jc w:val="both"/>
      </w:pPr>
      <w:r>
        <w:rPr>
          <w:rFonts w:ascii="Times New Roman" w:hAnsi="Times New Roman" w:cs="Times New Roman"/>
          <w:rFonts w:ascii="Times New Roman" w:hAnsi="Times New Roman"/>
          <w:b/>
          <w:i w:val="0"/>
          <w:sz w:val="22"/>
          <w:u w:val="none"/>
        </w:rPr>
        <w:t>Dispositions légales et réglementaires sur la 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des dispositions législatives et réglementaires applicables en matière de répartition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ACQUÉREUR</w:t>
      </w:r>
      <w:r>
        <w:rPr>
          <w:rFonts w:ascii="Times New Roman" w:hAnsi="Times New Roman" w:cs="Times New Roman"/>
          <w:rFonts w:ascii="Times New Roman" w:hAnsi="Times New Roman"/>
          <w:b w:val="0"/>
          <w:i w:val="0"/>
          <w:sz w:val="22"/>
          <w:u w:val="none"/>
        </w:rPr>
        <w:t xml:space="preserve"> des charges de copropriété contenues dans l'article 6-2 du décret du 17 mars 1967 modifié, lequel dispose :</w:t>
      </w:r>
    </w:p>
    <w:p>
      <w:pPr>
        <w:spacing w:after="0" w:before="0"/>
        <w:ind w:firstLine="709"/>
        <w:jc w:val="both"/>
      </w:pPr>
      <w:r>
        <w:rPr>
          <w:rFonts w:ascii="Times New Roman" w:hAnsi="Times New Roman" w:cs="Times New Roman"/>
          <w:rFonts w:ascii="Times New Roman" w:hAnsi="Times New Roman"/>
          <w:b w:val="0"/>
          <w:i/>
          <w:sz w:val="22"/>
          <w:u w:val="none"/>
        </w:rPr>
        <w:t>"A l'occasion de la mutation à titre onéreux d'un lot :</w:t>
      </w:r>
    </w:p>
    <w:p>
      <w:pPr>
        <w:spacing w:after="0" w:before="0"/>
        <w:ind w:firstLine="709"/>
        <w:jc w:val="both"/>
      </w:pPr>
      <w:r>
        <w:rPr>
          <w:rFonts w:ascii="Times New Roman" w:hAnsi="Times New Roman" w:cs="Times New Roman"/>
          <w:rFonts w:ascii="Times New Roman" w:hAnsi="Times New Roman"/>
          <w:b w:val="0"/>
          <w:i w:val="0"/>
          <w:sz w:val="22"/>
          <w:u w:val="none"/>
        </w:rPr>
        <w:t>1°) Le paiement de la provision exigible du budget prévisionnel, en application du troisième alinéa de l'article 14-1 de la loi du 10 juillet 1965 incombe au vendeur.</w:t>
      </w:r>
    </w:p>
    <w:p>
      <w:pPr>
        <w:spacing w:after="0" w:before="0"/>
        <w:ind w:firstLine="709"/>
        <w:jc w:val="both"/>
      </w:pPr>
      <w:r>
        <w:rPr>
          <w:rFonts w:ascii="Times New Roman" w:hAnsi="Times New Roman" w:cs="Times New Roman"/>
          <w:rFonts w:ascii="Times New Roman" w:hAnsi="Times New Roman"/>
          <w:b w:val="0"/>
          <w:i w:val="0"/>
          <w:sz w:val="22"/>
          <w:u w:val="none"/>
        </w:rPr>
        <w:t>2°) Le paiement des provisions des dépenses non comprises dans le budget prévisionnel incombe à celui, vendeur ou acquéreur, qui est copropriétaire au moment de l'exigibilité.</w:t>
      </w:r>
    </w:p>
    <w:p>
      <w:pPr>
        <w:spacing w:after="0" w:before="0"/>
        <w:ind w:firstLine="709"/>
        <w:jc w:val="both"/>
      </w:pPr>
      <w:r>
        <w:rPr>
          <w:rFonts w:ascii="Times New Roman" w:hAnsi="Times New Roman" w:cs="Times New Roman"/>
          <w:rFonts w:ascii="Times New Roman" w:hAnsi="Times New Roman"/>
          <w:b w:val="0"/>
          <w:i w:val="0"/>
          <w:sz w:val="22"/>
          <w:u w:val="none"/>
        </w:rPr>
        <w:t>3°) Le trop ou moins perçu sur provisions révélé par l'approbation des comptes est porté au crédit ou au débit du compte de celui qui est copropriétaire lors de l'approbation des comptes."</w:t>
      </w:r>
    </w:p>
    <w:p>
      <w:pPr>
        <w:spacing w:after="0" w:before="0"/>
        <w:ind w:firstLine="709"/>
        <w:jc w:val="both"/>
      </w:pPr>
      <w:r>
        <w:rPr>
          <w:rFonts w:ascii="Times New Roman" w:hAnsi="Times New Roman" w:cs="Times New Roman"/>
          <w:rFonts w:ascii="Times New Roman" w:hAnsi="Times New Roman"/>
          <w:b w:val="0"/>
          <w:i w:val="0"/>
          <w:sz w:val="22"/>
          <w:u w:val="none"/>
        </w:rPr>
        <w:t>Etant ici toutefois précisé que le transfert des charges n'est pris en compte par le syndicat des copropriétaires qu'à partir du moment où la vente a été notifiée au syndic (articles 20 de la loi du 10 juillet 1965 et 5 du décret du 17 mars 1967).</w:t>
      </w:r>
    </w:p>
    <w:p>
      <w:pPr>
        <w:spacing w:after="0" w:before="0"/>
        <w:ind w:firstLine="709"/>
        <w:jc w:val="both"/>
      </w:pPr>
      <w:r>
        <w:rPr>
          <w:rFonts w:ascii="Times New Roman" w:hAnsi="Times New Roman" w:cs="Times New Roman"/>
          <w:rFonts w:ascii="Times New Roman" w:hAnsi="Times New Roman"/>
          <w:b w:val="0"/>
          <w:i w:val="0"/>
          <w:sz w:val="22"/>
          <w:u w:val="none"/>
        </w:rPr>
        <w:t>Tout aménagement entre les parties des dispositions sus énoncées n'a d'effet qu'entre elles et reste inopposable au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Par suite les demandes émanant du syndic s'effectuant auprès du copropriétaire en place au moment de celles-ci, il appartiendra donc aux parties d'effectuer directement entre elles les comptes et remboursements nécessaires.</w:t>
      </w:r>
    </w:p>
    <w:p>
      <w:pPr>
        <w:spacing w:after="0" w:before="0"/>
        <w:ind w:firstLine="709"/>
        <w:jc w:val="both"/>
      </w:pPr>
      <w:r>
        <w:rPr>
          <w:rFonts w:ascii="Times New Roman" w:hAnsi="Times New Roman" w:cs="Times New Roman"/>
          <w:rFonts w:ascii="Times New Roman" w:hAnsi="Times New Roman"/>
          <w:b/>
          <w:i w:val="0"/>
          <w:sz w:val="22"/>
          <w:u w:val="none"/>
        </w:rPr>
        <w:t>Convention des parties sur la répartition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supporte les charges de copropriété à compter du jour de l'entrée en jouissance soit le </w:t>
      </w:r>
      <w:r>
        <w:rPr>
          <w:rFonts w:ascii="Times New Roman" w:hAnsi="Times New Roman" w:cs="Times New Roman"/>
          <w:rFonts w:ascii="Times New Roman" w:hAnsi="Times New Roman"/>
          <w:b w:val="0"/>
          <w:i w:val="0"/>
          <w:sz w:val="22"/>
          <w:u w:val="none"/>
        </w:rPr>
        <w:t>14 novembre 2025</w:t>
      </w:r>
      <w:r>
        <w:rPr>
          <w:rFonts w:ascii="Times New Roman" w:hAnsi="Times New Roman" w:cs="Times New Roman"/>
          <w:rFonts w:ascii="Times New Roman" w:hAnsi="Times New Roman"/>
          <w:b w:val="0"/>
          <w:i w:val="0"/>
          <w:sz w:val="22"/>
          <w:u w:val="none"/>
        </w:rPr>
        <w:t xml:space="preserve"> compte tenu de la convention d'occupation précaire visée ci-avant.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supporte le coût des travaux,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supporte le coût des travaux de copropriété, exécutés ou non, en cours d'exécution, votés antérieurement à ce jour.</w:t>
      </w:r>
    </w:p>
    <w:p>
      <w:pPr>
        <w:spacing w:after="0" w:before="0"/>
        <w:ind w:firstLine="709"/>
        <w:jc w:val="both"/>
      </w:pPr>
      <w:r>
        <w:rPr>
          <w:rFonts w:ascii="Times New Roman" w:hAnsi="Times New Roman" w:cs="Times New Roman"/>
          <w:rFonts w:ascii="Times New Roman" w:hAnsi="Times New Roman"/>
          <w:b w:val="0"/>
          <w:i w:val="0"/>
          <w:sz w:val="22"/>
          <w:u w:val="none"/>
        </w:rPr>
        <w:t>Il est précisé que les compléments de travaux par devis supplémentaires approuvés ou votés après la vente seront donc à la charge de l'ACQUEREUR.</w:t>
      </w:r>
    </w:p>
    <w:p>
      <w:pPr>
        <w:spacing w:after="0" w:before="0"/>
        <w:ind w:firstLine="709"/>
        <w:jc w:val="both"/>
      </w:pPr>
      <w:r>
        <w:rPr>
          <w:rFonts w:ascii="Times New Roman" w:hAnsi="Times New Roman" w:cs="Times New Roman"/>
          <w:rFonts w:ascii="Times New Roman" w:hAnsi="Times New Roman"/>
          <w:b/>
          <w:i w:val="0"/>
          <w:sz w:val="22"/>
          <w:u w:val="none"/>
        </w:rPr>
        <w:t>En outre, les subventions allouées ou versées après réalisation de la vente au titre de travaux réalisés aux frais ou à la charge du VENDEUR devront lui être remboursés par l'ACQUEREUR dans les plus brefs délais, notamment en ce qui concerne les subventions versées au titre des travaux de rénovation énergétique de la copropriété.</w:t>
      </w:r>
    </w:p>
    <w:p>
      <w:pPr>
        <w:spacing w:after="0" w:before="0"/>
        <w:ind w:firstLine="709"/>
        <w:jc w:val="both"/>
      </w:pPr>
      <w:r>
        <w:rPr>
          <w:rFonts w:ascii="Times New Roman" w:hAnsi="Times New Roman" w:cs="Times New Roman"/>
          <w:rFonts w:ascii="Times New Roman" w:hAnsi="Times New Roman"/>
          <w:b/>
          <w:i w:val="0"/>
          <w:sz w:val="22"/>
          <w:u w:val="none"/>
        </w:rPr>
        <w:t>Convention des parties sur les procédures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n'existe actuellement à sa connaissance aucune procédure en cours.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sera subrogé dans tous les droits et obligations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dans les procédures pouvant être révélées concernant la copropriété, sauf si ces procédures sont le résultat d'une faute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En conséquence,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se désister en faveur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du bénéfice de toutes sommes qui pourraient lui être ultérieurement allouées ou remboursées à ce titre, relativement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aucuns travaux nécessaires à la sauvegarde de l'immeuble n'ont été décidés par le syndic depuis la date de signature de l'avant-contrat.</w:t>
      </w:r>
    </w:p>
    <w:p>
      <w:pPr>
        <w:spacing w:after="0" w:before="0"/>
        <w:ind w:firstLine="709"/>
        <w:jc w:val="both"/>
      </w:pPr>
      <w:r>
        <w:rPr>
          <w:rFonts w:ascii="Times New Roman" w:hAnsi="Times New Roman" w:cs="Times New Roman"/>
          <w:rFonts w:ascii="Times New Roman" w:hAnsi="Times New Roman"/>
          <w:b/>
          <w:i w:val="0"/>
          <w:sz w:val="22"/>
          <w:u w:val="none"/>
        </w:rPr>
        <w:t>Règlement définitif des charges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versé à l'instant même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la comptabilité de l'Office Notarial, la somme correspondant au prorata des charges du trimestre en cours dont le paiement a déjà été appelé par le syndic et réglé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Ce paiement est effectué à titre définitif entre les parties, et ce quel que soit le décompte définitif des charges sur l'exercice en cours. Les parties reconnaissent avoir été informées par le rédacteur des présentes que le trop ou le moins perçu sur provisions, révélé par l'approbation des comptes, est porté au crédit ou au débit du compte de celui qui est copropriétaire lors de l'approbation de ces comptes.</w:t>
      </w:r>
    </w:p>
    <w:p>
      <w:pPr>
        <w:spacing w:after="0" w:before="0"/>
        <w:ind w:firstLine="709"/>
        <w:jc w:val="both"/>
      </w:pPr>
      <w:r>
        <w:rPr>
          <w:rFonts w:ascii="Times New Roman" w:hAnsi="Times New Roman" w:cs="Times New Roman"/>
          <w:rFonts w:ascii="Times New Roman" w:hAnsi="Times New Roman"/>
          <w:b w:val="0"/>
          <w:i w:val="0"/>
          <w:sz w:val="22"/>
          <w:u w:val="none"/>
        </w:rPr>
        <w:t>Compte tenu des montants versés lors du dernier exercice, il n'est pas apparu aux parties nécessaire de procéder par versement provisionnel.</w:t>
      </w:r>
    </w:p>
    <w:p>
      <w:pPr>
        <w:spacing w:after="0" w:before="0"/>
        <w:ind w:firstLine="709"/>
        <w:jc w:val="both"/>
      </w:pPr>
      <w:r>
        <w:rPr>
          <w:rFonts w:ascii="Times New Roman" w:hAnsi="Times New Roman" w:cs="Times New Roman"/>
          <w:rFonts w:ascii="Times New Roman" w:hAnsi="Times New Roman"/>
          <w:b w:val="0"/>
          <w:i w:val="0"/>
          <w:sz w:val="22"/>
          <w:u w:val="none"/>
        </w:rPr>
        <w:t>Ce règlement définitif n'est valable que sur les comptes de l'exercice en cours dans la mesure où l'année précédente n'aurait pas été encore clôturée.</w:t>
      </w:r>
    </w:p>
    <w:p>
      <w:pPr>
        <w:spacing w:after="0" w:before="0"/>
        <w:ind w:firstLine="709"/>
        <w:jc w:val="both"/>
      </w:pPr>
      <w:r>
        <w:rPr>
          <w:rFonts w:ascii="Times New Roman" w:hAnsi="Times New Roman" w:cs="Times New Roman"/>
          <w:rFonts w:ascii="Times New Roman" w:hAnsi="Times New Roman"/>
          <w:b/>
          <w:i w:val="0"/>
          <w:sz w:val="22"/>
          <w:u w:val="none"/>
        </w:rPr>
        <w:t>Solde de l'exercice antérieur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comptes de l'exercice précédent ne sont pas précisément connus à ce jour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Son solde créditeur ou débiteur non encore imputé sur le compte du copropriétaire fera le bénéfice ou la perte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exclusivement, ce dernier s'engageant à rembourser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à première demande de ce dernier, les sommes qui seraient réclamées à ce titre,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s'engageant également à rembourser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sans délai, le solde créditeur qui pourrait subsister concernant cet exercice.</w:t>
      </w:r>
    </w:p>
    <w:p>
      <w:pPr>
        <w:spacing w:after="0" w:before="0"/>
        <w:ind w:firstLine="709"/>
        <w:jc w:val="both"/>
      </w:pPr>
      <w:r>
        <w:rPr>
          <w:rFonts w:ascii="Times New Roman" w:hAnsi="Times New Roman" w:cs="Times New Roman"/>
          <w:rFonts w:ascii="Times New Roman" w:hAnsi="Times New Roman"/>
          <w:b w:val="0"/>
          <w:i w:val="0"/>
          <w:sz w:val="22"/>
          <w:u w:val="none"/>
        </w:rPr>
        <w:t>En tout état de cause,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s'oblige à adresser, dès sa réception,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le relevé de compte de charges où figurera le solde de compte débiteur ou créditeur de l'exercice antérieur.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Compte tenu des provisions versées pour cet exercice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des comptes de l'exercice précédent, il n'est pas apparu nécessaire aux parties de séquestrer une somme en garantie du paiement du solde dû par l'une ou l'autre d'entre elles.</w:t>
      </w:r>
    </w:p>
    <w:p>
      <w:pPr>
        <w:spacing w:after="0" w:before="0"/>
        <w:ind w:firstLine="709"/>
        <w:jc w:val="both"/>
      </w:pPr>
      <w:r>
        <w:rPr>
          <w:rFonts w:ascii="Times New Roman" w:hAnsi="Times New Roman" w:cs="Times New Roman"/>
          <w:rFonts w:ascii="Times New Roman" w:hAnsi="Times New Roman"/>
          <w:b/>
          <w:i w:val="0"/>
          <w:sz w:val="22"/>
          <w:u w:val="none"/>
        </w:rPr>
        <w:t>Règlement effectué par prélèvement sur le prix des travaux votés et non appelés en tout ou partie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donne à l'instant même son accord au notaire détenteur du prix de vente pour régler au syndic, en l'acquit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par prélèvement sur ce prix, la somme de </w:t>
      </w:r>
      <w:r>
        <w:rPr>
          <w:rFonts w:ascii="Times New Roman" w:hAnsi="Times New Roman" w:cs="Times New Roman"/>
          <w:rFonts w:ascii="Times New Roman" w:hAnsi="Times New Roman"/>
          <w:b w:val="0"/>
          <w:i w:val="0"/>
          <w:sz w:val="22"/>
          <w:u w:val="none"/>
        </w:rPr>
        <w:t>9 956,86</w:t>
      </w:r>
      <w:r>
        <w:rPr>
          <w:rFonts w:ascii="Times New Roman" w:hAnsi="Times New Roman" w:cs="Times New Roman"/>
          <w:rFonts w:ascii="Times New Roman" w:hAnsi="Times New Roman"/>
          <w:b w:val="0"/>
          <w:i w:val="0"/>
          <w:sz w:val="22"/>
          <w:u w:val="none"/>
        </w:rPr>
        <w:t xml:space="preserve"> EUR correspondant à sa quote-part dans les travaux votés mais non encore appelés (en tout ou partie), conformément aux indications fournies par le syndic dans l'état susvisé et en application de l'avant-contrat.</w:t>
      </w:r>
    </w:p>
    <w:p>
      <w:pPr>
        <w:spacing w:after="0" w:before="0"/>
        <w:ind w:firstLine="709"/>
        <w:jc w:val="both"/>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L'état révèle l'existence d'une cotisation annuelle à un fonds de travaux.</w:t>
      </w:r>
    </w:p>
    <w:p>
      <w:pPr>
        <w:spacing w:after="0" w:before="0"/>
        <w:ind w:firstLine="709"/>
        <w:jc w:val="both"/>
      </w:pPr>
      <w:r>
        <w:rPr>
          <w:rFonts w:ascii="Times New Roman" w:hAnsi="Times New Roman" w:cs="Times New Roman"/>
          <w:rFonts w:ascii="Times New Roman" w:hAnsi="Times New Roman"/>
          <w:b w:val="0"/>
          <w:i w:val="0"/>
          <w:sz w:val="22"/>
          <w:u w:val="none"/>
        </w:rPr>
        <w:t>Précision étant ici faite qu'il a été voté en assemblée générale des copropriétaires la constitution d'un fonds de travaux.</w:t>
      </w:r>
    </w:p>
    <w:p>
      <w:pPr>
        <w:spacing w:after="0" w:before="0"/>
        <w:ind w:firstLine="709"/>
        <w:jc w:val="both"/>
      </w:pPr>
      <w:r>
        <w:rPr>
          <w:rFonts w:ascii="Times New Roman" w:hAnsi="Times New Roman" w:cs="Times New Roman"/>
          <w:rFonts w:ascii="Times New Roman" w:hAnsi="Times New Roman"/>
          <w:b w:val="0"/>
          <w:i w:val="0"/>
          <w:sz w:val="22"/>
          <w:u w:val="none"/>
        </w:rPr>
        <w:t>Ces sommes sont rattachées aux lots et sont définitivement acquises au syndicat des copropriétaires. Elles ne donnent pas lieu à leur remboursement par le syndicat lors de la cession de lots.</w:t>
      </w:r>
    </w:p>
    <w:p>
      <w:pPr>
        <w:spacing w:after="0" w:before="0"/>
        <w:ind w:firstLine="709"/>
        <w:jc w:val="both"/>
      </w:pPr>
      <w:r>
        <w:rPr>
          <w:rFonts w:ascii="Times New Roman" w:hAnsi="Times New Roman" w:cs="Times New Roman"/>
          <w:rFonts w:ascii="Times New Roman" w:hAnsi="Times New Roman"/>
          <w:b w:val="0"/>
          <w:i w:val="0"/>
          <w:sz w:val="22"/>
          <w:u w:val="none"/>
        </w:rPr>
        <w:t>Par suite, les parties conviennent d'effectuer directement entre elles le remboursement des sommes ainsi versées ce jour,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devenant alors subrogé dans les droits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sur ce fonds.</w:t>
      </w:r>
    </w:p>
    <w:p>
      <w:pPr>
        <w:spacing w:after="0" w:before="0"/>
        <w:ind w:firstLine="709"/>
        <w:jc w:val="both"/>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n'avoir versé aucune avance, ainsi constaté aux termes de l'état délivré par le syndic.</w:t>
      </w:r>
    </w:p>
    <w:p>
      <w:pPr>
        <w:spacing w:after="0" w:before="0"/>
        <w:ind w:firstLine="709"/>
        <w:jc w:val="both"/>
      </w:pPr>
      <w:r>
        <w:rPr>
          <w:rFonts w:ascii="Times New Roman" w:hAnsi="Times New Roman" w:cs="Times New Roman"/>
          <w:rFonts w:ascii="Times New Roman" w:hAnsi="Times New Roman"/>
          <w:b/>
          <w:i w:val="0"/>
          <w:sz w:val="22"/>
          <w:u w:val="none"/>
        </w:rPr>
        <w:t>Election de domicile pour l'opposition du syndic</w:t>
      </w:r>
    </w:p>
    <w:p>
      <w:pPr>
        <w:spacing w:after="0" w:before="0"/>
        <w:ind w:firstLine="709"/>
        <w:jc w:val="both"/>
      </w:pPr>
      <w:r>
        <w:rPr>
          <w:rFonts w:ascii="Times New Roman" w:hAnsi="Times New Roman" w:cs="Times New Roman"/>
          <w:rFonts w:ascii="Times New Roman" w:hAnsi="Times New Roman"/>
          <w:b w:val="0"/>
          <w:i w:val="0"/>
          <w:sz w:val="22"/>
          <w:u w:val="none"/>
        </w:rPr>
        <w:t>Pour l'opposition éventuelle du syndic, domicile spécial est élu en l'office notarial du notaire rédacteur des présentes, détenteur des fonds.</w:t>
      </w:r>
    </w:p>
    <w:p>
      <w:pPr>
        <w:spacing w:after="0" w:before="0"/>
        <w:ind w:firstLine="709"/>
        <w:jc w:val="both"/>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En application de l'article 20 de la loi numéro 65-557 du 10 juillet 1965, un avis de la vente sera adressé sous quinze jours au syndic de copropriété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Avant l'expiration d'un délai de quinze jours à compter de la réception de cet avis, le syndic pourra former, par acte extrajudiciaire, opposition au versement des fonds dans la limite des sommes restant dues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notaire libèrera le prix de vente disponible dès l'accord entre le syndic 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sur les sommes restant dues. A défaut d'accord dans les trois mois de la constitution par le syndic de l'opposition régulière, il versera les sommes retenues au syndicat, sauf contestation judiciaire de cette opposition.</w:t>
      </w:r>
    </w:p>
    <w:p>
      <w:pPr>
        <w:spacing w:after="0" w:before="0"/>
        <w:ind w:firstLine="709"/>
        <w:jc w:val="both"/>
      </w:pPr>
      <w:r>
        <w:rPr>
          <w:rFonts w:ascii="Times New Roman" w:hAnsi="Times New Roman" w:cs="Times New Roman"/>
          <w:rFonts w:ascii="Times New Roman" w:hAnsi="Times New Roman"/>
          <w:b w:val="0"/>
          <w:i w:val="0"/>
          <w:sz w:val="22"/>
          <w:u w:val="none"/>
        </w:rPr>
        <w:t>La notification de transfert sera également adressée par les soins du notaire au syndic de copropriété. A cette occasion,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autorise le notaire à communiquer au syndic son adresse électronique ainsi que son numéro de téléphone.</w:t>
      </w:r>
    </w:p>
    <w:p>
      <w:pPr>
        <w:pStyle w:val="Heading3"/>
      </w:pPr>
      <w:r>
        <w:rPr>
          <w:rFonts w:ascii="Times New Roman" w:hAnsi="Times New Roman" w:cs="Times New Roman"/>
          <w:rFonts w:ascii="Times New Roman" w:hAnsi="Times New Roman"/>
          <w:sz w:val="22"/>
        </w:rPr>
        <w:t>ORIGINE DE PROPRIÉTÉ</w:t>
      </w:r>
    </w:p>
    <w:p>
      <w:pPr>
        <w:pStyle w:val="Heading2"/>
      </w:pPr>
      <w:r>
        <w:rPr>
          <w:rFonts w:ascii="Times New Roman" w:hAnsi="Times New Roman" w:cs="Times New Roman"/>
          <w:rFonts w:ascii="Times New Roman" w:hAnsi="Times New Roman"/>
          <w:sz w:val="22"/>
        </w:rPr>
        <w:t>Concernant &lt;&lt;&lt;VAR_START&gt;&gt;&gt;le lot numéro&lt;&lt;&lt;VAR_END&gt;&gt;&gt; &lt;&lt;&lt;VAR_START&gt;&gt;&gt;48&lt;&lt;&lt;VAR_END&gt;&gt;&gt;</w:t>
      </w:r>
    </w:p>
    <w:p>
      <w:pPr>
        <w:spacing w:after="0" w:before="0"/>
        <w:ind w:firstLine="709"/>
        <w:jc w:val="both"/>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Marie Jeanne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Pierre 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sont propriétaires indivis</w:t>
      </w:r>
      <w:r>
        <w:rPr>
          <w:rFonts w:ascii="Times New Roman" w:hAnsi="Times New Roman" w:cs="Times New Roman"/>
          <w:rFonts w:ascii="Times New Roman" w:hAnsi="Times New Roman"/>
          <w:b w:val="0"/>
          <w:i w:val="0"/>
          <w:sz w:val="22"/>
          <w:u w:val="none"/>
        </w:rPr>
        <w:t xml:space="preserve"> à concurrence de moitié chacun </w:t>
      </w:r>
      <w:r>
        <w:rPr>
          <w:rFonts w:ascii="Times New Roman" w:hAnsi="Times New Roman" w:cs="Times New Roman"/>
          <w:rFonts w:ascii="Times New Roman" w:hAnsi="Times New Roman"/>
          <w:b w:val="0"/>
          <w:i w:val="0"/>
          <w:sz w:val="22"/>
          <w:u w:val="none"/>
        </w:rPr>
        <w:t>du lot numéro</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48</w:t>
      </w:r>
      <w:r>
        <w:rPr>
          <w:rFonts w:ascii="Times New Roman" w:hAnsi="Times New Roman" w:cs="Times New Roman"/>
          <w:rFonts w:ascii="Times New Roman" w:hAnsi="Times New Roman"/>
          <w:b w:val="0"/>
          <w:i w:val="0"/>
          <w:sz w:val="22"/>
          <w:u w:val="none"/>
        </w:rPr>
        <w:t xml:space="preserve"> susvisés par suite de l'acquisition qu'</w:t>
      </w:r>
      <w:r>
        <w:rPr>
          <w:rFonts w:ascii="Times New Roman" w:hAnsi="Times New Roman" w:cs="Times New Roman"/>
          <w:rFonts w:ascii="Times New Roman" w:hAnsi="Times New Roman"/>
          <w:b w:val="0"/>
          <w:i w:val="0"/>
          <w:sz w:val="22"/>
          <w:u w:val="none"/>
        </w:rPr>
        <w:t>ils</w:t>
      </w:r>
      <w:r>
        <w:rPr>
          <w:rFonts w:ascii="Times New Roman" w:hAnsi="Times New Roman" w:cs="Times New Roman"/>
          <w:rFonts w:ascii="Times New Roman" w:hAnsi="Times New Roman"/>
          <w:b w:val="0"/>
          <w:i w:val="0"/>
          <w:sz w:val="22"/>
          <w:u w:val="none"/>
        </w:rPr>
        <w:t xml:space="preserve"> en </w:t>
      </w:r>
      <w:r>
        <w:rPr>
          <w:rFonts w:ascii="Times New Roman" w:hAnsi="Times New Roman" w:cs="Times New Roman"/>
          <w:rFonts w:ascii="Times New Roman" w:hAnsi="Times New Roman"/>
          <w:b w:val="0"/>
          <w:i w:val="0"/>
          <w:sz w:val="22"/>
          <w:u w:val="none"/>
        </w:rPr>
        <w:t>ont</w:t>
      </w:r>
      <w:r>
        <w:rPr>
          <w:rFonts w:ascii="Times New Roman" w:hAnsi="Times New Roman" w:cs="Times New Roman"/>
          <w:rFonts w:ascii="Times New Roman" w:hAnsi="Times New Roman"/>
          <w:b w:val="0"/>
          <w:i w:val="0"/>
          <w:sz w:val="22"/>
          <w:u w:val="none"/>
        </w:rPr>
        <w:t xml:space="preserve"> faite de :</w:t>
      </w:r>
    </w:p>
    <w:p>
      <w:pPr>
        <w:spacing w:after="0" w:before="0"/>
        <w:ind w:firstLine="709"/>
        <w:jc w:val="both"/>
      </w:pPr>
      <w:r>
        <w:rPr>
          <w:rFonts w:ascii="Times New Roman" w:hAnsi="Times New Roman" w:cs="Times New Roman"/>
          <w:rFonts w:ascii="Times New Roman" w:hAnsi="Times New Roman"/>
          <w:b w:val="0"/>
          <w:i/>
          <w:sz w:val="22"/>
          <w:u w:val="none"/>
        </w:rPr>
        <w:t>(identité du vendeur précédent à compléter)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reçu par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prix a été payé comptant et quittancé audit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L'état délivré sur cette publication n'a pas été présenté au notaire soussigné.</w:t>
      </w:r>
    </w:p>
    <w:p>
      <w:pPr>
        <w:pStyle w:val="Heading2"/>
      </w:pPr>
      <w:r>
        <w:rPr>
          <w:rFonts w:ascii="Times New Roman" w:hAnsi="Times New Roman" w:cs="Times New Roman"/>
          <w:rFonts w:ascii="Times New Roman" w:hAnsi="Times New Roman"/>
          <w:sz w:val="22"/>
        </w:rPr>
        <w:t>Concernant &lt;&lt;&lt;VAR_START&gt;&gt;&gt;les lots numéros&lt;&lt;&lt;VAR_END&gt;&gt;&gt; &lt;&lt;&lt;VAR_START&gt;&gt;&gt;14 et 29&lt;&lt;&lt;VAR_END&gt;&gt;&gt;</w:t>
      </w:r>
    </w:p>
    <w:p>
      <w:pPr>
        <w:spacing w:after="0" w:before="0"/>
        <w:ind w:firstLine="709"/>
        <w:jc w:val="both"/>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Madame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Marie Jeanne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val="0"/>
          <w:i w:val="0"/>
          <w:sz w:val="22"/>
          <w:u w:val="none"/>
        </w:rPr>
        <w:t>Monsieur</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Pierre Jean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DURAND</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sont propriétaires indivis</w:t>
      </w:r>
      <w:r>
        <w:rPr>
          <w:rFonts w:ascii="Times New Roman" w:hAnsi="Times New Roman" w:cs="Times New Roman"/>
          <w:rFonts w:ascii="Times New Roman" w:hAnsi="Times New Roman"/>
          <w:b w:val="0"/>
          <w:i w:val="0"/>
          <w:sz w:val="22"/>
          <w:u w:val="none"/>
        </w:rPr>
        <w:t xml:space="preserve"> à concurrence de moitié chacun </w:t>
      </w:r>
      <w:r>
        <w:rPr>
          <w:rFonts w:ascii="Times New Roman" w:hAnsi="Times New Roman" w:cs="Times New Roman"/>
          <w:rFonts w:ascii="Times New Roman" w:hAnsi="Times New Roman"/>
          <w:b w:val="0"/>
          <w:i w:val="0"/>
          <w:sz w:val="22"/>
          <w:u w:val="none"/>
        </w:rPr>
        <w:t>des lots numéros</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none"/>
        </w:rPr>
        <w:t>14 et 29</w:t>
      </w:r>
      <w:r>
        <w:rPr>
          <w:rFonts w:ascii="Times New Roman" w:hAnsi="Times New Roman" w:cs="Times New Roman"/>
          <w:rFonts w:ascii="Times New Roman" w:hAnsi="Times New Roman"/>
          <w:b w:val="0"/>
          <w:i w:val="0"/>
          <w:sz w:val="22"/>
          <w:u w:val="none"/>
        </w:rPr>
        <w:t xml:space="preserve"> susvisés par suite de l'acquisition qu'</w:t>
      </w:r>
      <w:r>
        <w:rPr>
          <w:rFonts w:ascii="Times New Roman" w:hAnsi="Times New Roman" w:cs="Times New Roman"/>
          <w:rFonts w:ascii="Times New Roman" w:hAnsi="Times New Roman"/>
          <w:b w:val="0"/>
          <w:i w:val="0"/>
          <w:sz w:val="22"/>
          <w:u w:val="none"/>
        </w:rPr>
        <w:t>ils</w:t>
      </w:r>
      <w:r>
        <w:rPr>
          <w:rFonts w:ascii="Times New Roman" w:hAnsi="Times New Roman" w:cs="Times New Roman"/>
          <w:rFonts w:ascii="Times New Roman" w:hAnsi="Times New Roman"/>
          <w:b w:val="0"/>
          <w:i w:val="0"/>
          <w:sz w:val="22"/>
          <w:u w:val="none"/>
        </w:rPr>
        <w:t xml:space="preserve"> en </w:t>
      </w:r>
      <w:r>
        <w:rPr>
          <w:rFonts w:ascii="Times New Roman" w:hAnsi="Times New Roman" w:cs="Times New Roman"/>
          <w:rFonts w:ascii="Times New Roman" w:hAnsi="Times New Roman"/>
          <w:b w:val="0"/>
          <w:i w:val="0"/>
          <w:sz w:val="22"/>
          <w:u w:val="none"/>
        </w:rPr>
        <w:t>ont</w:t>
      </w:r>
      <w:r>
        <w:rPr>
          <w:rFonts w:ascii="Times New Roman" w:hAnsi="Times New Roman" w:cs="Times New Roman"/>
          <w:rFonts w:ascii="Times New Roman" w:hAnsi="Times New Roman"/>
          <w:b w:val="0"/>
          <w:i w:val="0"/>
          <w:sz w:val="22"/>
          <w:u w:val="none"/>
        </w:rPr>
        <w:t xml:space="preserve"> faite de :</w:t>
      </w:r>
    </w:p>
    <w:p>
      <w:pPr>
        <w:spacing w:after="0" w:before="0"/>
        <w:ind w:firstLine="709"/>
        <w:jc w:val="both"/>
      </w:pPr>
      <w:r>
        <w:rPr>
          <w:rFonts w:ascii="Times New Roman" w:hAnsi="Times New Roman" w:cs="Times New Roman"/>
          <w:rFonts w:ascii="Times New Roman" w:hAnsi="Times New Roman"/>
          <w:b w:val="0"/>
          <w:i/>
          <w:sz w:val="22"/>
          <w:u w:val="none"/>
        </w:rPr>
        <w:t>(identité du vendeur précédent à compléter)</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reçu par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prix a été payé comptant et quittancé audit acte.</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L'état délivré sur cette publication n'a pas été présenté au notaire soussigné.</w:t>
      </w:r>
    </w:p>
    <w:p>
      <w:pPr>
        <w:pStyle w:val="Heading3"/>
      </w:pPr>
      <w:r>
        <w:rPr>
          <w:rFonts w:ascii="Times New Roman" w:hAnsi="Times New Roman" w:cs="Times New Roman"/>
          <w:rFonts w:ascii="Times New Roman" w:hAnsi="Times New Roman"/>
          <w:sz w:val="22"/>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Le notaire rédacteur adressera, à l'attention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une copie authentique, sur support papier ou sur support électronique, des présentes qu'ultérieurement, notamment en cas de demande expresse de ce dernier, de son mandataire, de son notaire, ou de son ayant droit.</w:t>
      </w:r>
    </w:p>
    <w:p>
      <w:pPr>
        <w:spacing w:after="0" w:before="0"/>
        <w:ind w:firstLine="709"/>
        <w:jc w:val="both"/>
      </w:pPr>
      <w:r>
        <w:rPr>
          <w:rFonts w:ascii="Times New Roman" w:hAnsi="Times New Roman" w:cs="Times New Roman"/>
          <w:rFonts w:ascii="Times New Roman" w:hAnsi="Times New Roman"/>
          <w:b w:val="0"/>
          <w:i w:val="0"/>
          <w:sz w:val="22"/>
          <w:u w:val="none"/>
        </w:rPr>
        <w:t>Néanmoins, le notaire lui adressera, immédiatement après la signature des présentes, une copie scannée de l'acte si l'acte a été signé sur support papier, ou une copie de l'acte électronique s'il a été signé sous cette forme.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donne son agrément à ces modalités de délivrance, sans que cet agrément vaille dispense pour le notaire de délivrer ultérieurement la copie authentique.</w:t>
      </w:r>
    </w:p>
    <w:p>
      <w:pPr>
        <w:pStyle w:val="Heading3"/>
      </w:pPr>
      <w:r>
        <w:rPr>
          <w:rFonts w:ascii="Times New Roman" w:hAnsi="Times New Roman" w:cs="Times New Roman"/>
          <w:rFonts w:ascii="Times New Roman" w:hAnsi="Times New Roman"/>
          <w:sz w:val="22"/>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3"/>
      </w:pPr>
      <w:r>
        <w:rPr>
          <w:rFonts w:ascii="Times New Roman" w:hAnsi="Times New Roman" w:cs="Times New Roman"/>
          <w:rFonts w:ascii="Times New Roman" w:hAnsi="Times New Roman"/>
          <w:sz w:val="22"/>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application de l'article 1112-1 du Code civil qui impose aux parties un devoir précontractuel d'information, qui ne saurait toutefois porter sur le prix,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avoir porté à la connaissance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l'ensemble des informations dont il dispose ayant un lien direct et nécessaire avec le contenu du présent contrat et dont l'importance pourrait être déterminante de son consentement.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devoir s'applique à toute information sur les caractéristiques juridiques, matérielles et environnementales relatives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ainsi qu'à son usage, dont il a personnellement connaissance par lui-même et par des tiers, sans que ces informations puissent être limitées dans le temps.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reconnaît être informé qu'un manquement à ce devoir serait sanctionné par la mise en oeuvre de sa responsabilité, avec possibilité d'annulation du contrat s'il a vicié le consentement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Pareillement,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rempli les mêmes engagements, tout manquement pouvant être sanctionné comme indiqué ci-dessus.</w:t>
      </w:r>
    </w:p>
    <w:p>
      <w:pPr>
        <w:spacing w:after="0" w:before="0"/>
        <w:ind w:firstLine="709"/>
        <w:jc w:val="both"/>
      </w:pPr>
      <w:r>
        <w:rPr>
          <w:rFonts w:ascii="Times New Roman" w:hAnsi="Times New Roman" w:cs="Times New Roman"/>
          <w:rFonts w:ascii="Times New Roman" w:hAnsi="Times New Roman"/>
          <w:b w:val="0"/>
          <w:i w:val="0"/>
          <w:sz w:val="22"/>
          <w:u w:val="none"/>
        </w:rPr>
        <w:t>Le devoir d'information est donc réciproque.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outre, conformément aux dispositions de l'article 1602 du Code civil,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tenu d'expliquer clairement ce à quoi il s'oblige, tout pacte obscur ou ambigu s'interprétant contre lui.</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PARTIES</w:t>
      </w:r>
      <w:r>
        <w:rPr>
          <w:rFonts w:ascii="Times New Roman" w:hAnsi="Times New Roman" w:cs="Times New Roman"/>
          <w:rFonts w:ascii="Times New Roman" w:hAnsi="Times New Roman"/>
          <w:b w:val="0"/>
          <w:i w:val="0"/>
          <w:sz w:val="22"/>
          <w:u w:val="none"/>
        </w:rPr>
        <w:t xml:space="preserve"> attestent que les informations déterminantes connues d'elles, données et reçues, sont rapportées aux présentes.</w:t>
      </w:r>
    </w:p>
    <w:p>
      <w:pPr>
        <w:pStyle w:val="Heading3"/>
      </w:pPr>
      <w:r>
        <w:rPr>
          <w:rFonts w:ascii="Times New Roman" w:hAnsi="Times New Roman" w:cs="Times New Roman"/>
          <w:rFonts w:ascii="Times New Roman" w:hAnsi="Times New Roman"/>
          <w:sz w:val="22"/>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 mécanisme de l'imprévision nécessite un changement de circonstances rendant l'exécution d'un contrat excessivement onéreuse, changement imprévisible lors de la conclusion de celui-ci.</w:t>
      </w:r>
    </w:p>
    <w:p>
      <w:pPr>
        <w:spacing w:after="0" w:before="0"/>
        <w:ind w:firstLine="709"/>
        <w:jc w:val="both"/>
      </w:pPr>
      <w:r>
        <w:rPr>
          <w:rFonts w:ascii="Times New Roman" w:hAnsi="Times New Roman" w:cs="Times New Roman"/>
          <w:rFonts w:ascii="Times New Roman" w:hAnsi="Times New Roman"/>
          <w:b w:val="0"/>
          <w:i w:val="0"/>
          <w:sz w:val="22"/>
          <w:u w:val="none"/>
        </w:rPr>
        <w:t>Ce mécanisme est prévu à l'article 1195 du Code civil dont les dispositions sont littéralement rapportées :</w:t>
      </w:r>
    </w:p>
    <w:p>
      <w:pPr>
        <w:spacing w:after="0" w:before="0"/>
        <w:ind w:firstLine="709"/>
        <w:jc w:val="both"/>
      </w:pPr>
      <w:r>
        <w:rPr>
          <w:rFonts w:ascii="Times New Roman" w:hAnsi="Times New Roman" w:cs="Times New Roman"/>
          <w:rFonts w:ascii="Times New Roman" w:hAnsi="Times New Roman"/>
          <w:b w:val="0"/>
          <w:i/>
          <w:sz w:val="22"/>
          <w:u w:val="none"/>
        </w:rPr>
        <w:t>"Si un changement de circonstances imprévisible lors de la conclusion du contrat rend l'exécution excessivement onéreuse pour une partie qui n'avait pas accepté d'en assumer le risque, celle-ci peut demander une renégociation du contrat à son cocontractant. Elle continue à exécuter ses obligations durant la renégociation.</w:t>
      </w:r>
    </w:p>
    <w:p>
      <w:pPr>
        <w:spacing w:after="0" w:before="0"/>
        <w:ind w:firstLine="709"/>
        <w:jc w:val="both"/>
      </w:pPr>
      <w:r>
        <w:rPr>
          <w:rFonts w:ascii="Times New Roman" w:hAnsi="Times New Roman" w:cs="Times New Roman"/>
          <w:rFonts w:ascii="Times New Roman" w:hAnsi="Times New Roman"/>
          <w:b w:val="0"/>
          <w:i w:val="0"/>
          <w:sz w:val="22"/>
          <w:u w:val="none"/>
        </w:rPr>
        <w:t>En cas de refus ou d'échec de la renégociation, les parties peuvent convenir de la résolution du contrat, à la date et aux conditions qu'elles déterminent, ou demander d'un commun accord au juge de procéder à son adaptation. A défaut d'accord dans un délai raisonnable, le juge peut, à la demande d'une partie, réviser le contrat ou y mettre fin, à la date et aux conditions qu'il fixe".</w:t>
      </w:r>
    </w:p>
    <w:p>
      <w:pPr>
        <w:spacing w:after="0" w:before="0"/>
        <w:ind w:firstLine="709"/>
        <w:jc w:val="both"/>
      </w:pPr>
      <w:r>
        <w:rPr>
          <w:rFonts w:ascii="Times New Roman" w:hAnsi="Times New Roman" w:cs="Times New Roman"/>
          <w:rFonts w:ascii="Times New Roman" w:hAnsi="Times New Roman"/>
          <w:b w:val="0"/>
          <w:i w:val="0"/>
          <w:sz w:val="22"/>
          <w:u w:val="none"/>
        </w:rPr>
        <w:t>Les parties écartent de leur contrat les dispositions de l'article 1195 du Code civil permettant la révision du contrat pour imprévision, estimant que compte tenu du contexte des présentes, cette renonciation n'aura pas de conséquences déraisonnables à l'endroit de l'une d'entre elles. Par suite, elles ne pourront pas solliciter judiciairement la renégociation des présentes s'il survient un évènement imprévisible rendant l'exécution excessivement onéreuse pour l'une d'entre elles. Toutefois cette renonciation n'aura d'effet que pour les évènements qui n'auront pas été prévus aux termes des présentes.</w:t>
      </w:r>
    </w:p>
    <w:p>
      <w:pPr>
        <w:spacing w:after="0" w:before="0"/>
        <w:ind w:firstLine="709"/>
        <w:jc w:val="both"/>
      </w:pPr>
      <w:r>
        <w:rPr>
          <w:rFonts w:ascii="Times New Roman" w:hAnsi="Times New Roman" w:cs="Times New Roman"/>
          <w:rFonts w:ascii="Times New Roman" w:hAnsi="Times New Roman"/>
          <w:b w:val="0"/>
          <w:i w:val="0"/>
          <w:sz w:val="22"/>
          <w:u w:val="none"/>
        </w:rPr>
        <w:t>Une telle renonciation ne concerne pas le cas de force majeure caractérisé par l'irrésistibilité et l'imprévisibilité qui impliquent l'impossibilité pour le débiteur d'exécuter son obligation et dont seul le débiteur peut se prévaloir.</w:t>
      </w:r>
    </w:p>
    <w:p>
      <w:pPr>
        <w:spacing w:after="0" w:before="0"/>
        <w:ind w:firstLine="709"/>
        <w:jc w:val="both"/>
      </w:pPr>
      <w:r>
        <w:rPr>
          <w:rFonts w:ascii="Times New Roman" w:hAnsi="Times New Roman" w:cs="Times New Roman"/>
          <w:rFonts w:ascii="Times New Roman" w:hAnsi="Times New Roman"/>
          <w:b w:val="0"/>
          <w:i w:val="0"/>
          <w:sz w:val="22"/>
          <w:u w:val="none"/>
        </w:rPr>
        <w:t>Aux termes de l'article 1218 du Code civil "</w:t>
      </w:r>
      <w:r>
        <w:rPr>
          <w:rFonts w:ascii="Times New Roman" w:hAnsi="Times New Roman" w:cs="Times New Roman"/>
          <w:rFonts w:ascii="Times New Roman" w:hAnsi="Times New Roman"/>
          <w:b w:val="0"/>
          <w:i/>
          <w:sz w:val="22"/>
          <w:u w:val="none"/>
        </w:rPr>
        <w:t>Il y a force majeure en matière contractuelle lorsqu'un événement échappant au contrôle du débiteur, qui ne pouvait être raisonnablement prévu lors de la conclusion du contrat et dont les effets ne peuvent être évités par des mesures appropriées, empêche l'exécution de son obligation par le débiteur.</w:t>
      </w:r>
    </w:p>
    <w:p>
      <w:pPr>
        <w:spacing w:after="0" w:before="0"/>
        <w:ind w:firstLine="709"/>
        <w:jc w:val="both"/>
      </w:pPr>
      <w:r>
        <w:rPr>
          <w:rFonts w:ascii="Times New Roman" w:hAnsi="Times New Roman" w:cs="Times New Roman"/>
          <w:rFonts w:ascii="Times New Roman" w:hAnsi="Times New Roman"/>
          <w:b w:val="0"/>
          <w:i w:val="0"/>
          <w:sz w:val="22"/>
          <w:u w:val="none"/>
        </w:rPr>
        <w:t>Si l'empêchement est temporaire, l'exécution de l'obligation est suspendue à moins que le retard qui en résulterait ne justifie la résolution du contrat. Si l'empêchement est définitif, le contrat est résolu de plein droit et les parties sont libérées de leurs obligations dans les conditions prévues aux articles 1351 et 1351-1.</w:t>
      </w:r>
      <w:r>
        <w:rPr>
          <w:rFonts w:ascii="Times New Roman" w:hAnsi="Times New Roman" w:cs="Times New Roman"/>
          <w:rFonts w:ascii="Times New Roman" w:hAnsi="Times New Roman"/>
          <w:b w:val="0"/>
          <w:i/>
          <w:sz w:val="22"/>
          <w:u w:val="none"/>
        </w:rPr>
        <w:t>"</w:t>
      </w:r>
    </w:p>
    <w:p>
      <w:pPr>
        <w:pStyle w:val="Heading3"/>
      </w:pPr>
      <w:r>
        <w:rPr>
          <w:rFonts w:ascii="Times New Roman" w:hAnsi="Times New Roman" w:cs="Times New Roman"/>
          <w:rFonts w:ascii="Times New Roman" w:hAnsi="Times New Roman"/>
          <w:sz w:val="22"/>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Les présentes entrant dans le champ d'application de l'article L 271-1 du Code de la construction et de l'habitation issu de la loi relative à la solidarité et au renouvellement urbain, les parties attestent que les conventions contenues dans le présent acte sont identiques à celles figurant dans l'avant-contrat.</w:t>
      </w:r>
    </w:p>
    <w:p>
      <w:pPr>
        <w:spacing w:after="0" w:before="0"/>
        <w:ind w:firstLine="709"/>
        <w:jc w:val="both"/>
      </w:pPr>
      <w:r>
        <w:rPr>
          <w:rFonts w:ascii="Times New Roman" w:hAnsi="Times New Roman" w:cs="Times New Roman"/>
          <w:rFonts w:ascii="Times New Roman" w:hAnsi="Times New Roman"/>
          <w:b w:val="0"/>
          <w:i w:val="0"/>
          <w:sz w:val="22"/>
          <w:u w:val="none"/>
        </w:rPr>
        <w:t>Si toutefois des différences existaient les parties précisent qu'il ne s'agit alors que de points mineurs n'altérant pas les conditions essentielles et déterminantes de la vente telles qu'elles sont relatées dans l'avant contrat.</w:t>
      </w:r>
    </w:p>
    <w:p>
      <w:pPr>
        <w:pStyle w:val="Heading3"/>
      </w:pPr>
      <w:r>
        <w:rPr>
          <w:rFonts w:ascii="Times New Roman" w:hAnsi="Times New Roman" w:cs="Times New Roman"/>
          <w:rFonts w:ascii="Times New Roman" w:hAnsi="Times New Roman"/>
          <w:sz w:val="22"/>
        </w:rPr>
        <w:t>MÉDIATION</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qu'en cas de litige entre elles ou avec un tiers, elles pourront, préalablement à toute instance judiciaire, le soumettre à un médiateur qui sera désigné et missionné par le Centre de médiation notariale dont elles trouveront toutes les coordonnées et renseignements utiles sur le site : https://www.mediation.notaires.fr.</w:t>
      </w:r>
    </w:p>
    <w:p>
      <w:pPr>
        <w:pStyle w:val="Heading3"/>
      </w:pPr>
      <w:r>
        <w:rPr>
          <w:rFonts w:ascii="Times New Roman" w:hAnsi="Times New Roman" w:cs="Times New Roman"/>
          <w:rFonts w:ascii="Times New Roman" w:hAnsi="Times New Roman"/>
          <w:sz w:val="22"/>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pStyle w:val="Heading3"/>
      </w:pPr>
      <w:r>
        <w:rPr>
          <w:rFonts w:ascii="Times New Roman" w:hAnsi="Times New Roman" w:cs="Times New Roman"/>
          <w:rFonts w:ascii="Times New Roman" w:hAnsi="Times New Roman"/>
          <w:sz w:val="22"/>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pourra se faire délivrer, à ses frais, ceux dont il pourrait avoir besoin, et sera subrogé dans tous les droits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à ce sujet.</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correspondance auprès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s'effectuera à l'adresse indiquée en tête des présentes.</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pStyle w:val="Heading3"/>
      </w:pPr>
      <w:r>
        <w:rPr>
          <w:rFonts w:ascii="Times New Roman" w:hAnsi="Times New Roman" w:cs="Times New Roman"/>
          <w:rFonts w:ascii="Times New Roman" w:hAnsi="Times New Roman"/>
          <w:sz w:val="22"/>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3"/>
      </w:pPr>
      <w:r>
        <w:rPr>
          <w:rFonts w:ascii="Times New Roman" w:hAnsi="Times New Roman" w:cs="Times New Roman"/>
          <w:rFonts w:ascii="Times New Roman" w:hAnsi="Times New Roman"/>
          <w:sz w:val="22"/>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3"/>
      </w:pPr>
      <w:r>
        <w:rPr>
          <w:rFonts w:ascii="Times New Roman" w:hAnsi="Times New Roman" w:cs="Times New Roman"/>
          <w:rFonts w:ascii="Times New Roman" w:hAnsi="Times New Roman"/>
          <w:sz w:val="22"/>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Les originaux des documents et pièces remis par les parties au notaire leur seront restitués, si elles en font la demande expresse dans le délai d'un mois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pStyle w:val="Heading3"/>
      </w:pPr>
      <w:r>
        <w:rPr>
          <w:rFonts w:ascii="Times New Roman" w:hAnsi="Times New Roman" w:cs="Times New Roman"/>
          <w:rFonts w:ascii="Times New Roman" w:hAnsi="Times New Roman"/>
          <w:sz w:val="22"/>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offices notariaux participant ou concourant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établissements financiers concernés,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de conseils spécialisés pour la gestion des activités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Conseil supérieur du notariat ou son délégataire, pour la production des statistiques permettant l'évaluation des biens immobiliers, en application du décret n° 2013-803 du 3 septembre 2013,</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pPr>
        <w:spacing w:after="0" w:before="0"/>
        <w:ind w:firstLine="709"/>
        <w:jc w:val="both"/>
      </w:pPr>
      <w:r>
        <w:rPr>
          <w:rFonts w:ascii="Times New Roman" w:hAnsi="Times New Roman" w:cs="Times New Roman"/>
          <w:rFonts w:ascii="Times New Roman" w:hAnsi="Times New Roman"/>
          <w:b w:val="0"/>
          <w:i w:val="0"/>
          <w:sz w:val="22"/>
          <w:u w:val="none"/>
        </w:rPr>
        <w:t>La communication de ces données à ces destinataires peut être indispensable pour l'accomplissement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L'Office notarial a désigné un Délégué à la protection des données que les intéressés peuvent contacter à l'adresse suivante : dpo.notaires@datavigiprotection.fr.</w:t>
      </w:r>
    </w:p>
    <w:p>
      <w:pPr>
        <w:spacing w:after="0" w:before="0"/>
        <w:ind w:firstLine="709"/>
        <w:jc w:val="both"/>
      </w:pPr>
      <w:r>
        <w:rPr>
          <w:rFonts w:ascii="Times New Roman" w:hAnsi="Times New Roman" w:cs="Times New Roman"/>
          <w:rFonts w:ascii="Times New Roman" w:hAnsi="Times New Roman"/>
          <w:b w:val="0"/>
          <w:i w:val="0"/>
          <w:sz w:val="22"/>
          <w:u w:val="none"/>
        </w:rP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pPr>
        <w:pStyle w:val="Heading3"/>
      </w:pPr>
      <w:r>
        <w:rPr>
          <w:rFonts w:ascii="Times New Roman" w:hAnsi="Times New Roman" w:cs="Times New Roman"/>
          <w:rFonts w:ascii="Times New Roman" w:hAnsi="Times New Roman"/>
          <w:sz w:val="22"/>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3"/>
      </w:pPr>
      <w:r>
        <w:rPr>
          <w:rFonts w:ascii="Times New Roman" w:hAnsi="Times New Roman" w:cs="Times New Roman"/>
          <w:rFonts w:ascii="Times New Roman" w:hAnsi="Times New Roman"/>
          <w:sz w:val="22"/>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