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val="0"/>
          <w:i w:val="0"/>
          <w:sz w:val="22"/>
          <w:u w:val="none"/>
        </w:rPr>
        <w:t>100546101</w:t>
      </w:r>
    </w:p>
    <w:p>
      <w:pPr>
        <w:spacing w:after="0" w:before="0"/>
        <w:ind w:firstLine="709"/>
        <w:jc w:val="both"/>
      </w:pPr>
      <w:r>
        <w:rPr>
          <w:rFonts w:ascii="Times New Roman" w:hAnsi="Times New Roman" w:cs="Times New Roman"/>
          <w:rFonts w:ascii="Times New Roman" w:hAnsi="Times New Roman"/>
          <w:b w:val="0"/>
          <w:i w:val="0"/>
          <w:sz w:val="22"/>
          <w:u w:val="none"/>
        </w:rPr>
        <w:t>CDI/ALG/</w:t>
      </w:r>
    </w:p>
    <w:p>
      <w:pPr>
        <w:spacing w:after="0" w:before="0"/>
        <w:ind w:firstLine="709"/>
        <w:jc w:val="both"/>
      </w:pPr>
      <w:r>
        <w:rPr>
          <w:rFonts w:ascii="Times New Roman" w:hAnsi="Times New Roman" w:cs="Times New Roman"/>
          <w:rFonts w:ascii="Times New Roman" w:hAnsi="Times New Roman"/>
          <w:b/>
          <w:i w:val="0"/>
          <w:sz w:val="22"/>
          <w:u w:val="none"/>
        </w:rPr>
        <w:t>Le 26 janvier 2026</w:t>
      </w:r>
    </w:p>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Par Monsieur MARTIN et Monsieur MARTIN</w:t>
      </w:r>
    </w:p>
    <w:p>
      <w:pPr>
        <w:spacing w:after="0" w:before="0"/>
        <w:ind w:firstLine="709"/>
        <w:jc w:val="both"/>
      </w:pPr>
      <w:r>
        <w:rPr>
          <w:rFonts w:ascii="Times New Roman" w:hAnsi="Times New Roman" w:cs="Times New Roman"/>
          <w:rFonts w:ascii="Times New Roman" w:hAnsi="Times New Roman"/>
          <w:b/>
          <w:i w:val="0"/>
          <w:sz w:val="22"/>
          <w:u w:val="none"/>
        </w:rPr>
        <w:t>Au profit de Monsieur DUPONT et Madame PETIT</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VINGT-SIX,</w:t>
      </w:r>
    </w:p>
    <w:p>
      <w:pPr>
        <w:spacing w:after="0" w:before="0"/>
        <w:ind w:firstLine="709"/>
        <w:jc w:val="both"/>
      </w:pPr>
      <w:r>
        <w:rPr>
          <w:rFonts w:ascii="Times New Roman" w:hAnsi="Times New Roman" w:cs="Times New Roman"/>
          <w:rFonts w:ascii="Times New Roman" w:hAnsi="Times New Roman"/>
          <w:b/>
          <w:i w:val="0"/>
          <w:sz w:val="22"/>
          <w:u w:val="none"/>
        </w:rPr>
        <w:t>Le vingt-six JANVIER</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rPr>
        <w:t>Maître Charlotte DIAZ, Notaire de la société par actions simplifiée dénommée « SAS DES CEDRES » dont le siège social est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Avec la participation de Maître Jean DUPONT, notaire à LYON, assistant le BENEFICIAIRE.</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b/>
          <w:i w:val="0"/>
          <w:sz w:val="22"/>
          <w:u w:val="none"/>
        </w:rPr>
        <w:t>PROMETTANT</w:t>
      </w:r>
    </w:p>
    <w:p>
      <w:pPr>
        <w:spacing w:after="0" w:before="0"/>
        <w:ind w:firstLine="709"/>
        <w:jc w:val="both"/>
      </w:pPr>
      <w:r>
        <w:rPr>
          <w:rFonts w:ascii="Times New Roman" w:hAnsi="Times New Roman" w:cs="Times New Roman"/>
          <w:rFonts w:ascii="Times New Roman" w:hAnsi="Times New Roman"/>
          <w:b w:val="0"/>
          <w:i w:val="0"/>
          <w:sz w:val="22"/>
          <w:u w:val="none"/>
        </w:rPr>
        <w:t>Monsieur Claire Emilie MARTIN, Professeur,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 à LYON 6ème le 22 mai 1970.</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12 34 56 78Courriel : claire.martin@email.fr</w:t>
      </w:r>
    </w:p>
    <w:p>
      <w:pPr>
        <w:spacing w:after="0" w:before="0"/>
        <w:ind w:firstLine="709"/>
        <w:jc w:val="both"/>
      </w:pPr>
      <w:r>
        <w:rPr>
          <w:rFonts w:ascii="Times New Roman" w:hAnsi="Times New Roman" w:cs="Times New Roman"/>
          <w:rFonts w:ascii="Times New Roman" w:hAnsi="Times New Roman"/>
          <w:b w:val="0"/>
          <w:i w:val="0"/>
          <w:sz w:val="22"/>
          <w:u w:val="none"/>
        </w:rPr>
        <w:t>Monsieur Philippe André MARTIN, Architecte,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 à VILLEURBANNE le 3 novembre 1968.</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98 76 54 32Courriel : philippe.martin@email.fr</w:t>
      </w:r>
    </w:p>
    <w:p>
      <w:pPr>
        <w:pStyle w:val="Heading1"/>
      </w:pPr>
      <w:r>
        <w:rPr>
          <w:rFonts w:ascii="Times New Roman" w:hAnsi="Times New Roman" w:cs="Times New Roman"/>
          <w:rFonts w:ascii="Times New Roman" w:hAnsi="Times New Roman"/>
          <w:b/>
          <w:i w:val="0"/>
          <w:sz w:val="22"/>
          <w:u w:val="none"/>
        </w:rPr>
        <w:t>BENEFICIAIRE</w:t>
      </w:r>
    </w:p>
    <w:p>
      <w:pPr>
        <w:spacing w:after="0" w:before="0"/>
        <w:ind w:firstLine="709"/>
        <w:jc w:val="both"/>
      </w:pPr>
      <w:r>
        <w:rPr>
          <w:rFonts w:ascii="Times New Roman" w:hAnsi="Times New Roman" w:cs="Times New Roman"/>
          <w:rFonts w:ascii="Times New Roman" w:hAnsi="Times New Roman"/>
          <w:b w:val="0"/>
          <w:i w:val="0"/>
          <w:sz w:val="22"/>
          <w:u w:val="none"/>
        </w:rPr>
        <w:t>Monsieur Antoine Marc DUPONT, Consultant,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 à GRENOBLE le 18 mars 1985.</w:t>
      </w:r>
    </w:p>
    <w:p>
      <w:pPr>
        <w:spacing w:after="0" w:before="0"/>
        <w:ind w:firstLine="709"/>
        <w:jc w:val="both"/>
      </w:pPr>
      <w:r>
        <w:rPr>
          <w:rFonts w:ascii="Times New Roman" w:hAnsi="Times New Roman" w:cs="Times New Roman"/>
          <w:rFonts w:ascii="Times New Roman" w:hAnsi="Times New Roman"/>
          <w:b w:val="0"/>
          <w:i w:val="0"/>
          <w:sz w:val="22"/>
          <w:u w:val="none"/>
        </w:rPr>
        <w:t>Soumis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DUPONT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11 22 33 44Courriel : antoine.dubois@email.fr</w:t>
      </w:r>
    </w:p>
    <w:p>
      <w:pPr>
        <w:spacing w:after="0" w:before="0"/>
        <w:ind w:firstLine="709"/>
        <w:jc w:val="both"/>
      </w:pPr>
      <w:r>
        <w:rPr>
          <w:rFonts w:ascii="Times New Roman" w:hAnsi="Times New Roman" w:cs="Times New Roman"/>
          <w:rFonts w:ascii="Times New Roman" w:hAnsi="Times New Roman"/>
          <w:b w:val="0"/>
          <w:i w:val="0"/>
          <w:sz w:val="22"/>
          <w:u w:val="none"/>
        </w:rPr>
        <w:t>Madame Laura Marie PETIT, Avocate, demeurant à 45 avenue Jean Jaurès, 69007 LYON.</w:t>
      </w:r>
    </w:p>
    <w:p>
      <w:pPr>
        <w:spacing w:after="0" w:before="0"/>
        <w:ind w:firstLine="709"/>
        <w:jc w:val="both"/>
      </w:pPr>
      <w:r>
        <w:rPr>
          <w:rFonts w:ascii="Times New Roman" w:hAnsi="Times New Roman" w:cs="Times New Roman"/>
          <w:rFonts w:ascii="Times New Roman" w:hAnsi="Times New Roman"/>
          <w:b w:val="0"/>
          <w:i w:val="0"/>
          <w:sz w:val="22"/>
          <w:u w:val="none"/>
        </w:rPr>
        <w:t>Née à LYON 3ème le 25 juillet 1987.</w:t>
      </w:r>
    </w:p>
    <w:p>
      <w:pPr>
        <w:spacing w:after="0" w:before="0"/>
        <w:ind w:firstLine="709"/>
        <w:jc w:val="both"/>
      </w:pPr>
      <w:r>
        <w:rPr>
          <w:rFonts w:ascii="Times New Roman" w:hAnsi="Times New Roman" w:cs="Times New Roman"/>
          <w:rFonts w:ascii="Times New Roman" w:hAnsi="Times New Roman"/>
          <w:b w:val="0"/>
          <w:i w:val="0"/>
          <w:sz w:val="22"/>
          <w:u w:val="none"/>
        </w:rPr>
        <w:t>Soumise à un pacte civil de solidarité sous le régime de la séparation de biens en date du 15 septembre 2018 enregistré à Mairie de LYON 7ème.</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PETIT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55 66 77 88Courriel : laura.petit@email.fr</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DUPONT et Madame PETIT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Concernant Monsieur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Monsieur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Monsieur DUPONT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Madame PETIT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DUPONT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PETIT est présente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b/>
          <w:i w:val="0"/>
          <w:sz w:val="22"/>
          <w:u w:val="none"/>
        </w:rPr>
        <w:t>Identification du bien</w:t>
      </w: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soumis au régime de la copropriété situé à TASSIN-LA-DEMI-LUNE (RHÔNE) 69160 170 Rue Joliot Curie.</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093"/>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37"/>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3124"/>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499"/>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093"/>
          </w:tcPr>
          <w:p>
            <w:pPr>
              <w:spacing w:after="0" w:before="0"/>
              <w:ind w:firstLine="0"/>
              <w:jc w:val="left"/>
            </w:pPr>
            <w:r>
              <w:rPr>
                <w:rFonts w:ascii="Times New Roman" w:hAnsi="Times New Roman" w:cs="Times New Roman"/>
                <w:rFonts w:ascii="Times New Roman" w:hAnsi="Times New Roman"/>
                <w:b w:val="0"/>
                <w:i w:val="0"/>
                <w:sz w:val="22"/>
                <w:u w:val="none"/>
              </w:rPr>
              <w:t>AH</w:t>
            </w:r>
          </w:p>
        </w:tc>
        <w:tc>
          <w:tcPr>
            <w:tcW w:type="dxa" w:w="937"/>
          </w:tcPr>
          <w:p>
            <w:pPr>
              <w:spacing w:after="0" w:before="0"/>
              <w:ind w:firstLine="0"/>
              <w:jc w:val="left"/>
            </w:pPr>
            <w:r>
              <w:rPr>
                <w:rFonts w:ascii="Times New Roman" w:hAnsi="Times New Roman" w:cs="Times New Roman"/>
                <w:rFonts w:ascii="Times New Roman" w:hAnsi="Times New Roman"/>
                <w:b w:val="0"/>
                <w:i w:val="0"/>
                <w:sz w:val="22"/>
                <w:u w:val="none"/>
              </w:rPr>
              <w:t>211</w:t>
            </w:r>
          </w:p>
        </w:tc>
        <w:tc>
          <w:tcPr>
            <w:tcW w:type="dxa" w:w="3124"/>
          </w:tcPr>
          <w:p>
            <w:pPr>
              <w:spacing w:after="0" w:before="0"/>
              <w:ind w:firstLine="0"/>
              <w:jc w:val="left"/>
            </w:pPr>
            <w:r>
              <w:rPr>
                <w:rFonts w:ascii="Times New Roman" w:hAnsi="Times New Roman" w:cs="Times New Roman"/>
                <w:rFonts w:ascii="Times New Roman" w:hAnsi="Times New Roman"/>
                <w:b w:val="0"/>
                <w:i w:val="0"/>
                <w:sz w:val="22"/>
                <w:u w:val="none"/>
              </w:rPr>
              <w:t>170 RUE JOLIOT CURIE</w:t>
            </w:r>
          </w:p>
        </w:tc>
        <w:tc>
          <w:tcPr>
            <w:tcW w:type="dxa" w:w="2499"/>
          </w:tcPr>
          <w:p>
            <w:pPr>
              <w:spacing w:after="0" w:before="0"/>
              <w:ind w:firstLin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A, côté Nord, comprenant: une salle de séjour avec coin repas, deux chambres avec petits balcons, cuisine avec loggia, séchoir, WC, salle de bains, hall, dégagement, placard et penderie.</w:t>
      </w:r>
    </w:p>
    <w:p>
      <w:pPr>
        <w:spacing w:after="0" w:before="0"/>
        <w:ind w:firstLine="709"/>
        <w:jc w:val="both"/>
      </w:pPr>
      <w:r>
        <w:rPr>
          <w:rFonts w:ascii="Times New Roman" w:hAnsi="Times New Roman" w:cs="Times New Roman"/>
          <w:rFonts w:ascii="Times New Roman" w:hAnsi="Times New Roman"/>
          <w:b w:val="0"/>
          <w:i w:val="0"/>
          <w:sz w:val="22"/>
          <w:u w:val="none"/>
        </w:rPr>
        <w:t>Et les quarante-quatre millièmes (44 /1000 millièmes)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vingt-neuf (29)</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A, portant le numéro 9.</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quarante-huit (48)</w:t>
      </w:r>
    </w:p>
    <w:p>
      <w:pPr>
        <w:spacing w:after="0" w:before="0"/>
        <w:ind w:firstLine="709"/>
        <w:jc w:val="both"/>
      </w:pPr>
      <w:r>
        <w:rPr>
          <w:rFonts w:ascii="Times New Roman" w:hAnsi="Times New Roman" w:cs="Times New Roman"/>
          <w:rFonts w:ascii="Times New Roman" w:hAnsi="Times New Roman"/>
          <w:b w:val="0"/>
          <w:i w:val="0"/>
          <w:sz w:val="22"/>
          <w:u w:val="none"/>
        </w:rPr>
        <w:t>Un emplacement de parking privé portant le numéro 8 au plan de masse.</w:t>
      </w:r>
    </w:p>
    <w:p>
      <w:pPr>
        <w:spacing w:after="0" w:before="0"/>
        <w:ind w:firstLine="709"/>
        <w:jc w:val="both"/>
      </w:pPr>
      <w:r>
        <w:rPr>
          <w:rFonts w:ascii="Times New Roman" w:hAnsi="Times New Roman" w:cs="Times New Roman"/>
          <w:rFonts w:ascii="Times New Roman" w:hAnsi="Times New Roman"/>
          <w:b w:val="0"/>
          <w:i w:val="0"/>
          <w:sz w:val="22"/>
          <w:u w:val="none"/>
        </w:rPr>
        <w:t>Et les un millième (1 /1000 millième)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Une copie du plan des sous-sol, faisant apparaître l'emplacement du lot de cave numéro VINGT-NEUF (29). Etant ici précisé que la cave numérotée « 9 » n'est pas celle utilisée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la cave utilisée est le numéro « 10 » au plan demeuré annexé.</w:t>
      </w:r>
      <w:r>
        <w:rPr>
          <w:rFonts w:ascii="Times New Roman" w:hAnsi="Times New Roman" w:cs="Times New Roman"/>
          <w:rFonts w:ascii="Times New Roman" w:hAnsi="Times New Roman"/>
          <w:b w:val="0"/>
          <w:i w:val="0"/>
          <w:sz w:val="22"/>
          <w:u w:val="none"/>
        </w:rPr>
        <w:t xml:space="preserve">- Une copie du plan de masse faisant apparaître le lot de stationnement, numéro QUARANTE-HUIT (48) ; Etant ici précisé que l'emplacement de stationnement numéroté « 8 » n'est pas celui utilisé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Les parties déclarent que l'emplacement de stationnement utilisé est le numéro « 9 » au plan de masse.</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 xml:space="preserve"> m².</w:t>
      </w:r>
    </w:p>
    <w:p>
      <w:pPr>
        <w:spacing w:after="0" w:before="0"/>
        <w:ind w:firstLine="709"/>
        <w:jc w:val="both"/>
      </w:pPr>
      <w:r>
        <w:rPr>
          <w:rFonts w:ascii="Times New Roman" w:hAnsi="Times New Roman" w:cs="Times New Roman"/>
          <w:rFonts w:ascii="Times New Roman" w:hAnsi="Times New Roman"/>
          <w:b w:val="0"/>
          <w:i w:val="0"/>
          <w:sz w:val="22"/>
          <w:u w:val="none"/>
        </w:rPr>
        <w:t>Ainsi qu'il résulte d'une attestation établie le  par le cabinet ,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sus-désigné a fait l'objet d'un état descriptif de division et règlement de copropriété établi aux termes d'un acte reçu par Maître MARMEY, notaire à MEYZIEU le 18 septembre 1969 publié au service de la publicité foncière de LYON 5, le 11 octobre 1969 volume 4892 numéro 5.</w:t>
      </w:r>
    </w:p>
    <w:p>
      <w:pPr>
        <w:spacing w:after="0" w:before="0"/>
        <w:ind w:firstLine="709"/>
        <w:jc w:val="both"/>
      </w:pPr>
      <w:r>
        <w:rPr>
          <w:rFonts w:ascii="Times New Roman" w:hAnsi="Times New Roman" w:cs="Times New Roman"/>
          <w:rFonts w:ascii="Times New Roman" w:hAnsi="Times New Roman"/>
          <w:b w:val="0"/>
          <w:i w:val="0"/>
          <w:sz w:val="22"/>
          <w:u w:val="none"/>
        </w:rPr>
        <w:t>L'état descriptif de division - règlement de copropriété a été modifié aux termes d'un acte reçu par Maître DOUCET-BON, notaire à LYON le 2 novembre 2009, publié au service de la publicité foncière de LYON 5 le 14 décembre 2009, volume 2009P, numéro 6060.</w:t>
      </w:r>
    </w:p>
    <w:p>
      <w:pPr>
        <w:pStyle w:val="Heading1"/>
      </w:pPr>
      <w:r>
        <w:rPr>
          <w:rFonts w:ascii="Times New Roman" w:hAnsi="Times New Roman" w:cs="Times New Roman"/>
          <w:rFonts w:ascii="Times New Roman" w:hAnsi="Times New Roman"/>
          <w:b/>
          <w:i w:val="0"/>
          <w:sz w:val="22"/>
          <w:u w:val="none"/>
        </w:rPr>
        <w:t>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la promesse comprendra le mobilier suivant non valorisé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193"/>
          </w:tcPr>
          <w:p>
            <w:pPr>
              <w:spacing w:after="0" w:before="0"/>
              <w:ind w:firstLine="0"/>
              <w:jc w:val="center"/>
            </w:pPr>
          </w:p>
        </w:tc>
        <w:tc>
          <w:tcPr>
            <w:tcW w:type="dxa" w:w="4175"/>
          </w:tcPr>
          <w:p>
            <w:pPr>
              <w:spacing w:after="0" w:before="0"/>
              <w:ind w:firstLine="0"/>
              <w:jc w:val="left"/>
            </w:pP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093"/>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Collective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Cuve à fioul ou Cuve à gaz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Panneaux photovoltaïques privatifs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Puits ou forage privatif</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WC type broyeur ou chimique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15</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Vidéosurveillance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Alarme privative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19</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Coffre-fort inséré dans un mur</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22 / 23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Piscine enterrée / hors-sol</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Loggia fermée par une baie vitrée</w:t>
            </w:r>
          </w:p>
        </w:tc>
        <w:tc>
          <w:tcPr>
            <w:tcW w:type="dxa" w:w="596"/>
          </w:tcPr>
          <w:p>
            <w:pPr>
              <w:spacing w:after="0" w:before="0"/>
              <w:ind w:firstLine="0"/>
              <w:jc w:val="center"/>
            </w:pP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1093"/>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chaudière collective au gaz dont l'entretien est assuré par le syndic.</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Concernant les lots numéros 14, 29</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MARTIN, notaire à TASSIN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5</w:t>
      </w:r>
      <w:r>
        <w:rPr>
          <w:rFonts w:ascii="Times New Roman" w:hAnsi="Times New Roman" w:cs="Times New Roman"/>
          <w:rFonts w:ascii="Times New Roman" w:hAnsi="Times New Roman"/>
          <w:b w:val="0"/>
          <w:i w:val="0"/>
          <w:sz w:val="22"/>
          <w:u w:val="none"/>
        </w:rPr>
        <w:t xml:space="preserve"> le 22 juin 2021, volume 2021P, numéro 4488.</w:t>
      </w:r>
    </w:p>
    <w:p>
      <w:pPr>
        <w:pStyle w:val="Heading2"/>
      </w:pPr>
      <w:r>
        <w:rPr>
          <w:rFonts w:ascii="Times New Roman" w:hAnsi="Times New Roman" w:cs="Times New Roman"/>
          <w:rFonts w:ascii="Times New Roman" w:hAnsi="Times New Roman"/>
          <w:b/>
          <w:i w:val="0"/>
          <w:sz w:val="22"/>
          <w:u w:val="none"/>
        </w:rPr>
        <w:t>Concernant le lot numéro 48</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DUPONT, notaire à LYON</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LYON 1</w:t>
      </w:r>
      <w:r>
        <w:rPr>
          <w:rFonts w:ascii="Times New Roman" w:hAnsi="Times New Roman" w:cs="Times New Roman"/>
          <w:rFonts w:ascii="Times New Roman" w:hAnsi="Times New Roman"/>
          <w:b w:val="0"/>
          <w:i w:val="0"/>
          <w:sz w:val="22"/>
          <w:u w:val="none"/>
        </w:rPr>
        <w:t xml:space="preserve"> le 18 août 2025, volume 2025P, numéro 20788.</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4 novembre 2025</w:t>
      </w:r>
      <w:r>
        <w:rPr>
          <w:rFonts w:ascii="Times New Roman" w:hAnsi="Times New Roman" w:cs="Times New Roman"/>
          <w:rFonts w:ascii="Times New Roman" w:hAnsi="Times New Roman"/>
          <w:b w:val="0"/>
          <w:i w:val="0"/>
          <w:sz w:val="22"/>
          <w:u w:val="none"/>
        </w:rPr>
        <w:t>, à seize heures.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L'acte authentique constatant la réalisation de la vente sera reçu par Maître Charlotte DIAZ, notaire soussigné avec la participation de Maître Jean DUPONT, notaire à LYON.</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b/>
          <w:i w:val="0"/>
          <w:sz w:val="22"/>
          <w:u w:val="none"/>
        </w:rPr>
        <w:t>PRIX - CONDITIONS FINANCIERES</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rPr>
        <w:t>QUATRE CENT CINQUANTE MILLE EUROS (450 000 EUR)</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reconnaissent que le prix a été négocié par </w:t>
      </w:r>
      <w:r>
        <w:rPr>
          <w:rFonts w:ascii="Times New Roman" w:hAnsi="Times New Roman" w:cs="Times New Roman"/>
          <w:rFonts w:ascii="Times New Roman" w:hAnsi="Times New Roman"/>
          <w:b/>
          <w:i w:val="0"/>
          <w:sz w:val="22"/>
          <w:u w:val="none"/>
        </w:rPr>
        <w:t>AGENCE IMMOBILIERE LYONNAISE</w:t>
      </w:r>
      <w:r>
        <w:rPr>
          <w:rFonts w:ascii="Times New Roman" w:hAnsi="Times New Roman" w:cs="Times New Roman"/>
          <w:rFonts w:ascii="Times New Roman" w:hAnsi="Times New Roman"/>
          <w:b w:val="0"/>
          <w:i w:val="0"/>
          <w:sz w:val="22"/>
          <w:u w:val="none"/>
        </w:rPr>
        <w:t xml:space="preserve"> titulaire d'un mandat donné par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sous le numéro 266 en date du 23 mai 2025 non encore expiré, ainsi déclaré.</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qui en a seul la charge aux termes du mandat, doit à l'agence une rémunération de </w:t>
      </w:r>
      <w:r>
        <w:rPr>
          <w:rFonts w:ascii="Times New Roman" w:hAnsi="Times New Roman" w:cs="Times New Roman"/>
          <w:rFonts w:ascii="Times New Roman" w:hAnsi="Times New Roman"/>
          <w:b/>
          <w:i w:val="0"/>
          <w:sz w:val="22"/>
          <w:u w:val="none"/>
        </w:rPr>
        <w:t>8 000 EUR</w:t>
      </w:r>
      <w:r>
        <w:rPr>
          <w:rFonts w:ascii="Times New Roman" w:hAnsi="Times New Roman" w:cs="Times New Roman"/>
          <w:rFonts w:ascii="Times New Roman" w:hAnsi="Times New Roman"/>
          <w:b w:val="0"/>
          <w:i w:val="0"/>
          <w:sz w:val="22"/>
          <w:u w:val="none"/>
        </w:rPr>
        <w:t>, taxe sur la valeur ajoutée incluse.</w:t>
      </w:r>
    </w:p>
    <w:p>
      <w:pPr>
        <w:spacing w:after="0" w:before="0"/>
        <w:ind w:firstLine="709"/>
        <w:jc w:val="both"/>
      </w:pPr>
      <w:r>
        <w:rPr>
          <w:rFonts w:ascii="Times New Roman" w:hAnsi="Times New Roman" w:cs="Times New Roman"/>
          <w:rFonts w:ascii="Times New Roman" w:hAnsi="Times New Roman"/>
          <w:b w:val="0"/>
          <w:i w:val="0"/>
          <w:sz w:val="22"/>
          <w:u w:val="none"/>
        </w:rPr>
        <w:t>Cette rémunération sera payée le jour de la constatation authentique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le montant de la négociation est compris dans le prix indiqué ci-dessus.</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Prix</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450 000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Frais de négociation</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néant (inclus)</w:t>
            </w: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FINANCEMENT</w:t>
            </w: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249 797 EUR</w:t>
            </w:r>
          </w:p>
        </w:tc>
      </w:tr>
      <w:tr>
        <w:tc>
          <w:tcPr>
            <w:tcW w:type="dxa" w:w="4502"/>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3151"/>
          </w:tcPr>
          <w:p>
            <w:pPr>
              <w:spacing w:after="0" w:before="0"/>
              <w:ind w:firstLine="0"/>
              <w:jc w:val="right"/>
            </w:pPr>
            <w:r>
              <w:rPr>
                <w:rFonts w:ascii="Times New Roman" w:hAnsi="Times New Roman" w:cs="Times New Roman"/>
                <w:rFonts w:ascii="Times New Roman" w:hAnsi="Times New Roman"/>
                <w:b w:val="0"/>
                <w:i w:val="0"/>
                <w:sz w:val="22"/>
                <w:u w:val="none"/>
              </w:rPr>
              <w:t>45 000 EUR</w:t>
            </w:r>
          </w:p>
        </w:tc>
      </w:tr>
      <w:tr>
        <w:tc>
          <w:tcPr>
            <w:tcW w:type="dxa" w:w="4502"/>
          </w:tcPr>
          <w:p>
            <w:pPr>
              <w:spacing w:after="0" w:before="0"/>
              <w:ind w:firstLine="0"/>
              <w:jc w:val="left"/>
            </w:pPr>
          </w:p>
        </w:tc>
        <w:tc>
          <w:tcPr>
            <w:tcW w:type="dxa" w:w="3151"/>
          </w:tcPr>
          <w:p>
            <w:pPr>
              <w:spacing w:after="0" w:before="0"/>
              <w:ind w:firstLine="0"/>
              <w:jc w:val="right"/>
            </w:pPr>
          </w:p>
        </w:tc>
      </w:tr>
      <w:tr>
        <w:tc>
          <w:tcPr>
            <w:tcW w:type="dxa" w:w="4502"/>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151"/>
          </w:tcPr>
          <w:p>
            <w:pPr>
              <w:spacing w:after="0" w:before="0"/>
              <w:ind w:firstLin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rPr>
        <w:t>vingt-quatre mille cinq cents euros</w:t>
      </w:r>
      <w:r>
        <w:rPr>
          <w:rFonts w:ascii="Times New Roman" w:hAnsi="Times New Roman" w:cs="Times New Roman"/>
          <w:rFonts w:ascii="Times New Roman" w:hAnsi="Times New Roman"/>
          <w:b w:val="0"/>
          <w:i w:val="0"/>
          <w:sz w:val="22"/>
          <w:u w:val="none"/>
        </w:rPr>
        <w:t xml:space="preserve"> (représentant 10%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à titre de dépôt de garantie la somme de vingt-quatre mille cinq cents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SAS DES CEDRES, 93 avenue du 11 Novembre 1918, TASSIN-LA-DEMI-LUNE (69160) susnommée, </w:t>
      </w:r>
      <w:r>
        <w:rPr>
          <w:rFonts w:ascii="Times New Roman" w:hAnsi="Times New Roman" w:cs="Times New Roman"/>
          <w:rFonts w:ascii="Times New Roman" w:hAnsi="Times New Roman"/>
          <w:b/>
          <w:i w:val="0"/>
          <w:sz w:val="22"/>
          <w:u w:val="none"/>
        </w:rPr>
        <w:t>au plus tard dans les QUINZE (15)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À cet effet, avec l'accord des parties, elle sera versée en la comptabilité du notaire rédacteur des présentes au sein de la SAS DES CEDRES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rPr>
        <w:t>DIX POUR CENT (10 %)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Conditions suspensives particulières</w:t>
      </w:r>
    </w:p>
    <w:p>
      <w:pPr>
        <w:pStyle w:val="Heading4"/>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l'intention de recourir pour le paiement du prix de cette acquisition, à un ou plusieurs prêts rentrant dans le champ d'application de l'article L 313-40 du Code de la consommation, et répondant aux caractéristiques suivantes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Montant maximal de la somme empruntée : </w:t>
      </w:r>
      <w:r>
        <w:rPr>
          <w:rFonts w:ascii="Times New Roman" w:hAnsi="Times New Roman" w:cs="Times New Roman"/>
          <w:rFonts w:ascii="Times New Roman" w:hAnsi="Times New Roman"/>
          <w:b/>
          <w:i w:val="0"/>
          <w:sz w:val="22"/>
          <w:u w:val="none"/>
        </w:rPr>
        <w:t>249 797 euros</w:t>
      </w:r>
    </w:p>
    <w:p>
      <w:pPr>
        <w:spacing w:after="0" w:before="0"/>
        <w:ind w:firstLine="709"/>
        <w:jc w:val="both"/>
      </w:pPr>
      <w:r>
        <w:rPr>
          <w:rFonts w:ascii="Times New Roman" w:hAnsi="Times New Roman" w:cs="Times New Roman"/>
          <w:rFonts w:ascii="Times New Roman" w:hAnsi="Times New Roman"/>
          <w:b w:val="0"/>
          <w:i w:val="0"/>
          <w:sz w:val="22"/>
          <w:u w:val="none"/>
        </w:rPr>
        <w:t xml:space="preserve">Durée maximale de remboursement : </w:t>
      </w:r>
      <w:r>
        <w:rPr>
          <w:rFonts w:ascii="Times New Roman" w:hAnsi="Times New Roman" w:cs="Times New Roman"/>
          <w:rFonts w:ascii="Times New Roman" w:hAnsi="Times New Roman"/>
          <w:b/>
          <w:i w:val="0"/>
          <w:sz w:val="22"/>
          <w:u w:val="none"/>
        </w:rPr>
        <w:t>25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Taux nominal d'intérêt maximal : </w:t>
      </w:r>
      <w:r>
        <w:rPr>
          <w:rFonts w:ascii="Times New Roman" w:hAnsi="Times New Roman" w:cs="Times New Roman"/>
          <w:rFonts w:ascii="Times New Roman" w:hAnsi="Times New Roman"/>
          <w:b/>
          <w:i w:val="0"/>
          <w:sz w:val="22"/>
          <w:u w:val="none"/>
        </w:rPr>
        <w:t>3.4 % l'an (hors assurances)</w:t>
      </w:r>
    </w:p>
    <w:p>
      <w:pPr>
        <w:spacing w:after="0" w:before="0"/>
        <w:ind w:firstLine="709"/>
        <w:jc w:val="both"/>
      </w:pPr>
      <w:r>
        <w:rPr>
          <w:rFonts w:ascii="Times New Roman" w:hAnsi="Times New Roman" w:cs="Times New Roman"/>
          <w:rFonts w:ascii="Times New Roman" w:hAnsi="Times New Roman"/>
          <w:b w:val="0"/>
          <w:i w:val="0"/>
          <w:sz w:val="22"/>
          <w:u w:val="none"/>
        </w:rPr>
        <w:t>Toute demande non conforme aux stipulations contractuelles, notamment quant au montant emprunté, au taux et à la durée de l'emprunt, entraînera la réalisation fictive de la condition au sens du premier alinéa de l'article 1304-3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Etant précisé que l'indication d'un montant maximal de prêt ne peut contraindre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accepter toute offre d'un montant inférieur.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condition suspensive sera réalisée en cas d'obtention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d'une ou plusieurs offres écrites de prêt aux conditions sus-indiquées </w:t>
      </w:r>
      <w:r>
        <w:rPr>
          <w:rFonts w:ascii="Times New Roman" w:hAnsi="Times New Roman" w:cs="Times New Roman"/>
          <w:rFonts w:ascii="Times New Roman" w:hAnsi="Times New Roman"/>
          <w:b/>
          <w:i w:val="0"/>
          <w:sz w:val="22"/>
          <w:u w:val="none"/>
        </w:rPr>
        <w:t>au plus tard le 6 octobre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durée de validité de cette condition suspensive ne peut être inférieure à un mois à compter de la date de signature de l'acte (article L 313-41 du Code de la consommation).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qu'à sa connaissance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d'empêchement à l'octroi de ces prêts qui seront sollicités.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d'obstacle à la mise en place d'une assurance décès-invalidité.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déclare avoir connaissance des dispositions de l'alinéa premier de l'article 1304-3 du Code civil qui dispose que :</w:t>
      </w:r>
    </w:p>
    <w:p>
      <w:pPr>
        <w:spacing w:after="0" w:before="0"/>
        <w:ind w:firstLine="709"/>
        <w:jc w:val="both"/>
      </w:pPr>
      <w:r>
        <w:rPr>
          <w:rFonts w:ascii="Times New Roman" w:hAnsi="Times New Roman" w:cs="Times New Roman"/>
          <w:rFonts w:ascii="Times New Roman" w:hAnsi="Times New Roman"/>
          <w:b w:val="0"/>
          <w:i/>
          <w:sz w:val="22"/>
          <w:u w:val="none"/>
        </w:rPr>
        <w:t>"La condition suspensive est réputée accomplie si celui qui y avait intérêt en a empêché l'accomplissement."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L'obtention ou la non-obtention de l'offre de prêt, demandé aux conditions ci-dessus, devra être notifiée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A défaut de cette notification,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aura, à compter du lendemain de la date indiquée ci-dessus, la faculté de mettre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demeure de lui justifier sous huitaine de la réalisation ou de la défaillance de la condition.</w:t>
      </w:r>
    </w:p>
    <w:p>
      <w:pPr>
        <w:spacing w:after="0" w:before="0"/>
        <w:ind w:firstLine="709"/>
        <w:jc w:val="both"/>
      </w:pPr>
      <w:r>
        <w:rPr>
          <w:rFonts w:ascii="Times New Roman" w:hAnsi="Times New Roman" w:cs="Times New Roman"/>
          <w:rFonts w:ascii="Times New Roman" w:hAnsi="Times New Roman"/>
          <w:b w:val="0"/>
          <w:i w:val="0"/>
          <w:sz w:val="22"/>
          <w:u w:val="none"/>
        </w:rPr>
        <w:t>Cette demande devra être faite par lettre recommandée avec avis de réception à son adresse, avec une copie en lettre simple pour le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Passé ce délai de huit jours décompté du jour de la première présentation, sans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ait apporté la preuve de la remise d'une offre écrite conforme, la condition sera censée défaillie et les présentes seront donc caduques de plein droit. Dans ce cas,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l'expiration du délai de huit jours susvisé,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renoncer au bénéfice de la condition suspensive légale de l'article L 313-41 du Code de la consommation, soit en acceptant des offres de prêt à des conditions moins favorables que celles ci-dessus exprimées, et en notifiant ces offre et acceptation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soit en exprimant une intention contraire à celle ci-dessus exprimée, c'est-à-dire de ne plus faire appel à un emprunt et en doublant cette volonté nouvelle de la mention manuscrite voulue par l'article L 313-42 de ce Code ; cette volonté nouvelle et la mention feraient, dans cette hypothèse, l'objet d'un écrit notifié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Refus de prêt – justification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en cas de non-obtention du financement demandé, à justifier de deux refus de prêt répondant aux caractéristiques ci-dessus. En conséquence,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à déposer deux demandes de prêt.</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4"/>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La commune a répondu le 3 avril 2025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val="0"/>
          <w:i w:val="0"/>
          <w:sz w:val="22"/>
          <w:u w:val="none"/>
        </w:rPr>
        <w:t>La note d'urbanisme révèle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terrain est situé dans le champ d'application territorial du Droit de préemption urbain simple.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d'étude de la ligne de Tramway Expresse de l'Ouest Lyonnais.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de classement des infrastructures de transports terrestres bruyantes.</w:t>
      </w:r>
    </w:p>
    <w:p>
      <w:pPr>
        <w:pStyle w:val="Heading4"/>
      </w:pPr>
      <w:r>
        <w:rPr>
          <w:rFonts w:ascii="Times New Roman" w:hAnsi="Times New Roman" w:cs="Times New Roman"/>
          <w:rFonts w:ascii="Times New Roman" w:hAnsi="Times New Roman"/>
          <w:b/>
          <w:i w:val="0"/>
          <w:sz w:val="22"/>
          <w:u w:val="none"/>
        </w:rPr>
        <w:t>Note de voirie</w:t>
      </w:r>
    </w:p>
    <w:p>
      <w:pPr>
        <w:spacing w:after="0" w:before="0"/>
        <w:ind w:firstLine="709"/>
        <w:jc w:val="both"/>
      </w:pPr>
      <w:r>
        <w:rPr>
          <w:rFonts w:ascii="Times New Roman" w:hAnsi="Times New Roman" w:cs="Times New Roman"/>
          <w:rFonts w:ascii="Times New Roman" w:hAnsi="Times New Roman"/>
          <w:b w:val="0"/>
          <w:i w:val="0"/>
          <w:sz w:val="22"/>
          <w:u w:val="none"/>
        </w:rPr>
        <w:t>Une note de renseignements de voirie annexée a été délivrée par l'autorité compétente le 3 avril 2025. Il résulte de cette note que « l'emprise foncière n'est concernée par aucun emplacement réserve de voirie ou emplacement réservé aux cheminements piétons ou cyclistes ».</w:t>
      </w:r>
    </w:p>
    <w:p>
      <w:pPr>
        <w:spacing w:after="0" w:before="0"/>
        <w:ind w:firstLine="709"/>
        <w:jc w:val="both"/>
      </w:pPr>
      <w:r>
        <w:rPr>
          <w:rFonts w:ascii="Times New Roman" w:hAnsi="Times New Roman" w:cs="Times New Roman"/>
          <w:rFonts w:ascii="Times New Roman" w:hAnsi="Times New Roman"/>
          <w:b/>
          <w:i w:val="0"/>
          <w:sz w:val="22"/>
          <w:u w:val="none"/>
        </w:rPr>
        <w:t>Annexe n°5 : Note de voirie</w:t>
      </w:r>
    </w:p>
    <w:p>
      <w:pPr>
        <w:pStyle w:val="Heading4"/>
      </w:pPr>
      <w:r>
        <w:rPr>
          <w:rFonts w:ascii="Times New Roman" w:hAnsi="Times New Roman" w:cs="Times New Roman"/>
          <w:rFonts w:ascii="Times New Roman" w:hAnsi="Times New Roman"/>
          <w:b/>
          <w:i w:val="0"/>
          <w:sz w:val="22"/>
          <w:u w:val="none"/>
        </w:rPr>
        <w:t>Certificat de non-péril</w:t>
      </w:r>
    </w:p>
    <w:p>
      <w:pPr>
        <w:spacing w:after="0" w:before="0"/>
        <w:ind w:firstLine="709"/>
        <w:jc w:val="both"/>
      </w:pPr>
      <w:r>
        <w:rPr>
          <w:rFonts w:ascii="Times New Roman" w:hAnsi="Times New Roman" w:cs="Times New Roman"/>
          <w:rFonts w:ascii="Times New Roman" w:hAnsi="Times New Roman"/>
          <w:b w:val="0"/>
          <w:i w:val="0"/>
          <w:sz w:val="22"/>
          <w:u w:val="none"/>
        </w:rPr>
        <w:t>Il résulte d'un certificat délivré par l'autorité compétente le 3 avril 2025, annexé, que l'immeuble aucune procédure de péril et de sécurité relevant des pouvoirs de police spéciale du Président de la Métropole de Lyon n'a été ouverte depuis le 1er janvier 2015</w:t>
      </w:r>
    </w:p>
    <w:p>
      <w:pPr>
        <w:spacing w:after="0" w:before="0"/>
        <w:ind w:firstLine="709"/>
        <w:jc w:val="both"/>
      </w:pPr>
      <w:r>
        <w:rPr>
          <w:rFonts w:ascii="Times New Roman" w:hAnsi="Times New Roman" w:cs="Times New Roman"/>
          <w:rFonts w:ascii="Times New Roman" w:hAnsi="Times New Roman"/>
          <w:b/>
          <w:i w:val="0"/>
          <w:sz w:val="22"/>
          <w:u w:val="none"/>
        </w:rPr>
        <w:t>Annexe n°6 : Certificat de non-péril</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2"/>
      </w:pPr>
      <w:r>
        <w:rPr>
          <w:rFonts w:ascii="Times New Roman" w:hAnsi="Times New Roman" w:cs="Times New Roman"/>
          <w:rFonts w:ascii="Times New Roman" w:hAnsi="Times New Roman"/>
          <w:b/>
          <w:i w:val="0"/>
          <w:sz w:val="22"/>
          <w:u w:val="none"/>
        </w:rPr>
        <w:t>Existence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informé des dispositions des articles L 241-1 et L 242-1 du Code des assurances imposant à tout propriétaire de souscrire avant toute ouverture de chantier de construction et/ou travaux de gros œuvre ou de second œuvre, une assurance garantissant le paiement des travaux de réparation des dommages relevant de la garantie décennale, ainsi qu'une assurance couvrant sa responsabilité au cas où il interviendrait dans la construction en tant que concepteur, entrepreneur ou maître d'œuvre.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Depuis son acquisition,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travaux ci-après indiqués ont été effectués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Rénovation de la salle de bains et pose de carrelage dans l'ensemble de l'appartement (sauf la salle de bains et les chambres)</w:t>
      </w:r>
      <w:r>
        <w:rPr>
          <w:rFonts w:ascii="Times New Roman" w:hAnsi="Times New Roman" w:cs="Times New Roman"/>
          <w:rFonts w:ascii="Times New Roman" w:hAnsi="Times New Roman"/>
          <w:b w:val="0"/>
          <w:i w:val="0"/>
          <w:sz w:val="22"/>
          <w:u w:val="none"/>
        </w:rPr>
        <w:t xml:space="preserve"> suivant facture du 11 juin 2021 de AB Carrelage - 22 rue clos Suiphon - 69003 LYON.- </w:t>
      </w:r>
      <w:r>
        <w:rPr>
          <w:rFonts w:ascii="Times New Roman" w:hAnsi="Times New Roman" w:cs="Times New Roman"/>
          <w:rFonts w:ascii="Times New Roman" w:hAnsi="Times New Roman"/>
          <w:b/>
          <w:i w:val="0"/>
          <w:sz w:val="22"/>
          <w:u w:val="none"/>
        </w:rPr>
        <w:t>Pose de la cuisine</w:t>
      </w:r>
      <w:r>
        <w:rPr>
          <w:rFonts w:ascii="Times New Roman" w:hAnsi="Times New Roman" w:cs="Times New Roman"/>
          <w:rFonts w:ascii="Times New Roman" w:hAnsi="Times New Roman"/>
          <w:b w:val="0"/>
          <w:i w:val="0"/>
          <w:sz w:val="22"/>
          <w:u w:val="none"/>
        </w:rPr>
        <w:t xml:space="preserve"> suivant facture du 26 août 2021 de CUISINELLA CRAPONNE - 15 Avenue Edouard Millaud - 69290 CRAPONNE.- </w:t>
      </w:r>
      <w:r>
        <w:rPr>
          <w:rFonts w:ascii="Times New Roman" w:hAnsi="Times New Roman" w:cs="Times New Roman"/>
          <w:rFonts w:ascii="Times New Roman" w:hAnsi="Times New Roman"/>
          <w:b/>
          <w:i w:val="0"/>
          <w:sz w:val="22"/>
          <w:u w:val="none"/>
        </w:rPr>
        <w:t>Pose d'un volet roulant et d'une porte blindée</w:t>
      </w:r>
      <w:r>
        <w:rPr>
          <w:rFonts w:ascii="Times New Roman" w:hAnsi="Times New Roman" w:cs="Times New Roman"/>
          <w:rFonts w:ascii="Times New Roman" w:hAnsi="Times New Roman"/>
          <w:b w:val="0"/>
          <w:i w:val="0"/>
          <w:sz w:val="22"/>
          <w:u w:val="none"/>
        </w:rPr>
        <w:t xml:space="preserve"> suivant facture du 19 juillet 2024 de K PAR K - chemin de la mouche - 69230 SAINT GENIS LAVAL. L'assurance décennale de cette entreprise est fournie.- </w:t>
      </w:r>
      <w:r>
        <w:rPr>
          <w:rFonts w:ascii="Times New Roman" w:hAnsi="Times New Roman" w:cs="Times New Roman"/>
          <w:rFonts w:ascii="Times New Roman" w:hAnsi="Times New Roman"/>
          <w:b/>
          <w:i w:val="0"/>
          <w:sz w:val="22"/>
          <w:u w:val="none"/>
        </w:rPr>
        <w:t>Réfection de l'électricité</w:t>
      </w:r>
      <w:r>
        <w:rPr>
          <w:rFonts w:ascii="Times New Roman" w:hAnsi="Times New Roman" w:cs="Times New Roman"/>
          <w:rFonts w:ascii="Times New Roman" w:hAnsi="Times New Roman"/>
          <w:b w:val="0"/>
          <w:i w:val="0"/>
          <w:sz w:val="22"/>
          <w:u w:val="none"/>
        </w:rPr>
        <w:t xml:space="preserve"> suivant facture du 21 juillet 2021 de ADI BRUNO ELEC - 36 rue Louise Michel - 69200 VENISSIEUX.</w:t>
      </w:r>
    </w:p>
    <w:p>
      <w:pPr>
        <w:spacing w:after="0" w:before="0"/>
        <w:ind w:firstLine="709"/>
        <w:jc w:val="both"/>
      </w:pPr>
      <w:r>
        <w:rPr>
          <w:rFonts w:ascii="Times New Roman" w:hAnsi="Times New Roman" w:cs="Times New Roman"/>
          <w:rFonts w:ascii="Times New Roman" w:hAnsi="Times New Roman"/>
          <w:b/>
          <w:i w:val="0"/>
          <w:sz w:val="22"/>
          <w:u w:val="none"/>
        </w:rPr>
        <w:t>Annexe n°7 : Factures et décennale susvisés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travaux, compte tenu de la description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ne nécessitaient pas de déclaration préalable.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r>
        <w:rPr>
          <w:rFonts w:ascii="Times New Roman" w:hAnsi="Times New Roman" w:cs="Times New Roman"/>
          <w:rFonts w:ascii="Times New Roman" w:hAnsi="Times New Roman"/>
          <w:b/>
          <w:i w:val="0"/>
          <w:sz w:val="22"/>
          <w:u w:val="none"/>
        </w:rPr>
        <w:t>qu'aucune police d'assurance dommages ouvrage</w:t>
      </w:r>
      <w:r>
        <w:rPr>
          <w:rFonts w:ascii="Times New Roman" w:hAnsi="Times New Roman" w:cs="Times New Roman"/>
          <w:rFonts w:ascii="Times New Roman" w:hAnsi="Times New Roman"/>
          <w:b w:val="0"/>
          <w:i w:val="0"/>
          <w:sz w:val="22"/>
          <w:u w:val="none"/>
        </w:rPr>
        <w:t xml:space="preserve"> ni d'assurance de responsabilité décennale "constructeurs non réalisateur" n'a été souscrite pour la réalisation des rénovations.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reçu du notaire soussigné toutes explications utiles concernant les conséquences pouvant résulter des garanties et responsabilité du vendeur attachées à ces constructions, et de l'absence de souscription de telles polices d'assurances.</w:t>
      </w:r>
    </w:p>
    <w:p>
      <w:pPr>
        <w:pStyle w:val="Heading1"/>
      </w:pPr>
      <w:r>
        <w:rPr>
          <w:rFonts w:ascii="Times New Roman" w:hAnsi="Times New Roman" w:cs="Times New Roman"/>
          <w:rFonts w:ascii="Times New Roman" w:hAnsi="Times New Roman"/>
          <w:b/>
          <w:i w:val="0"/>
          <w:sz w:val="22"/>
          <w:u w:val="none"/>
        </w:rPr>
        <w:t>Diagnostics</w:t>
      </w:r>
    </w:p>
    <w:p>
      <w:pPr>
        <w:pStyle w:val="Heading2"/>
      </w:pPr>
      <w:r>
        <w:rPr>
          <w:rFonts w:ascii="Times New Roman" w:hAnsi="Times New Roman" w:cs="Times New Roman"/>
          <w:rFonts w:ascii="Times New Roman" w:hAnsi="Times New Roman"/>
          <w:b/>
          <w:i w:val="0"/>
          <w:sz w:val="22"/>
          <w:u w:val="none"/>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rPr>
        <w:t>ACHIN DIAG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ENSEMBLE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IMMOBILIER</w:t>
      </w:r>
      <w:r>
        <w:rPr>
          <w:rFonts w:ascii="Times New Roman" w:hAnsi="Times New Roman" w:cs="Times New Roman"/>
          <w:rFonts w:ascii="Times New Roman" w:hAnsi="Times New Roman"/>
          <w:b w:val="0"/>
          <w:i w:val="0"/>
          <w:sz w:val="22"/>
          <w:u w:val="none"/>
        </w:rPr>
        <w:t xml:space="preserve"> a été construit depuis le 1er janvier 1949, en conséquence il n'entre pas dans le champ d'application des dispositions des articles L 1334-5 et suivants du Code de la santé publique relatifs à la lutte contre la présence de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Un état établi par ARLIANE LYON NORD - 203 montée de Choulans - 69005 LYON le 29 mars 2015,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rPr>
        <w:t>Cet état ne révèle pas la présence d'amiante dans les matériaux et produits des listes A ou B</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spacing w:after="0" w:before="0"/>
        <w:ind w:firstLine="709"/>
        <w:jc w:val="both"/>
      </w:pPr>
      <w:r>
        <w:rPr>
          <w:rFonts w:ascii="Times New Roman" w:hAnsi="Times New Roman" w:cs="Times New Roman"/>
          <w:rFonts w:ascii="Times New Roman" w:hAnsi="Times New Roman"/>
          <w:b/>
          <w:i w:val="0"/>
          <w:sz w:val="22"/>
          <w:u w:val="none"/>
        </w:rPr>
        <w:t>Pour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Un diagnostic technique a été établi par AC ENVIRONNEMENT - 64 rue Clément Ader - 42153 RIORGES le 15 mars 2016.</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"Dans le cadre de la mission décrite en tête de rapport, il a été repéré des matériaux et produits contenant de l'amiante"</w:t>
      </w:r>
    </w:p>
    <w:p>
      <w:pPr>
        <w:spacing w:after="0" w:before="0"/>
        <w:ind w:firstLine="709"/>
        <w:jc w:val="both"/>
      </w:pPr>
      <w:r>
        <w:rPr>
          <w:rFonts w:ascii="Times New Roman" w:hAnsi="Times New Roman" w:cs="Times New Roman"/>
          <w:rFonts w:ascii="Times New Roman" w:hAnsi="Times New Roman"/>
          <w:b/>
          <w:i w:val="0"/>
          <w:sz w:val="22"/>
          <w:u w:val="none"/>
        </w:rPr>
        <w:t>Annexe n°9 : Diagnostic amiante parties communes</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b/>
          <w:i w:val="0"/>
          <w:sz w:val="22"/>
          <w:u w:val="none"/>
        </w:rPr>
        <w:t>Mérules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se trouve pas actuellement dans une zone de présence d'un risque de mérule délimitée par un arrêté préfectoral.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constaté l'existence de zones de condensation interne, de moisissures ou encore de présence d'effritements ou de déformation dans le bois ou l'existence de filaments blancs à l'aspect cotonneux.</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possède pas d'installation intérieure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ACHIN DIAG EXPERT - 147 Chemin de la crouze-Le Haut Marjon - 69510 Soucieu en Jarrest le 22 mai 2025,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"L'installation intérieure d'électricité comporte une ou des anomalies"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Un diagnostic établi par ACHIN DIAG EXPERT - 147 chemin de la Crouze- le haut Marjon - 69510 Soucieu en Jarrest le 23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rPr>
        <w:t>174 kWhep/m².an (Classe 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rPr>
        <w:t>25 kg éqCO2/m².an (Classe 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Numéro d'enregistrement ADEME : 2569E1706974R</w:t>
      </w:r>
    </w:p>
    <w:p>
      <w:pPr>
        <w:pStyle w:val="Heading3"/>
      </w:pPr>
      <w:r>
        <w:rPr>
          <w:rFonts w:ascii="Times New Roman" w:hAnsi="Times New Roman" w:cs="Times New Roman"/>
          <w:rFonts w:ascii="Times New Roman" w:hAnsi="Times New Roman"/>
          <w:b/>
          <w:i w:val="0"/>
          <w:sz w:val="22"/>
          <w:u w:val="none"/>
        </w:rPr>
        <w:t>Carnet d'information du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des articles L 126-35-2 à L 126-35-11 et R 126-32 à R 126-34 du Code de la construction et de l'habitation, le carnet d'information du logement a été établi et est communiqué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transmettre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une copie de ce carnet d'information au plus tard à la date de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Le nouveau propriétaire est informé qu'il devra mettre à jour ce carnet en cas d'extension du logement, de travaux d'amélioration ou de modification affectant les parties communes ou privatives.</w:t>
      </w:r>
    </w:p>
    <w:p>
      <w:pPr>
        <w:spacing w:after="0" w:before="0"/>
        <w:ind w:firstLine="709"/>
        <w:jc w:val="both"/>
      </w:pPr>
      <w:r>
        <w:rPr>
          <w:rFonts w:ascii="Times New Roman" w:hAnsi="Times New Roman" w:cs="Times New Roman"/>
          <w:rFonts w:ascii="Times New Roman" w:hAnsi="Times New Roman"/>
          <w:b/>
          <w:i w:val="0"/>
          <w:sz w:val="22"/>
          <w:u w:val="none"/>
        </w:rPr>
        <w:t>Annexe n°13 : 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w:t>
      </w:r>
      <w:r>
        <w:rPr>
          <w:rFonts w:ascii="Times New Roman" w:hAnsi="Times New Roman" w:cs="Times New Roman"/>
          <w:rFonts w:ascii="Times New Roman" w:hAnsi="Times New Roman"/>
          <w:b/>
          <w:i w:val="0"/>
          <w:sz w:val="22"/>
          <w:u w:val="none"/>
        </w:rPr>
        <w:t>n'est pas</w:t>
      </w:r>
      <w:r>
        <w:rPr>
          <w:rFonts w:ascii="Times New Roman" w:hAnsi="Times New Roman" w:cs="Times New Roman"/>
          <w:rFonts w:ascii="Times New Roman" w:hAnsi="Times New Roman"/>
          <w:b w:val="0"/>
          <w:i w:val="0"/>
          <w:sz w:val="22"/>
          <w:u w:val="none"/>
        </w:rPr>
        <w:t xml:space="preserve"> situé dans le périmètre d'un plan d'exposition au bruit des aérodromes.</w:t>
      </w:r>
    </w:p>
    <w:p>
      <w:pPr>
        <w:pStyle w:val="Heading3"/>
      </w:pPr>
      <w:r>
        <w:rPr>
          <w:rFonts w:ascii="Times New Roman" w:hAnsi="Times New Roman" w:cs="Times New Roman"/>
          <w:rFonts w:ascii="Times New Roman" w:hAnsi="Times New Roman"/>
          <w:b/>
          <w:i w:val="0"/>
          <w:sz w:val="22"/>
          <w:u w:val="none"/>
        </w:rPr>
        <w:t>Information du bénéficiaire sur les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informé que les désordres affectant les éléments d'équipement qu'ils soient individuels ou communs demeurent soumis aux garanties visées aux articles 1792 et suivants, articles 1646-1 et 1648 al. 1er du Code civil ainsi qu'à l'article L 111-13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Toutefois, s'agissant des éléments installés en remplacement ou par adjonction à l'existant, cette garantie ne s'applique qu'à ces seuls éléments dont l'installation ou le remplacement sont par ailleurs soumis au régime de garantie décennale de l'article 1792 du Code civil.</w:t>
      </w:r>
    </w:p>
    <w:p>
      <w:pPr>
        <w:spacing w:after="0" w:before="0"/>
        <w:ind w:firstLine="709"/>
        <w:jc w:val="both"/>
      </w:pPr>
      <w:r>
        <w:rPr>
          <w:rFonts w:ascii="Times New Roman" w:hAnsi="Times New Roman" w:cs="Times New Roman"/>
          <w:rFonts w:ascii="Times New Roman" w:hAnsi="Times New Roman"/>
          <w:b w:val="0"/>
          <w:i w:val="0"/>
          <w:sz w:val="22"/>
          <w:u w:val="none"/>
        </w:rPr>
        <w:t>La garantie décennale s'applique au professionnel qui a réalisé les travaux d'installation, lequel en garantit le maître d'ouvrage, personne pour le compte de laquelle les travaux sont exécutés (article 1792-1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fournira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lors de la réitération de la vente, la documentation technique afférente à ces équipements, ainsi que les garanties et assurances y attachées.</w:t>
      </w:r>
    </w:p>
    <w:p>
      <w:pPr>
        <w:pStyle w:val="Heading3"/>
      </w:pPr>
      <w:r>
        <w:rPr>
          <w:rFonts w:ascii="Times New Roman" w:hAnsi="Times New Roman" w:cs="Times New Roman"/>
          <w:rFonts w:ascii="Times New Roman" w:hAnsi="Times New Roman"/>
          <w:b/>
          <w:i w:val="0"/>
          <w:sz w:val="22"/>
          <w:u w:val="none"/>
        </w:rPr>
        <w:t>Radon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se trouvant </w:t>
      </w:r>
      <w:r>
        <w:rPr>
          <w:rFonts w:ascii="Times New Roman" w:hAnsi="Times New Roman" w:cs="Times New Roman"/>
          <w:rFonts w:ascii="Times New Roman" w:hAnsi="Times New Roman"/>
          <w:b/>
          <w:i w:val="0"/>
          <w:sz w:val="22"/>
          <w:u w:val="none"/>
        </w:rPr>
        <w:t>en zone 1 (faible)</w:t>
      </w:r>
      <w:r>
        <w:rPr>
          <w:rFonts w:ascii="Times New Roman" w:hAnsi="Times New Roman" w:cs="Times New Roman"/>
          <w:rFonts w:ascii="Times New Roman" w:hAnsi="Times New Roman"/>
          <w:b w:val="0"/>
          <w:i w:val="0"/>
          <w:sz w:val="22"/>
          <w:u w:val="none"/>
        </w:rPr>
        <w:t>, l'obligation d'information n'est pas nécessaire, ainsi qu'il résulte de l'état des risques ci-annexé.</w:t>
      </w:r>
    </w:p>
    <w:p>
      <w:pPr>
        <w:pStyle w:val="Heading3"/>
      </w:pPr>
      <w:r>
        <w:rPr>
          <w:rFonts w:ascii="Times New Roman" w:hAnsi="Times New Roman" w:cs="Times New Roman"/>
          <w:rFonts w:ascii="Times New Roman" w:hAnsi="Times New Roman"/>
          <w:b/>
          <w:i w:val="0"/>
          <w:sz w:val="22"/>
          <w:u w:val="none"/>
        </w:rPr>
        <w:t>Assainissement</w:t>
      </w:r>
    </w:p>
    <w:p>
      <w:pPr>
        <w:spacing w:after="0" w:before="0"/>
        <w:ind w:firstLine="709"/>
        <w:jc w:val="both"/>
      </w:pPr>
      <w:r>
        <w:rPr>
          <w:rFonts w:ascii="Times New Roman" w:hAnsi="Times New Roman" w:cs="Times New Roman"/>
          <w:rFonts w:ascii="Times New Roman" w:hAnsi="Times New Roman"/>
          <w:b w:val="0"/>
          <w:i w:val="0"/>
          <w:sz w:val="22"/>
          <w:u w:val="none"/>
        </w:rPr>
        <w:t>En ce qui concerne l'installation de l'ensemble immobilier dont dépendent les biens objet des présentes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est raccordé à un réseau d'assainissement collectif.</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des articles L 1331-4 et L 1331-6 de ce Code, les parties sont informées des obligations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immeubles non raccordés au réseau public de collecte doivent être dotés d'une installation d'assainissement non collectif dont le propriétaire assure l'entretien régulier et qu'il fait périodiquement contrôler par un service public d'assainissement non collectif.</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vente d'un immeuble non raccordé, le propriétaire doit fournir l'attestation de contrôle de l'installation d'assainissement non collectif.</w:t>
      </w:r>
    </w:p>
    <w:p>
      <w:pPr>
        <w:pStyle w:val="Heading3"/>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Un état des risques en date du 22 mai 2025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b/>
          <w:i w:val="0"/>
          <w:sz w:val="22"/>
          <w:u w:val="none"/>
        </w:rPr>
        <w:t>Situation environnementale</w:t>
      </w:r>
    </w:p>
    <w:p>
      <w:pPr>
        <w:pStyle w:val="Heading2"/>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i w:val="0"/>
          <w:sz w:val="22"/>
          <w:u w:val="none"/>
        </w:rPr>
        <w:t>Date d'établissement</w:t>
      </w:r>
      <w:r>
        <w:rPr>
          <w:rFonts w:ascii="Times New Roman" w:hAnsi="Times New Roman" w:cs="Times New Roman"/>
          <w:rFonts w:ascii="Times New Roman" w:hAnsi="Times New Roman"/>
          <w:b w:val="0"/>
          <w:i w:val="0"/>
          <w:sz w:val="22"/>
          <w:u w:val="none"/>
        </w:rPr>
        <w:t xml:space="preserve"> : 22 mai 2025</w:t>
      </w:r>
    </w:p>
    <w:p>
      <w:pPr>
        <w:spacing w:after="0" w:before="0"/>
        <w:ind w:firstLine="709"/>
        <w:jc w:val="both"/>
      </w:pPr>
      <w:r>
        <w:rPr>
          <w:rFonts w:ascii="Times New Roman" w:hAnsi="Times New Roman" w:cs="Times New Roman"/>
          <w:rFonts w:ascii="Times New Roman" w:hAnsi="Times New Roman"/>
          <w:b/>
          <w:i w:val="0"/>
          <w:sz w:val="22"/>
          <w:u w:val="none"/>
        </w:rPr>
        <w:t>Zone de sismicité</w:t>
      </w:r>
      <w:r>
        <w:rPr>
          <w:rFonts w:ascii="Times New Roman" w:hAnsi="Times New Roman" w:cs="Times New Roman"/>
          <w:rFonts w:ascii="Times New Roman" w:hAnsi="Times New Roman"/>
          <w:b w:val="0"/>
          <w:i w:val="0"/>
          <w:sz w:val="22"/>
          <w:u w:val="none"/>
        </w:rPr>
        <w:t xml:space="preserve"> : 2 (faible)</w:t>
      </w:r>
    </w:p>
    <w:p>
      <w:pPr>
        <w:spacing w:after="0" w:before="0"/>
        <w:ind w:firstLine="709"/>
        <w:jc w:val="both"/>
      </w:pPr>
      <w:r>
        <w:rPr>
          <w:rFonts w:ascii="Times New Roman" w:hAnsi="Times New Roman" w:cs="Times New Roman"/>
          <w:rFonts w:ascii="Times New Roman" w:hAnsi="Times New Roman"/>
          <w:b/>
          <w:i w:val="0"/>
          <w:sz w:val="22"/>
          <w:u w:val="none"/>
        </w:rPr>
        <w:t>Potentiel radon</w:t>
      </w:r>
      <w:r>
        <w:rPr>
          <w:rFonts w:ascii="Times New Roman" w:hAnsi="Times New Roman" w:cs="Times New Roman"/>
          <w:rFonts w:ascii="Times New Roman" w:hAnsi="Times New Roman"/>
          <w:b w:val="0"/>
          <w:i w:val="0"/>
          <w:sz w:val="22"/>
          <w:u w:val="none"/>
        </w:rPr>
        <w:t xml:space="preserve"> : Catégorie 1 (faible)</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le périmètre d'un Plan de Prévention des Risques.</w:t>
      </w:r>
    </w:p>
    <w:p>
      <w:pPr>
        <w:spacing w:after="0" w:before="0"/>
        <w:ind w:firstLine="709"/>
        <w:jc w:val="both"/>
      </w:pPr>
      <w:r>
        <w:rPr>
          <w:rFonts w:ascii="Times New Roman" w:hAnsi="Times New Roman" w:cs="Times New Roman"/>
          <w:rFonts w:ascii="Times New Roman" w:hAnsi="Times New Roman"/>
          <w:b/>
          <w:i w:val="0"/>
          <w:sz w:val="22"/>
          <w:u w:val="none"/>
        </w:rPr>
        <w:t>Retrait-gonflement des argiles</w:t>
      </w:r>
      <w:r>
        <w:rPr>
          <w:rFonts w:ascii="Times New Roman" w:hAnsi="Times New Roman" w:cs="Times New Roman"/>
          <w:rFonts w:ascii="Times New Roman" w:hAnsi="Times New Roman"/>
          <w:b w:val="0"/>
          <w:i w:val="0"/>
          <w:sz w:val="22"/>
          <w:u w:val="none"/>
        </w:rPr>
        <w:t xml:space="preserve"> : Aléa faible</w:t>
      </w:r>
    </w:p>
    <w:p>
      <w:pPr>
        <w:spacing w:after="0" w:before="0"/>
        <w:ind w:firstLine="709"/>
        <w:jc w:val="both"/>
      </w:pPr>
      <w:r>
        <w:rPr>
          <w:rFonts w:ascii="Times New Roman" w:hAnsi="Times New Roman" w:cs="Times New Roman"/>
          <w:rFonts w:ascii="Times New Roman" w:hAnsi="Times New Roman"/>
          <w:b w:val="0"/>
          <w:i w:val="0"/>
          <w:sz w:val="22"/>
          <w:u w:val="none"/>
        </w:rPr>
        <w:t>Cet état est valable six mois à compter de sa date d'établissement.</w:t>
      </w:r>
    </w:p>
    <w:p>
      <w:pPr>
        <w:pStyle w:val="Heading2"/>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secteurs d'information sur les sols (SIS).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géoportail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ERRIAL (l'état des risques réglementés pour l'information des acquéreurs et des locataires).</w:t>
      </w:r>
    </w:p>
    <w:p>
      <w:pPr>
        <w:pStyle w:val="Heading3"/>
      </w:pPr>
      <w:r>
        <w:rPr>
          <w:rFonts w:ascii="Times New Roman" w:hAnsi="Times New Roman" w:cs="Times New Roman"/>
          <w:rFonts w:ascii="Times New Roman" w:hAnsi="Times New Roman"/>
          <w:b/>
          <w:i w:val="0"/>
          <w:sz w:val="22"/>
          <w:u w:val="none"/>
        </w:rPr>
        <w:t>Inventaire BASIAS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BASIAS.</w:t>
      </w:r>
    </w:p>
    <w:p>
      <w:pPr>
        <w:pStyle w:val="Heading3"/>
      </w:pPr>
      <w:r>
        <w:rPr>
          <w:rFonts w:ascii="Times New Roman" w:hAnsi="Times New Roman" w:cs="Times New Roman"/>
          <w:rFonts w:ascii="Times New Roman" w:hAnsi="Times New Roman"/>
          <w:b/>
          <w:i w:val="0"/>
          <w:sz w:val="22"/>
          <w:u w:val="none"/>
        </w:rPr>
        <w:t>Inventaire BASOL</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BASOL.</w:t>
      </w:r>
    </w:p>
    <w:p>
      <w:pPr>
        <w:pStyle w:val="Heading3"/>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Secteur d'Information sur les Sols (SIS).</w:t>
      </w:r>
    </w:p>
    <w:p>
      <w:pPr>
        <w:pStyle w:val="Heading3"/>
      </w:pPr>
      <w:r>
        <w:rPr>
          <w:rFonts w:ascii="Times New Roman" w:hAnsi="Times New Roman" w:cs="Times New Roman"/>
          <w:rFonts w:ascii="Times New Roman" w:hAnsi="Times New Roman"/>
          <w:b/>
          <w:i w:val="0"/>
          <w:sz w:val="22"/>
          <w:u w:val="none"/>
        </w:rPr>
        <w:t>Sites identifiés</w:t>
      </w:r>
    </w:p>
    <w:p>
      <w:pPr>
        <w:spacing w:after="0" w:before="0"/>
        <w:ind w:firstLine="709"/>
        <w:jc w:val="both"/>
      </w:pPr>
      <w:r>
        <w:rPr>
          <w:rFonts w:ascii="Times New Roman" w:hAnsi="Times New Roman" w:cs="Times New Roman"/>
          <w:rFonts w:ascii="Times New Roman" w:hAnsi="Times New Roman"/>
          <w:b w:val="0"/>
          <w:i w:val="0"/>
          <w:sz w:val="22"/>
          <w:u w:val="none"/>
        </w:rPr>
        <w:t>Les consultations n'ont révélé aucun site d'activités recensé à proximité immédiate du bien.</w:t>
      </w:r>
    </w:p>
    <w:p>
      <w:pPr>
        <w:pStyle w:val="Heading2"/>
      </w:pPr>
      <w:r>
        <w:rPr>
          <w:rFonts w:ascii="Times New Roman" w:hAnsi="Times New Roman" w:cs="Times New Roman"/>
          <w:rFonts w:ascii="Times New Roman" w:hAnsi="Times New Roman"/>
          <w:b/>
          <w:i w:val="0"/>
          <w:sz w:val="22"/>
          <w:u w:val="none"/>
        </w:rPr>
        <w:t>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n'a fait l'objet d'aucun sinistre ayant donné lieu à indemnisation au titre des catastrophes naturelles ou technologiques en application des articles L. 125-5 ou L. 128-2 du Code des assurances.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l'ensemble des risques environnementaux et des sinistres éventuellement survenus sur le bien.</w:t>
      </w:r>
    </w:p>
    <w:p>
      <w:pPr>
        <w:pStyle w:val="Heading1"/>
      </w:pPr>
      <w:r>
        <w:rPr>
          <w:rFonts w:ascii="Times New Roman" w:hAnsi="Times New Roman" w:cs="Times New Roman"/>
          <w:rFonts w:ascii="Times New Roman" w:hAnsi="Times New Roman"/>
          <w:b/>
          <w:i w:val="0"/>
          <w:sz w:val="22"/>
          <w:u w:val="none"/>
        </w:rPr>
        <w:t>Règlementations spécifiques à la copropriété</w:t>
      </w:r>
    </w:p>
    <w:p>
      <w:pPr>
        <w:pStyle w:val="Heading2"/>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AD9-775-875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b/>
          <w:i w:val="0"/>
          <w:sz w:val="22"/>
          <w:u w:val="none"/>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b/>
          <w:i w:val="0"/>
          <w:sz w:val="22"/>
          <w:u w:val="none"/>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b/>
          <w:i w:val="0"/>
          <w:sz w:val="22"/>
          <w:u w:val="none"/>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b/>
          <w:i w:val="0"/>
          <w:sz w:val="22"/>
          <w:u w:val="none"/>
        </w:rPr>
        <w:t>Fiche synthétique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fiche synthétique </w:t>
      </w:r>
      <w:r>
        <w:rPr>
          <w:rFonts w:ascii="Times New Roman" w:hAnsi="Times New Roman" w:cs="Times New Roman"/>
          <w:rFonts w:ascii="Times New Roman" w:hAnsi="Times New Roman"/>
          <w:b/>
          <w:i w:val="0"/>
          <w:sz w:val="22"/>
          <w:u w:val="none"/>
        </w:rPr>
        <w:t>a été établie</w:t>
      </w:r>
      <w:r>
        <w:rPr>
          <w:rFonts w:ascii="Times New Roman" w:hAnsi="Times New Roman" w:cs="Times New Roman"/>
          <w:rFonts w:ascii="Times New Roman" w:hAnsi="Times New Roman"/>
          <w:b w:val="0"/>
          <w:i w:val="0"/>
          <w:sz w:val="22"/>
          <w:u w:val="none"/>
        </w:rPr>
        <w:t xml:space="preserve"> le 10 juin 2022 dont une copie est annexée.</w:t>
      </w:r>
    </w:p>
    <w:p>
      <w:pPr>
        <w:spacing w:after="0" w:before="0"/>
        <w:ind w:firstLine="709"/>
        <w:jc w:val="both"/>
      </w:pPr>
      <w:r>
        <w:rPr>
          <w:rFonts w:ascii="Times New Roman" w:hAnsi="Times New Roman" w:cs="Times New Roman"/>
          <w:rFonts w:ascii="Times New Roman" w:hAnsi="Times New Roman"/>
          <w:b/>
          <w:i w:val="0"/>
          <w:sz w:val="22"/>
          <w:u w:val="none"/>
        </w:rPr>
        <w:t>Annexe n°16 : Fiche synthétique</w:t>
      </w:r>
    </w:p>
    <w:p>
      <w:pPr>
        <w:pStyle w:val="Heading2"/>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b/>
          <w:i w:val="0"/>
          <w:sz w:val="22"/>
          <w:u w:val="none"/>
        </w:rPr>
        <w:t>Statut de la copropriété</w:t>
      </w:r>
    </w:p>
    <w:p>
      <w:pPr>
        <w:pStyle w:val="Heading3"/>
      </w:pPr>
      <w:r>
        <w:rPr>
          <w:rFonts w:ascii="Times New Roman" w:hAnsi="Times New Roman" w:cs="Times New Roman"/>
          <w:rFonts w:ascii="Times New Roman" w:hAnsi="Times New Roman"/>
          <w:b/>
          <w:i w:val="0"/>
          <w:sz w:val="22"/>
          <w:u w:val="none"/>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rPr>
        <w:t>FONCIA SAINT-LOUIS – 264 Rue Garibaldi – 69003 LYON 3ÈME ARRONDISSEMENT</w:t>
      </w:r>
    </w:p>
    <w:p>
      <w:pPr>
        <w:pStyle w:val="Heading3"/>
      </w:pPr>
      <w:r>
        <w:rPr>
          <w:rFonts w:ascii="Times New Roman" w:hAnsi="Times New Roman" w:cs="Times New Roman"/>
          <w:rFonts w:ascii="Times New Roman" w:hAnsi="Times New Roman"/>
          <w:b/>
          <w:i w:val="0"/>
          <w:sz w:val="22"/>
          <w:u w:val="none"/>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rPr>
        <w:t>6 février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b/>
          <w:i w:val="0"/>
          <w:sz w:val="22"/>
          <w:u w:val="none"/>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b/>
          <w:i w:val="0"/>
          <w:sz w:val="22"/>
          <w:u w:val="none"/>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3"/>
      </w:pPr>
      <w:r>
        <w:rPr>
          <w:rFonts w:ascii="Times New Roman" w:hAnsi="Times New Roman" w:cs="Times New Roman"/>
          <w:rFonts w:ascii="Times New Roman" w:hAnsi="Times New Roman"/>
          <w:b/>
          <w:i w:val="0"/>
          <w:sz w:val="22"/>
          <w:u w:val="none"/>
        </w:rPr>
        <w:t>Répartition des budgets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copropriété se répartissent selon les modalités définies dans le règlement de copropriété et ses annexes.</w:t>
      </w:r>
    </w:p>
    <w:p>
      <w:pPr>
        <w:pStyle w:val="Heading3"/>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découlant des procédures en cours impliquant le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Aucune procédure en cours n'a été portée à la connaissance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Au cas où, avant la signature de l'acte de vente, le syndic fait procéder de sa propre initiative à des travaux urgents nécessaires à la sauvegarde de l'immeuble, le coût de ces travaux sera supporté selon la répartition prévue par le règlement de copropriété.</w:t>
      </w:r>
    </w:p>
    <w:p>
      <w:pPr>
        <w:pStyle w:val="Heading3"/>
      </w:pPr>
      <w:r>
        <w:rPr>
          <w:rFonts w:ascii="Times New Roman" w:hAnsi="Times New Roman" w:cs="Times New Roman"/>
          <w:rFonts w:ascii="Times New Roman" w:hAnsi="Times New Roman"/>
          <w:b/>
          <w:i w:val="0"/>
          <w:sz w:val="22"/>
          <w:u w:val="none"/>
        </w:rPr>
        <w:t>Convention de règlement entre les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constatation authentique de la vente, outre le prix de vente proprement dit, une somme égale au montant des charges de copropriété et de toutes impositions restant dues au jour de la prise de jouissance au prorata des tantièmes de copropriété afférents au bien vendu.</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les parties conviennent d'effectuer directement entre elles le remboursement des provisions versées au syndic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l'année en cours.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dans l'hypothèse où l'état du syndic qui sera annexé à l'acte authentique ferait apparaître une dette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envers la copropriété supérieure au montant de la provision à régulariser,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le complément directement au syndic.</w:t>
      </w:r>
    </w:p>
    <w:p>
      <w:pPr>
        <w:pStyle w:val="Heading3"/>
      </w:pPr>
      <w:r>
        <w:rPr>
          <w:rFonts w:ascii="Times New Roman" w:hAnsi="Times New Roman" w:cs="Times New Roman"/>
          <w:rFonts w:ascii="Times New Roman" w:hAnsi="Times New Roman"/>
          <w:b/>
          <w:i w:val="0"/>
          <w:sz w:val="22"/>
          <w:u w:val="none"/>
        </w:rPr>
        <w:t>Information financière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informations financières suivantes sont annexées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montant des charges courantes du budget prévisionnel et des charges hors budget prévisionnel payées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titre des deux exercices comptables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qui resteraient dues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syndicat.</w:t>
      </w:r>
    </w:p>
    <w:p>
      <w:pPr>
        <w:pStyle w:val="Heading3"/>
      </w:pPr>
      <w:r>
        <w:rPr>
          <w:rFonts w:ascii="Times New Roman" w:hAnsi="Times New Roman" w:cs="Times New Roman"/>
          <w:rFonts w:ascii="Times New Roman" w:hAnsi="Times New Roman"/>
          <w:b/>
          <w:i w:val="0"/>
          <w:sz w:val="22"/>
          <w:u w:val="none"/>
        </w:rPr>
        <w:t>Décomptes et conventions</w:t>
      </w:r>
    </w:p>
    <w:p>
      <w:pPr>
        <w:spacing w:after="0" w:before="0"/>
        <w:ind w:firstLine="709"/>
        <w:jc w:val="both"/>
      </w:pPr>
      <w:r>
        <w:rPr>
          <w:rFonts w:ascii="Times New Roman" w:hAnsi="Times New Roman" w:cs="Times New Roman"/>
          <w:rFonts w:ascii="Times New Roman" w:hAnsi="Times New Roman"/>
          <w:b w:val="0"/>
          <w:i w:val="0"/>
          <w:sz w:val="22"/>
          <w:u w:val="none"/>
        </w:rPr>
        <w:t>Une copie du pré-état délivré par le syndic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n°19 : Pré état-daté (copie)</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sommes indiquées dans ledit document le sont sous réserve de l'apurement des comptes de l'exercice en cours et des régularisations à intervenir ultérieurement.</w:t>
      </w:r>
    </w:p>
    <w:p>
      <w:pPr>
        <w:pStyle w:val="Heading2"/>
      </w:pPr>
      <w:r>
        <w:rPr>
          <w:rFonts w:ascii="Times New Roman" w:hAnsi="Times New Roman" w:cs="Times New Roman"/>
          <w:rFonts w:ascii="Times New Roman" w:hAnsi="Times New Roman"/>
          <w:b/>
          <w:i w:val="0"/>
          <w:sz w:val="22"/>
          <w:u w:val="none"/>
        </w:rPr>
        <w:t>Information du bénéficiaire sur sa situation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20 II de la loi n° 65-557 du 10 juillet 1965,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tenant compte de la situation qui sera la sienne à la réalisation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n'est pas déjà propriétaire d'un lot dans l'ensemble immobilier dont il s'agit.</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L 31-10-3 du Code de la construction et de l'habitation,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s'appliquera pas à l'acte authentique de réitération des présentes.</w:t>
      </w:r>
    </w:p>
    <w:p>
      <w:pPr>
        <w:pStyle w:val="Heading1"/>
      </w:pPr>
      <w:r>
        <w:rPr>
          <w:rFonts w:ascii="Times New Roman" w:hAnsi="Times New Roman" w:cs="Times New Roman"/>
          <w:rFonts w:ascii="Times New Roman" w:hAnsi="Times New Roman"/>
          <w:b/>
          <w:i w:val="0"/>
          <w:sz w:val="22"/>
          <w:u w:val="none"/>
        </w:rPr>
        <w:t>Plus-values</w:t>
      </w:r>
    </w:p>
    <w:p>
      <w:pPr>
        <w:pStyle w:val="Heading2"/>
      </w:pPr>
      <w:r>
        <w:rPr>
          <w:rFonts w:ascii="Times New Roman" w:hAnsi="Times New Roman" w:cs="Times New Roman"/>
          <w:rFonts w:ascii="Times New Roman" w:hAnsi="Times New Roman"/>
          <w:b/>
          <w:i w:val="0"/>
          <w:sz w:val="22"/>
          <w:u w:val="none"/>
        </w:rPr>
        <w:t>Concernant les lots numéros 14,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 publié au service de la publicité foncière de LYON 5.</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 publié au service de la publicité foncière de LYON 1.</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b/>
          <w:i w:val="0"/>
          <w:sz w:val="22"/>
          <w:u w:val="none"/>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b/>
          <w:i w:val="0"/>
          <w:sz w:val="22"/>
          <w:u w:val="none"/>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bénéficiaire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conviennent que la présente promesse de vente ne comporte pas de condition de survie. En cas de décès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avant la réitération de la vente, ses héritiers seront tenus de poursuivre l'exécution de la promesse ou d'en subir les conséquences telles que prévues aux présentes.</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2"/>
      </w:pPr>
      <w:r>
        <w:rPr>
          <w:rFonts w:ascii="Times New Roman" w:hAnsi="Times New Roman" w:cs="Times New Roman"/>
          <w:rFonts w:ascii="Times New Roman" w:hAnsi="Times New Roman"/>
          <w:b/>
          <w:i w:val="0"/>
          <w:sz w:val="22"/>
          <w:u w:val="none"/>
        </w:rPr>
        <w:t>Information sur les diagnostics et risques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parfaitement informées de l'ensemble des dispositions légales applicables à la présente promesse de vente,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diagnostics techniques obligatoires (DPE, plomb, amiante, termites, gaz, électricité, ERP,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à la garantie des vices cachés.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 droit de rétractation de l'acquéreur non professionnel.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conditions suspensives légales et conventionnelles.</w:t>
      </w:r>
    </w:p>
    <w:p>
      <w:pPr>
        <w:pStyle w:val="Heading2"/>
      </w:pPr>
      <w:r>
        <w:rPr>
          <w:rFonts w:ascii="Times New Roman" w:hAnsi="Times New Roman" w:cs="Times New Roman"/>
          <w:rFonts w:ascii="Times New Roman" w:hAnsi="Times New Roman"/>
          <w:b/>
          <w:i w:val="0"/>
          <w:sz w:val="22"/>
          <w:u w:val="none"/>
        </w:rPr>
        <w:t>Information sur le marché immobilier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informé que le notaire rédacteur ne saurait se porter garant de la valeur vénale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ni de l'évolution future du marché immobilier. Le prix convenu entre les parties résulte de leur libre négociation.</w:t>
      </w:r>
    </w:p>
    <w:p>
      <w:pPr>
        <w:pStyle w:val="Heading2"/>
      </w:pPr>
      <w:r>
        <w:rPr>
          <w:rFonts w:ascii="Times New Roman" w:hAnsi="Times New Roman" w:cs="Times New Roman"/>
          <w:rFonts w:ascii="Times New Roman" w:hAnsi="Times New Roman"/>
          <w:b/>
          <w:i w:val="0"/>
          <w:sz w:val="22"/>
          <w:u w:val="none"/>
        </w:rPr>
        <w:t>Exclusivité</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ne comporte pas de clause d'exclusivité particulière.</w:t>
      </w:r>
    </w:p>
    <w:p>
      <w:pPr>
        <w:pStyle w:val="Heading1"/>
      </w:pPr>
      <w:r>
        <w:rPr>
          <w:rFonts w:ascii="Times New Roman" w:hAnsi="Times New Roman" w:cs="Times New Roman"/>
          <w:rFonts w:ascii="Times New Roman" w:hAnsi="Times New Roman"/>
          <w:b/>
          <w:i w:val="0"/>
          <w:sz w:val="22"/>
          <w:u w:val="none"/>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dans les QUINZE (15)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2"/>
      </w:pPr>
      <w:r>
        <w:rPr>
          <w:rFonts w:ascii="Times New Roman" w:hAnsi="Times New Roman" w:cs="Times New Roman"/>
          <w:rFonts w:ascii="Times New Roman" w:hAnsi="Times New Roman"/>
          <w:b/>
          <w:i w:val="0"/>
          <w:sz w:val="22"/>
          <w:u w:val="none"/>
        </w:rPr>
        <w:t>Notification par envoi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donne son accord pour que toute notification lui soit faite par lettre recommandée par voie électronique permettant d'établir de manière certaine la date de réception.</w:t>
      </w:r>
    </w:p>
    <w:p>
      <w:pPr>
        <w:spacing w:after="0" w:before="0"/>
        <w:ind w:firstLine="709"/>
        <w:jc w:val="both"/>
      </w:pPr>
      <w:r>
        <w:rPr>
          <w:rFonts w:ascii="Times New Roman" w:hAnsi="Times New Roman" w:cs="Times New Roman"/>
          <w:rFonts w:ascii="Times New Roman" w:hAnsi="Times New Roman"/>
          <w:b w:val="0"/>
          <w:i w:val="0"/>
          <w:sz w:val="22"/>
          <w:u w:val="none"/>
        </w:rPr>
        <w:t>Il bénéficie en contrepartie de la faculté d'effectuer, dans le cadre des présentes, toute notification par lettre recommandée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reconnait et garantit qu'il dispose de la maîtrise exclusive de la boîte aux lettres électronique dont l'adresse est indiquée ci-après et qu'il s'assurera de consulter régulièrement ladite boîte.</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lettre recommandée électronique, les parties déclarent élire domicile aux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DUPONT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Envoi electronique</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donne son accord pour que l'envoi d'une lettre recommandée, lorsque la loi permet une telle modalité d'envoi, soit réalisé par lettre recommandée électronique selon le dispositif légal de l'article L. 100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Elle reconnait et garantit qu'elle dispose de la maîtrise exclusive de la boîte aux lettres électronique dont l'adresse est indiquée ci-après et qu'elle s'assurera de consulter régulièrement.</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 prestataire chargé de la remise est AR24. Ce prestataire est soumis aux dispositions des articles L. 100 et R. 53-1 à R. 53-3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déclare faire élection de domicile électronique à l'adresse déjà mentionnée ci-dessus.</w:t>
      </w:r>
    </w:p>
    <w:p>
      <w:pPr>
        <w:pStyle w:val="Heading1"/>
      </w:pPr>
      <w:r>
        <w:rPr>
          <w:rFonts w:ascii="Times New Roman" w:hAnsi="Times New Roman" w:cs="Times New Roman"/>
          <w:rFonts w:ascii="Times New Roman" w:hAnsi="Times New Roman"/>
          <w:b/>
          <w:i w:val="0"/>
          <w:sz w:val="22"/>
          <w:u w:val="none"/>
        </w:rPr>
        <w:t>ADRESSES electroniqueS</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voie électronique, les parties confirment les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claire.martin@email.fr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MARTIN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philippe.martin@email.fr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DUPONT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antoine.dubois@email.fr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PETIT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b/>
          <w:i w:val="0"/>
          <w:sz w:val="22"/>
          <w:u w:val="none"/>
        </w:rPr>
        <w:t>NOTIFICATIONS – POUVOIRS RECIPROQUES</w:t>
      </w:r>
    </w:p>
    <w:p>
      <w:pPr>
        <w:spacing w:after="0" w:before="0"/>
        <w:ind w:firstLine="709"/>
        <w:jc w:val="both"/>
      </w:pPr>
      <w:r>
        <w:rPr>
          <w:rFonts w:ascii="Times New Roman" w:hAnsi="Times New Roman" w:cs="Times New Roman"/>
          <w:rFonts w:ascii="Times New Roman" w:hAnsi="Times New Roman"/>
          <w:b w:val="0"/>
          <w:i w:val="0"/>
          <w:sz w:val="22"/>
          <w:u w:val="none"/>
        </w:rPr>
        <w:t>Les bénéficiaires se donnent pouvoir réciproquement et à l'effet de signer tout avenant ou rectification au présent contrat que les circonstances ultérieures pourraient rendre nécessaire.</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55"/>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562"/>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834"/>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2804"/>
          </w:tcPr>
          <w:p>
            <w:pPr>
              <w:spacing w:after="0" w:before="0"/>
              <w:ind w:firstLine="0"/>
              <w:jc w:val="left"/>
            </w:pPr>
            <w:r>
              <w:rPr>
                <w:rFonts w:ascii="Times New Roman" w:hAnsi="Times New Roman" w:cs="Times New Roman"/>
                <w:rFonts w:ascii="Times New Roman" w:hAnsi="Times New Roman"/>
                <w:b/>
                <w:i w:val="0"/>
                <w:sz w:val="22"/>
                <w:u w:val="none"/>
              </w:rPr>
              <w:t>Observations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Plans des lots et plan de masse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Description des lots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Attestation de mesurage Carrez</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46 loi du 10 juillet 1965</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Classe D</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des risques et pollutions (ERP)</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L. 125-5 Code environnement</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6</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Constat de risque d'exposition au plomb (CREP)</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Immeuble construit avant 1949</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7</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amiante parties privatives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Permis de construire avant 01/07/1997</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8</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amiante parties communes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DTA copropriété</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9</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relatif aux termites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Zone de protection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de gaz</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d'électricité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12</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assainissement</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Assainissement non collectif</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Carnet d'information du logement</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Remis si existant</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16</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Note d'urbanisme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Situation du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17</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18</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Certificat de non-péril</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État de l'immeuble</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19</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Règlement de copropriété et ses modificatifs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Applicable au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descriptif de division</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Identification des lots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Attestation d'immatriculation au RNC</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N° AD9-775-875</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23</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Fiche synthétique de la copropriété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L. 711-2 CCH</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24</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Procès-verbaux des AG (3 dernières années)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Information acquéreur</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Pré état-daté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10-1 loi du 10 juillet 1965</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 Ces documents lui ont été remis ou mis à disposition sur l'espace sécurisé mis à sa disposition par l'office notarial.</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