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firstLine="0"/>
        <w:jc w:val="left"/>
      </w:pPr>
      <w:r>
        <w:rPr>
          <w:rFonts w:ascii="Times New Roman" w:hAnsi="Times New Roman" w:cs="Times New Roman"/>
          <w:rFonts w:ascii="Times New Roman" w:hAnsi="Times New Roman"/>
          <w:b w:val="0"/>
          <w:i w:val="0"/>
          <w:sz w:val="22"/>
          <w:u w:val="none"/>
        </w:rPr>
        <w:br/>
        <w:t>100546103</w:t>
      </w:r>
      <w:r>
        <w:br/>
      </w:r>
      <w:r>
        <w:rPr>
          <w:rFonts w:ascii="Times New Roman" w:hAnsi="Times New Roman" w:cs="Times New Roman"/>
          <w:rFonts w:ascii="Times New Roman" w:hAnsi="Times New Roman"/>
          <w:b w:val="0"/>
          <w:i w:val="0"/>
          <w:sz w:val="22"/>
          <w:u w:val="none"/>
        </w:rPr>
        <w:br/>
        <w:t>CDI/ALG/</w:t>
        <w:br/>
      </w:r>
    </w:p>
    <w:p>
      <w:pPr>
        <w:spacing w:after="120" w:before="120"/>
        <w:ind w:firstLine="0"/>
        <w:jc w:val="center"/>
      </w:pPr>
      <w:r>
        <w:rPr>
          <w:rFonts w:ascii="Times New Roman" w:hAnsi="Times New Roman" w:cs="Times New Roman"/>
          <w:rFonts w:ascii="Times New Roman" w:hAnsi="Times New Roman"/>
          <w:b/>
          <w:i w:val="0"/>
          <w:sz w:val="22"/>
          <w:u w:val="none"/>
        </w:rPr>
        <w:t>Le vingt novembre deux mille vingt-cinq</w:t>
      </w:r>
      <w:r>
        <w:br/>
      </w:r>
      <w:r>
        <w:rPr>
          <w:rFonts w:ascii="Times New Roman" w:hAnsi="Times New Roman" w:cs="Times New Roman"/>
          <w:rFonts w:ascii="Times New Roman" w:hAnsi="Times New Roman"/>
          <w:b/>
          <w:i w:val="0"/>
          <w:sz w:val="22"/>
          <w:u w:val="none"/>
        </w:rPr>
        <w:t>VENTE</w:t>
      </w:r>
      <w:r>
        <w:br/>
      </w:r>
      <w:r>
        <w:rPr>
          <w:rFonts w:ascii="Times New Roman" w:hAnsi="Times New Roman" w:cs="Times New Roman"/>
          <w:rFonts w:ascii="Times New Roman" w:hAnsi="Times New Roman"/>
          <w:b/>
          <w:i w:val="0"/>
          <w:sz w:val="22"/>
          <w:u w:val="none"/>
        </w:rPr>
        <w:t>Par Monsieur SUCHET</w:t>
      </w:r>
      <w:r>
        <w:br/>
      </w:r>
      <w:r>
        <w:rPr>
          <w:rFonts w:ascii="Times New Roman" w:hAnsi="Times New Roman" w:cs="Times New Roman"/>
          <w:rFonts w:ascii="Times New Roman" w:hAnsi="Times New Roman"/>
          <w:b/>
          <w:i w:val="0"/>
          <w:sz w:val="22"/>
          <w:u w:val="none"/>
        </w:rPr>
        <w:t>Au profit de Madame DIAZ</w:t>
      </w:r>
      <w:r>
        <w:br/>
      </w:r>
      <w:r>
        <w:rPr>
          <w:rFonts w:ascii="Times New Roman" w:hAnsi="Times New Roman" w:cs="Times New Roman"/>
          <w:rFonts w:ascii="Times New Roman" w:hAnsi="Times New Roman"/>
          <w:b/>
          <w:i w:val="0"/>
          <w:sz w:val="22"/>
          <w:u w:val="none"/>
        </w:rPr>
        <w:t>***************************************************************</w:t>
      </w:r>
    </w:p>
    <w:p>
      <w:pPr>
        <w:spacing w:after="60"/>
        <w:ind w:firstLine="0"/>
        <w:jc w:val="both"/>
      </w:pPr>
      <w:r>
        <w:rPr>
          <w:rFonts w:ascii="Times New Roman" w:hAnsi="Times New Roman" w:cs="Times New Roman"/>
          <w:rFonts w:ascii="Times New Roman" w:hAnsi="Times New Roman"/>
          <w:b/>
          <w:i w:val="0"/>
          <w:sz w:val="22"/>
          <w:u w:val="none"/>
        </w:rPr>
        <w:t>L'AN DEUX MILLE VINGT-CINQ,</w:t>
      </w:r>
      <w:r>
        <w:br/>
      </w:r>
      <w:r>
        <w:rPr>
          <w:rFonts w:ascii="Times New Roman" w:hAnsi="Times New Roman" w:cs="Times New Roman"/>
          <w:rFonts w:ascii="Times New Roman" w:hAnsi="Times New Roman"/>
          <w:b/>
          <w:i w:val="0"/>
          <w:sz w:val="22"/>
          <w:u w:val="none"/>
        </w:rPr>
        <w:t>LE VINGT NOVEMBRE</w:t>
      </w:r>
      <w:r>
        <w:br/>
      </w: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r>
        <w:br/>
      </w:r>
      <w:r>
        <w:rPr>
          <w:rFonts w:ascii="Times New Roman" w:hAnsi="Times New Roman" w:cs="Times New Roman"/>
          <w:rFonts w:ascii="Times New Roman" w:hAnsi="Times New Roman"/>
          <w:b/>
          <w:i w:val="0"/>
          <w:sz w:val="22"/>
          <w:u w:val="none"/>
        </w:rPr>
        <w:t>Maître Charlotte DIAZ, Notaire de la société par actions simplifiée dénommée « des CEDRES » dont le siège social est situé à TASSIN-LA-DEMI-LUNE (Rhône), 93 avenue du 11 Novembre 1918,</w:t>
      </w:r>
      <w:r>
        <w:rPr>
          <w:rFonts w:ascii="Times New Roman" w:hAnsi="Times New Roman" w:cs="Times New Roman"/>
          <w:rFonts w:ascii="Times New Roman" w:hAnsi="Times New Roman"/>
          <w:b/>
          <w:i w:val="0"/>
          <w:sz w:val="22"/>
          <w:u w:val="none"/>
        </w:rPr>
        <w:t>identifié sous le numéro CRPCEN 69182,</w:t>
      </w:r>
    </w:p>
    <w:p>
      <w:pPr>
        <w:spacing w:after="60"/>
        <w:ind w:firstLine="0"/>
        <w:jc w:val="both"/>
      </w:pPr>
      <w:r>
        <w:rPr>
          <w:rFonts w:ascii="Times New Roman" w:hAnsi="Times New Roman" w:cs="Times New Roman"/>
          <w:rFonts w:ascii="Times New Roman" w:hAnsi="Times New Roman"/>
          <w:b/>
          <w:i w:val="0"/>
          <w:sz w:val="22"/>
          <w:u w:val="none"/>
        </w:rPr>
        <w:t>Avec la participation de Maître Pierre MARTIN, notaire à LYON, assistant l'ACQUEREUR,</w:t>
      </w:r>
    </w:p>
    <w:p>
      <w:pPr>
        <w:spacing w:after="60"/>
        <w:ind w:firstLine="0"/>
        <w:jc w:val="both"/>
      </w:pPr>
      <w:r>
        <w:rPr>
          <w:rFonts w:ascii="Times New Roman" w:hAnsi="Times New Roman" w:cs="Times New Roman"/>
          <w:rFonts w:ascii="Times New Roman" w:hAnsi="Times New Roman"/>
          <w:b/>
          <w:i w:val="0"/>
          <w:sz w:val="22"/>
          <w:u w:val="none"/>
        </w:rPr>
        <w:t>A REÇU LA PRESENTE VENTE à la requête des parties ci-après identifiées.</w:t>
      </w:r>
    </w:p>
    <w:p>
      <w:pPr>
        <w:spacing w:after="0" w:before="0"/>
        <w:ind w:firstLine="709"/>
        <w:jc w:val="both"/>
      </w:pPr>
      <w:r>
        <w:rPr>
          <w:rFonts w:ascii="Times New Roman" w:hAnsi="Times New Roman" w:cs="Times New Roman"/>
          <w:rFonts w:ascii="Times New Roman" w:hAnsi="Times New Roman"/>
          <w:b w:val="0"/>
          <w:i w:val="0"/>
          <w:sz w:val="22"/>
          <w:u w:val="none"/>
        </w:rPr>
        <w:t>Cet acte comprend deux parties pour répondre aux exigences de la publicité foncière, néanmoins l'ensemble de l'acte et de ses annexes forme un contrat indissociable et unique.</w:t>
      </w:r>
    </w:p>
    <w:p>
      <w:pPr>
        <w:spacing w:after="0" w:before="0"/>
        <w:ind w:firstLine="709"/>
        <w:jc w:val="both"/>
      </w:pPr>
      <w:r>
        <w:rPr>
          <w:rFonts w:ascii="Times New Roman" w:hAnsi="Times New Roman" w:cs="Times New Roman"/>
          <w:rFonts w:ascii="Times New Roman" w:hAnsi="Times New Roman"/>
          <w:b/>
          <w:i w:val="0"/>
          <w:sz w:val="22"/>
          <w:u w:val="none"/>
        </w:rPr>
        <w:t>La première partie dite "partie normalisée"</w:t>
      </w:r>
      <w:r>
        <w:rPr>
          <w:rFonts w:ascii="Times New Roman" w:hAnsi="Times New Roman" w:cs="Times New Roman"/>
          <w:rFonts w:ascii="Times New Roman" w:hAnsi="Times New Roman"/>
          <w:b w:val="0"/>
          <w:i w:val="0"/>
          <w:sz w:val="22"/>
          <w:u w:val="none"/>
        </w:rPr>
        <w:t xml:space="preserve"> constitue le document hypothécaire normalisé et contient toutes les énonciations nécessaires tant à la publication au fichier immobilier qu'à la détermination de l'assiette et au contrôle du calcul de tous impôts, droits et taxes.</w:t>
      </w:r>
    </w:p>
    <w:p>
      <w:pPr>
        <w:spacing w:after="0" w:before="0"/>
        <w:ind w:firstLine="709"/>
        <w:jc w:val="both"/>
      </w:pPr>
      <w:r>
        <w:rPr>
          <w:rFonts w:ascii="Times New Roman" w:hAnsi="Times New Roman" w:cs="Times New Roman"/>
          <w:rFonts w:ascii="Times New Roman" w:hAnsi="Times New Roman"/>
          <w:b/>
          <w:i w:val="0"/>
          <w:sz w:val="22"/>
          <w:u w:val="none"/>
        </w:rPr>
        <w:t>La seconde partie dite "partie développée"</w:t>
      </w:r>
      <w:r>
        <w:rPr>
          <w:rFonts w:ascii="Times New Roman" w:hAnsi="Times New Roman" w:cs="Times New Roman"/>
          <w:rFonts w:ascii="Times New Roman" w:hAnsi="Times New Roman"/>
          <w:b w:val="0"/>
          <w:i w:val="0"/>
          <w:sz w:val="22"/>
          <w:u w:val="none"/>
        </w:rPr>
        <w:t xml:space="preserve"> comporte des informations, dispositions et conventions sans incidence sur le fichier immobilier.</w:t>
      </w:r>
    </w:p>
    <w:p>
      <w:pPr>
        <w:pStyle w:val="Heading1"/>
      </w:pPr>
      <w:r>
        <w:rPr>
          <w:rFonts w:ascii="Times New Roman" w:hAnsi="Times New Roman" w:cs="Times New Roman"/>
          <w:rFonts w:ascii="Times New Roman" w:hAnsi="Times New Roman"/>
          <w:b/>
          <w:i w:val="0"/>
          <w:sz w:val="22"/>
          <w:u w:val="none"/>
        </w:rPr>
        <w:t>PARTIE NORMALISEE</w:t>
      </w:r>
    </w:p>
    <w:p>
      <w:pPr>
        <w:pStyle w:val="Heading1"/>
      </w:pPr>
      <w:r>
        <w:rPr>
          <w:rFonts w:ascii="Times New Roman" w:hAnsi="Times New Roman" w:cs="Times New Roman"/>
          <w:rFonts w:ascii="Times New Roman" w:hAnsi="Times New Roman"/>
          <w:b/>
          <w:i w:val="0"/>
          <w:sz w:val="22"/>
          <w:u w:val="none"/>
        </w:rPr>
        <w:t>IDENTIFICATION DES PARTIES</w:t>
      </w:r>
    </w:p>
    <w:p>
      <w:pPr>
        <w:pStyle w:val="Heading4"/>
      </w:pPr>
      <w:r>
        <w:rPr>
          <w:rFonts w:ascii="Times New Roman" w:hAnsi="Times New Roman" w:cs="Times New Roman"/>
          <w:rFonts w:ascii="Times New Roman" w:hAnsi="Times New Roman"/>
          <w:b/>
          <w:i w:val="0"/>
          <w:sz w:val="22"/>
          <w:u w:val="none"/>
        </w:rPr>
        <w:t>VENDEUR</w:t>
      </w:r>
    </w:p>
    <w:p>
      <w:pPr>
        <w:spacing w:after="60"/>
        <w:ind w:firstLine="0"/>
        <w:jc w:val="both"/>
      </w:pPr>
      <w:r>
        <w:rPr>
          <w:rFonts w:ascii="Times New Roman" w:hAnsi="Times New Roman" w:cs="Times New Roman"/>
          <w:rFonts w:ascii="Times New Roman" w:hAnsi="Times New Roman"/>
          <w:b w:val="0"/>
          <w:i w:val="0"/>
          <w:sz w:val="22"/>
          <w:u w:val="none"/>
        </w:rPr>
        <w:br/>
        <w:t>Monsieur Pascal SUCHET, Ingénieur, demeurant à 2 avenue Charles de Gaulle 69160 TASSIN-LA-DEMI-LUNE</w:t>
      </w:r>
      <w:r>
        <w:br/>
      </w:r>
      <w:r>
        <w:rPr>
          <w:rFonts w:ascii="Times New Roman" w:hAnsi="Times New Roman" w:cs="Times New Roman"/>
          <w:rFonts w:ascii="Times New Roman" w:hAnsi="Times New Roman"/>
          <w:b w:val="0"/>
          <w:i w:val="0"/>
          <w:sz w:val="22"/>
          <w:u w:val="none"/>
        </w:rPr>
        <w:br/>
        <w:t>Né à LYON 3ème le 12 mai 1978.</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lié par un pacte civil de solidarité.</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 au sens de la réglementation fiscale.</w:t>
        <w:br/>
      </w:r>
    </w:p>
    <w:p>
      <w:pPr>
        <w:pStyle w:val="Heading4"/>
      </w:pPr>
      <w:r>
        <w:rPr>
          <w:rFonts w:ascii="Times New Roman" w:hAnsi="Times New Roman" w:cs="Times New Roman"/>
          <w:rFonts w:ascii="Times New Roman" w:hAnsi="Times New Roman"/>
          <w:b/>
          <w:i w:val="0"/>
          <w:sz w:val="22"/>
          <w:u w:val="none"/>
        </w:rPr>
        <w:t>ACQUEREUR</w:t>
      </w:r>
    </w:p>
    <w:p>
      <w:pPr>
        <w:spacing w:after="60"/>
        <w:ind w:firstLine="0"/>
        <w:jc w:val="both"/>
      </w:pPr>
      <w:r>
        <w:rPr>
          <w:rFonts w:ascii="Times New Roman" w:hAnsi="Times New Roman" w:cs="Times New Roman"/>
          <w:rFonts w:ascii="Times New Roman" w:hAnsi="Times New Roman"/>
          <w:b w:val="0"/>
          <w:i w:val="0"/>
          <w:sz w:val="22"/>
          <w:u w:val="none"/>
        </w:rPr>
        <w:br/>
        <w:t>Madame Charlotte DIAZ, Architecte, demeurant à 45 rue de la République 69002 LYON</w:t>
      </w:r>
      <w:r>
        <w:br/>
      </w:r>
      <w:r>
        <w:rPr>
          <w:rFonts w:ascii="Times New Roman" w:hAnsi="Times New Roman" w:cs="Times New Roman"/>
          <w:rFonts w:ascii="Times New Roman" w:hAnsi="Times New Roman"/>
          <w:b w:val="0"/>
          <w:i w:val="0"/>
          <w:sz w:val="22"/>
          <w:u w:val="none"/>
        </w:rPr>
        <w:br/>
        <w:t>Née à VILLEURBANNE le 23 septembre 1985.</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liée par un pacte civil de solidarité.</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Résidente au sens de la réglementation fiscale.</w:t>
        <w:br/>
      </w:r>
    </w:p>
    <w:p>
      <w:pPr>
        <w:pStyle w:val="Heading1"/>
      </w:pPr>
      <w:r>
        <w:rPr>
          <w:rFonts w:ascii="Times New Roman" w:hAnsi="Times New Roman" w:cs="Times New Roman"/>
          <w:rFonts w:ascii="Times New Roman" w:hAnsi="Times New Roman"/>
          <w:b/>
          <w:i w:val="0"/>
          <w:sz w:val="22"/>
          <w:u w:val="none"/>
        </w:rPr>
        <w:t>QUOTITÉS VENDUES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Pascal SUCHET vend la pleine propriété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totalité.</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Charlotte DIAZ acquiert acquiert la pleine propriété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totalité.</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Pascal SUCHET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Charlotte DIAZ est présente à l'acte.</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l'acquéreur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pStyle w:val="Heading2"/>
      </w:pPr>
      <w:r>
        <w:rPr>
          <w:rFonts w:ascii="Times New Roman" w:hAnsi="Times New Roman" w:cs="Times New Roman"/>
          <w:rFonts w:ascii="Times New Roman" w:hAnsi="Times New Roman"/>
          <w:b/>
          <w:i w:val="0"/>
          <w:sz w:val="22"/>
          <w:u w:val="none"/>
        </w:rPr>
        <w:t>Concernant Monsieur Pascal SUCHET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Madame Charlotte DIAZ</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Le vocable employé au présent acte est le suivant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désigne le ou les vendeurs, présents ou représentés. En cas de pluralité, les vendeurs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désigne le ou les acquéreurs, présents ou représentés. En cas de pluralité, les acquéreurs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LES PARTIES</w:t>
      </w:r>
      <w:r>
        <w:rPr>
          <w:rFonts w:ascii="Times New Roman" w:hAnsi="Times New Roman" w:cs="Times New Roman"/>
          <w:rFonts w:ascii="Times New Roman" w:hAnsi="Times New Roman"/>
          <w:b w:val="0"/>
          <w:i w:val="0"/>
          <w:sz w:val="22"/>
          <w:u w:val="none"/>
        </w:rPr>
        <w:t xml:space="preserve">" désignent ensemble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 l'immeuble dont dépendent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LOTS</w:t>
      </w:r>
      <w:r>
        <w:rPr>
          <w:rFonts w:ascii="Times New Roman" w:hAnsi="Times New Roman" w:cs="Times New Roman"/>
          <w:rFonts w:ascii="Times New Roman" w:hAnsi="Times New Roman"/>
          <w:b w:val="0"/>
          <w:i w:val="0"/>
          <w:sz w:val="22"/>
          <w:u w:val="none"/>
        </w:rPr>
        <w:t>" désigneront indifféremment le ou les lots de copropriété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 mobiliers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mobilier</w:t>
      </w:r>
      <w:r>
        <w:rPr>
          <w:rFonts w:ascii="Times New Roman" w:hAnsi="Times New Roman" w:cs="Times New Roman"/>
          <w:rFonts w:ascii="Times New Roman" w:hAnsi="Times New Roman"/>
          <w:b w:val="0"/>
          <w:i w:val="0"/>
          <w:sz w:val="22"/>
          <w:u w:val="none"/>
        </w:rPr>
        <w:t>", désigneront indifféremment, s'il en existe, les meubles et objets mobiliers se trouvant dans le ou les lots de copropriété et vendus avec ceux-ci.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"annexe" désigne tout document annexé. Les annexes forment un tout indissociable avec l'acte. Il est précisé que les pièces mentionnées comme étant annexées sont des copies numérisées.</w:t>
      </w:r>
    </w:p>
    <w:p>
      <w:pPr>
        <w:pStyle w:val="Heading1"/>
      </w:pPr>
      <w:r>
        <w:rPr>
          <w:rFonts w:ascii="Times New Roman" w:hAnsi="Times New Roman" w:cs="Times New Roman"/>
          <w:rFonts w:ascii="Times New Roman" w:hAnsi="Times New Roman"/>
          <w:b/>
          <w:i w:val="0"/>
          <w:sz w:val="22"/>
          <w:u w:val="none"/>
        </w:rPr>
        <w:t>CECI EXPOSE, il est passé à la vente objet des présentes.</w:t>
      </w:r>
    </w:p>
    <w:p>
      <w:pPr>
        <w:pStyle w:val="Heading1"/>
      </w:pPr>
      <w:r>
        <w:rPr>
          <w:rFonts w:ascii="Times New Roman" w:hAnsi="Times New Roman" w:cs="Times New Roman"/>
          <w:rFonts w:ascii="Times New Roman" w:hAnsi="Times New Roman"/>
          <w:b/>
          <w:i w:val="0"/>
          <w:sz w:val="22"/>
          <w:u w:val="none"/>
        </w:rPr>
        <w:t>NATURE ET QUOTITÉ DES DROITS IMMOBILIERS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pour sa totalité en pleine propriété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la désignation suit.</w:t>
      </w:r>
    </w:p>
    <w:p>
      <w:pPr>
        <w:pStyle w:val="Heading1"/>
      </w:pPr>
      <w:r>
        <w:rPr>
          <w:rFonts w:ascii="Times New Roman" w:hAnsi="Times New Roman" w:cs="Times New Roman"/>
          <w:rFonts w:ascii="Times New Roman" w:hAnsi="Times New Roman"/>
          <w:b/>
          <w:i w:val="0"/>
          <w:sz w:val="22"/>
          <w:u w:val="none"/>
        </w:rPr>
        <w:t>IDENTIFICATION DU BIEN</w:t>
      </w:r>
    </w:p>
    <w:p>
      <w:pPr>
        <w:pStyle w:val="Heading1"/>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situé à  () ()  .</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spacing w:after="0" w:before="0"/>
        <w:ind w:firstLine="709"/>
        <w:jc w:val="both"/>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(44 /1000 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faisant apparaître le lot appartement numéro QUATORZE (14)- Une copie du plan des sous-sols faisant apparaître le lot cave numéro VINGT-NEUF (29)- Une copie du plan de masse faisant apparaître le lot parking numéro QUARANTE-HUIT (48)</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le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visité les lieux préalablement à la signature de l'avant contrat et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 l'avant contrat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 M²</w:t>
      </w:r>
      <w:r>
        <w:rPr>
          <w:rFonts w:ascii="Times New Roman" w:hAnsi="Times New Roman" w:cs="Times New Roman"/>
          <w:rFonts w:ascii="Times New Roman" w:hAnsi="Times New Roman"/>
          <w:b w:val="0"/>
          <w:i w:val="0"/>
          <w:sz w:val="22"/>
          <w:u w:val="none"/>
        </w:rPr>
        <w:t xml:space="preserve"> pour le 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Le tout ainsi qu'il est développé ci-après.</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 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IDENTIFICATION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qui accepte, les meubles ci-après non valorisés dont la liste, établie contradictoirement entre eux, est la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pStyle w:val="Heading2"/>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informe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 l'existence des équipements, dont la liste figure en partie développée.</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entend conserver cet usage.</w:t>
      </w:r>
    </w:p>
    <w:p>
      <w:pPr>
        <w:pStyle w:val="Heading1"/>
      </w:pPr>
      <w:r>
        <w:rPr>
          <w:rFonts w:ascii="Times New Roman" w:hAnsi="Times New Roman" w:cs="Times New Roman"/>
          <w:rFonts w:ascii="Times New Roman" w:hAnsi="Times New Roman"/>
          <w:b/>
          <w:i w:val="0"/>
          <w:sz w:val="22"/>
          <w:u w:val="none"/>
        </w:rPr>
        <w:t>EFFETS RELATIFS</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 le 22 juin 2021, volume 2021P, numéro 4488.</w:t>
      </w:r>
    </w:p>
    <w:p>
      <w:pPr>
        <w:pStyle w:val="Heading1"/>
      </w:pPr>
      <w:r>
        <w:rPr>
          <w:rFonts w:ascii="Times New Roman" w:hAnsi="Times New Roman" w:cs="Times New Roman"/>
          <w:rFonts w:ascii="Times New Roman" w:hAnsi="Times New Roman"/>
          <w:b/>
          <w:i w:val="0"/>
          <w:sz w:val="22"/>
          <w:u w:val="none"/>
        </w:rPr>
        <w:t>CHARGES ET CONDITIONS LIEES AU CALCUL DE L'IMPOT</w:t>
      </w:r>
    </w:p>
    <w:p>
      <w:pPr>
        <w:spacing w:after="0" w:before="0"/>
        <w:ind w:firstLine="709"/>
        <w:jc w:val="both"/>
      </w:pPr>
      <w:r>
        <w:rPr>
          <w:rFonts w:ascii="Times New Roman" w:hAnsi="Times New Roman" w:cs="Times New Roman"/>
          <w:rFonts w:ascii="Times New Roman" w:hAnsi="Times New Roman"/>
          <w:b w:val="0"/>
          <w:i w:val="0"/>
          <w:sz w:val="22"/>
          <w:u w:val="none"/>
        </w:rPr>
        <w:t>Les charges et conditions ne donnant pas lieu à taxation figurent en partie développée de l'acte.</w:t>
      </w:r>
    </w:p>
    <w:p>
      <w:pPr>
        <w:spacing w:after="0" w:before="0"/>
        <w:ind w:firstLine="709"/>
        <w:jc w:val="both"/>
      </w:pPr>
      <w:r>
        <w:rPr>
          <w:rFonts w:ascii="Times New Roman" w:hAnsi="Times New Roman" w:cs="Times New Roman"/>
          <w:rFonts w:ascii="Times New Roman" w:hAnsi="Times New Roman"/>
          <w:b w:val="0"/>
          <w:i w:val="0"/>
          <w:sz w:val="22"/>
          <w:u w:val="none"/>
        </w:rPr>
        <w:t>Les frais de la vente et ceux qui en seront la suite et la conséquence sont à la charge exclusive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s'y oblige.</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L'entrée en jouissance a eu lieu par la prise de possession réelle le 14 novembre 2025 ainsi qu'il résulte d'une convention d'entrée en jouissance anticipée en date du 13 novembre 2025, dont une copie demeure jointe et annexée après mention.</w:t>
      </w:r>
    </w:p>
    <w:p>
      <w:pPr>
        <w:spacing w:after="0" w:before="0"/>
        <w:ind w:firstLine="709"/>
        <w:jc w:val="both"/>
      </w:pPr>
      <w:r>
        <w:rPr>
          <w:rFonts w:ascii="Times New Roman" w:hAnsi="Times New Roman" w:cs="Times New Roman"/>
          <w:rFonts w:ascii="Times New Roman" w:hAnsi="Times New Roman"/>
          <w:b/>
          <w:i w:val="0"/>
          <w:sz w:val="22"/>
          <w:u w:val="none"/>
        </w:rPr>
        <w:t>Annexe 2 bis : Convention d'occupation précaire</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est conclue moyennant le prix de </w:t>
      </w:r>
      <w:r>
        <w:rPr>
          <w:rFonts w:ascii="Times New Roman" w:hAnsi="Times New Roman" w:cs="Times New Roman"/>
          <w:rFonts w:ascii="Times New Roman" w:hAnsi="Times New Roman"/>
          <w:b/>
          <w:i w:val="0"/>
          <w:sz w:val="22"/>
          <w:u w:val="none"/>
        </w:rPr>
        <w:t>CENT SOIXANTE-DIX MILLE EUROS (170 000,00 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paiement de ce prix a lieu de la manière indiquée ci-après.</w:t>
      </w:r>
    </w:p>
    <w:p>
      <w:pPr>
        <w:pStyle w:val="Heading1"/>
      </w:pPr>
      <w:r>
        <w:rPr>
          <w:rFonts w:ascii="Times New Roman" w:hAnsi="Times New Roman" w:cs="Times New Roman"/>
          <w:rFonts w:ascii="Times New Roman" w:hAnsi="Times New Roman"/>
          <w:b/>
          <w:i w:val="0"/>
          <w:sz w:val="22"/>
          <w:u w:val="none"/>
        </w:rPr>
        <w:t>PAIEMENT DU PRIX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payé le prix comptant ce jour ainsi qu'il résulte de la comptabilité de l'office notarial dénommé en tête des présentes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le reconnaît et lui en consent quittance sans réserve.</w:t>
      </w:r>
    </w:p>
    <w:p>
      <w:pPr>
        <w:pStyle w:val="Heading2"/>
      </w:pPr>
      <w:r>
        <w:rPr>
          <w:rFonts w:ascii="Times New Roman" w:hAnsi="Times New Roman" w:cs="Times New Roman"/>
          <w:rFonts w:ascii="Times New Roman" w:hAnsi="Times New Roman"/>
          <w:b/>
          <w:i w:val="0"/>
          <w:sz w:val="22"/>
          <w:u w:val="none"/>
        </w:rPr>
        <w:t>DONT QUITTANCE</w:t>
      </w:r>
    </w:p>
    <w:p>
      <w:pPr>
        <w:pStyle w:val="Heading1"/>
      </w:pPr>
      <w:r>
        <w:rPr>
          <w:rFonts w:ascii="Times New Roman" w:hAnsi="Times New Roman" w:cs="Times New Roman"/>
          <w:rFonts w:ascii="Times New Roman" w:hAnsi="Times New Roman"/>
          <w:b/>
          <w:i w:val="0"/>
          <w:sz w:val="22"/>
          <w:u w:val="none"/>
        </w:rPr>
        <w:t>DECLARATION D'ORIGINE DES FONDS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sur la somme ci-dessus payée, celle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provient de fonds empruntés à cet effet suivant acte reçu par Maître Claude-Henri GOYET, notaire à LA TALAUDIERE, le 13 novembre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Auprès de la </w:t>
      </w:r>
      <w:r>
        <w:rPr>
          <w:rFonts w:ascii="Times New Roman" w:hAnsi="Times New Roman" w:cs="Times New Roman"/>
          <w:rFonts w:ascii="Times New Roman" w:hAnsi="Times New Roman"/>
          <w:b/>
          <w:i w:val="0"/>
          <w:sz w:val="22"/>
          <w:u w:val="none"/>
        </w:rPr>
        <w:t>CAISSE REGIONALE DE CREDIT AGRICOLE MUTUEL LOIRE HAUTE-LOIRE</w:t>
      </w:r>
      <w:r>
        <w:rPr>
          <w:rFonts w:ascii="Times New Roman" w:hAnsi="Times New Roman" w:cs="Times New Roman"/>
          <w:rFonts w:ascii="Times New Roman" w:hAnsi="Times New Roman"/>
          <w:b w:val="0"/>
          <w:i w:val="0"/>
          <w:sz w:val="22"/>
          <w:u w:val="none"/>
        </w:rPr>
        <w:t>, Société Coopérative à capital variable dont le siège est à SAINT-ETIENNE (42000), 94 rue Bergson, identifiée au SIREN sous le numéro 380386854 et immatriculée au Registre du Commerce et des Sociétés de SAINT-ETIENNE</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00003784487 d'un montant de DEUX CENT VINGT MILLE CINQ CENT SOIXANTE-QUATRE EUROS (220 564 EUR), remboursable en 300 mois, au taux de 3.09 %.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00003784488 d'un montant de VINGT-QUATRE MILLE QUATRE CENTS EUROS (24 400 EUR), remboursable en 300 mois, au taux de 1.99 %.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pStyle w:val="Heading1"/>
      </w:pPr>
      <w:r>
        <w:rPr>
          <w:rFonts w:ascii="Times New Roman" w:hAnsi="Times New Roman" w:cs="Times New Roman"/>
          <w:rFonts w:ascii="Times New Roman" w:hAnsi="Times New Roman"/>
          <w:b/>
          <w:i w:val="0"/>
          <w:sz w:val="22"/>
          <w:u w:val="none"/>
        </w:rPr>
        <w:t>PRÊT ORIGINE DES FONDS - HYPOTHÈQUE LÉGALE SPÉCIALE DU PRÊTEUR DE DENIERS</w:t>
      </w:r>
    </w:p>
    <w:p>
      <w:pPr>
        <w:spacing w:after="0" w:before="0"/>
        <w:ind w:firstLine="709"/>
        <w:jc w:val="both"/>
      </w:pPr>
      <w:r>
        <w:rPr>
          <w:rFonts w:ascii="Times New Roman" w:hAnsi="Times New Roman" w:cs="Times New Roman"/>
          <w:rFonts w:ascii="Times New Roman" w:hAnsi="Times New Roman"/>
          <w:b w:val="0"/>
          <w:i w:val="0"/>
          <w:sz w:val="22"/>
          <w:u w:val="none"/>
        </w:rPr>
        <w:t>Aux termes de l'acte susvisé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s'est engagé auprès du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à employer la somme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provenant du prêt au paiement à due concurrence du prix ci-dessus stipulé.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effectué le paiement ci-dessus à due concurrence de la somme de deux cent quarante-quatre mille neuf cent soixante-quatre euros (244 964 EUR) lui provenant de ce prêt. Il fait cette déclaration pour constater l'origine des fonds conformément à l'engagement qu'il a pris ci-dessus envers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des stipulations et déclarations respectivement contenues dans l'acte de prêt précité et dans le présent acte de vente, tous deux passés en la forme authentique,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 trouve investi par l'article 2402 2° du Code civil, lequel garantit le principal du prêt, les intérêts dont il est productif et ses accessoires.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L'hypothèque bénéficiant au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sera conservée par l'inscription qui sera prise à son profit.</w:t>
      </w:r>
    </w:p>
    <w:p>
      <w:pPr>
        <w:spacing w:after="0" w:before="0"/>
        <w:ind w:firstLine="709"/>
        <w:jc w:val="both"/>
      </w:pPr>
      <w:r>
        <w:rPr>
          <w:rFonts w:ascii="Times New Roman" w:hAnsi="Times New Roman" w:cs="Times New Roman"/>
          <w:rFonts w:ascii="Times New Roman" w:hAnsi="Times New Roman"/>
          <w:b w:val="0"/>
          <w:i w:val="0"/>
          <w:sz w:val="22"/>
          <w:u w:val="none"/>
        </w:rPr>
        <w:t>L'inscription sera requise pour une durée qui cessera d'avoir effet faute d'avoir été renouvelée en temps utile, à l'expiration d'un délai d'une année à partir de la date de la dernière échéance de l'obligation garantie.</w:t>
      </w:r>
    </w:p>
    <w:p>
      <w:pPr>
        <w:pStyle w:val="Heading1"/>
      </w:pPr>
      <w:r>
        <w:rPr>
          <w:rFonts w:ascii="Times New Roman" w:hAnsi="Times New Roman" w:cs="Times New Roman"/>
          <w:rFonts w:ascii="Times New Roman" w:hAnsi="Times New Roman"/>
          <w:b/>
          <w:i w:val="0"/>
          <w:sz w:val="22"/>
          <w:u w:val="none"/>
        </w:rPr>
        <w:t>FORMALITÉ FUSIONNÉE</w:t>
      </w:r>
    </w:p>
    <w:p>
      <w:pPr>
        <w:spacing w:after="0" w:before="0"/>
        <w:ind w:firstLine="709"/>
        <w:jc w:val="both"/>
      </w:pPr>
      <w:r>
        <w:rPr>
          <w:rFonts w:ascii="Times New Roman" w:hAnsi="Times New Roman" w:cs="Times New Roman"/>
          <w:rFonts w:ascii="Times New Roman" w:hAnsi="Times New Roman"/>
          <w:b w:val="0"/>
          <w:i w:val="0"/>
          <w:sz w:val="22"/>
          <w:u w:val="none"/>
        </w:rPr>
        <w:t>L'acte sera soumis à la formalité fusionnée, dans le mois de sa date, au service de la publicité foncière de LYON 1.</w:t>
      </w:r>
    </w:p>
    <w:p>
      <w:pPr>
        <w:pStyle w:val="Heading1"/>
      </w:pPr>
      <w:r>
        <w:rPr>
          <w:rFonts w:ascii="Times New Roman" w:hAnsi="Times New Roman" w:cs="Times New Roman"/>
          <w:rFonts w:ascii="Times New Roman" w:hAnsi="Times New Roman"/>
          <w:b/>
          <w:i w:val="0"/>
          <w:sz w:val="22"/>
          <w:u w:val="none"/>
        </w:rPr>
        <w:t>DECLARATIONS FISCALES</w:t>
      </w:r>
    </w:p>
    <w:p>
      <w:pPr>
        <w:pStyle w:val="Heading2"/>
      </w:pPr>
      <w:r>
        <w:rPr>
          <w:rFonts w:ascii="Times New Roman" w:hAnsi="Times New Roman" w:cs="Times New Roman"/>
          <w:rFonts w:ascii="Times New Roman" w:hAnsi="Times New Roman"/>
          <w:b/>
          <w:i w:val="0"/>
          <w:sz w:val="22"/>
          <w:u w:val="none"/>
        </w:rPr>
        <w:t>Impôt sur la plus-value</w:t>
      </w:r>
    </w:p>
    <w:p>
      <w:pPr>
        <w:spacing w:after="0" w:before="0"/>
        <w:ind w:firstLine="709"/>
        <w:jc w:val="both"/>
      </w:pPr>
      <w:r>
        <w:rPr>
          <w:rFonts w:ascii="Times New Roman" w:hAnsi="Times New Roman" w:cs="Times New Roman"/>
          <w:rFonts w:ascii="Times New Roman" w:hAnsi="Times New Roman"/>
          <w:b/>
          <w:i w:val="0"/>
          <w:sz w:val="22"/>
          <w:u w:val="none"/>
        </w:rPr>
        <w:t>L'immeuble est entré dans le patrimoine de Monsieur Pascal SUCHET</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5, le 22 juin 2021 volume 2021P, numéro 4488.</w:t>
      </w:r>
    </w:p>
    <w:p>
      <w:pPr>
        <w:spacing w:after="0" w:before="0"/>
        <w:ind w:firstLine="709"/>
        <w:jc w:val="both"/>
      </w:pPr>
      <w:r>
        <w:rPr>
          <w:rFonts w:ascii="Times New Roman" w:hAnsi="Times New Roman" w:cs="Times New Roman"/>
          <w:rFonts w:ascii="Times New Roman" w:hAnsi="Times New Roman"/>
          <w:b/>
          <w:i w:val="0"/>
          <w:sz w:val="22"/>
          <w:u w:val="none"/>
        </w:rPr>
        <w:t>Exonération de l'impôt sur les plus-values immobilières en vertu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 de l'exonération de l'impôt sur les plus-values conformément aux dispositions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Précision étant ici faite que la présente vente a pour le vendeur un caractère occasionnel. À défaut, celui-ci pourrait se voir refuser, par l'administration, le bénéfice de l'exonération visée ci-dessus.</w:t>
      </w:r>
    </w:p>
    <w:p>
      <w:pPr>
        <w:spacing w:after="0" w:before="0"/>
        <w:ind w:firstLine="709"/>
        <w:jc w:val="both"/>
      </w:pPr>
      <w:r>
        <w:rPr>
          <w:rFonts w:ascii="Times New Roman" w:hAnsi="Times New Roman" w:cs="Times New Roman"/>
          <w:rFonts w:ascii="Times New Roman" w:hAnsi="Times New Roman"/>
          <w:b w:val="0"/>
          <w:i w:val="0"/>
          <w:sz w:val="22"/>
          <w:u w:val="none"/>
        </w:rPr>
        <w:t>En conséquence, le notaire est dispensé de déposer l'imprimé 2048-IMM-SD.</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le contrôle de l'impôt,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effectivement domicilié à l'adresse susvisée, et s'engage à signaler au centre tout changement d'adresse.</w:t>
      </w:r>
    </w:p>
    <w:p>
      <w:pPr>
        <w:spacing w:after="0" w:before="0"/>
        <w:ind w:firstLine="709"/>
        <w:jc w:val="both"/>
      </w:pPr>
      <w:r>
        <w:rPr>
          <w:rFonts w:ascii="Times New Roman" w:hAnsi="Times New Roman" w:cs="Times New Roman"/>
          <w:rFonts w:ascii="Times New Roman" w:hAnsi="Times New Roman"/>
          <w:b/>
          <w:i w:val="0"/>
          <w:sz w:val="22"/>
          <w:u w:val="none"/>
        </w:rPr>
        <w:t>Quant au centre des finances publiques du VENDEUR</w:t>
      </w:r>
    </w:p>
    <w:p>
      <w:pPr>
        <w:spacing w:after="0" w:before="0"/>
        <w:ind w:firstLine="709"/>
        <w:jc w:val="both"/>
      </w:pPr>
      <w:r>
        <w:rPr>
          <w:rFonts w:ascii="Times New Roman" w:hAnsi="Times New Roman" w:cs="Times New Roman"/>
          <w:rFonts w:ascii="Times New Roman" w:hAnsi="Times New Roman"/>
          <w:b w:val="0"/>
          <w:i w:val="0"/>
          <w:sz w:val="22"/>
          <w:u w:val="none"/>
        </w:rPr>
        <w:t>Monsieur Pascal SUCHET dépend actuellement du centre des finances publiques de CALUIRE - 1 rue CLAUDE BAUDRAND BOITE POSTALE 236 - 69732 CALUIRE.</w:t>
      </w:r>
    </w:p>
    <w:p>
      <w:pPr>
        <w:pStyle w:val="Heading2"/>
      </w:pPr>
      <w:r>
        <w:rPr>
          <w:rFonts w:ascii="Times New Roman" w:hAnsi="Times New Roman" w:cs="Times New Roman"/>
          <w:rFonts w:ascii="Times New Roman" w:hAnsi="Times New Roman"/>
          <w:b/>
          <w:i w:val="0"/>
          <w:sz w:val="22"/>
          <w:u w:val="none"/>
        </w:rPr>
        <w:t>Impôt sur la mutation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impôts](http://www.legifrance.gouv.fr/WAspad/UnArticleDeCode?code=CGIMPO00.rcv&amp;art=1594/D).</w:t>
      </w:r>
    </w:p>
    <w:p>
      <w:pPr>
        <w:spacing w:after="0" w:before="0"/>
        <w:ind w:firstLine="709"/>
        <w:jc w:val="both"/>
      </w:pPr>
      <w:r>
        <w:rPr>
          <w:rFonts w:ascii="Times New Roman" w:hAnsi="Times New Roman" w:cs="Times New Roman"/>
          <w:rFonts w:ascii="Times New Roman" w:hAnsi="Times New Roman"/>
          <w:b w:val="0"/>
          <w:i w:val="0"/>
          <w:sz w:val="22"/>
          <w:u w:val="none"/>
        </w:rPr>
        <w:t>En vertu des dispositions du II-A de l'article 116 de la loi du 14 février 2025 (LF 2025), le conseil départemental du , dont dépend le lieu de situation de l'immeuble objet des présentes, a par une délibération en date du 21 février 2025, notifiée aux services fiscaux, relevé le taux prévu à l'article 1594 D.</w:t>
      </w:r>
    </w:p>
    <w:p>
      <w:pPr>
        <w:spacing w:after="0" w:before="0"/>
        <w:ind w:firstLine="709"/>
        <w:jc w:val="both"/>
      </w:pPr>
      <w:r>
        <w:rPr>
          <w:rFonts w:ascii="Times New Roman" w:hAnsi="Times New Roman" w:cs="Times New Roman"/>
          <w:rFonts w:ascii="Times New Roman" w:hAnsi="Times New Roman"/>
          <w:b w:val="0"/>
          <w:i w:val="0"/>
          <w:sz w:val="22"/>
          <w:u w:val="none"/>
        </w:rPr>
        <w:t>Par exception, les primo-accédants au sens du I de l'article L 31-10-3 du Code de la construction et de l'habitation sont exemptés de cette augmentation pour l'acquisition d'un bien destiné à l'usage de leur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susvisé,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 pas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L'assiette des droits est de </w:t>
      </w:r>
      <w:r>
        <w:rPr>
          <w:rFonts w:ascii="Times New Roman" w:hAnsi="Times New Roman" w:cs="Times New Roman"/>
          <w:rFonts w:ascii="Times New Roman" w:hAnsi="Times New Roman"/>
          <w:b/>
          <w:i w:val="0"/>
          <w:sz w:val="22"/>
          <w:u w:val="none"/>
        </w:rPr>
        <w:t>CENT SOIXANTE-DIX MILLE EUROS (170 000,00 EUR).</w:t>
      </w:r>
    </w:p>
    <w:p>
      <w:pPr>
        <w:spacing w:after="0" w:before="0"/>
        <w:ind w:firstLine="709"/>
        <w:jc w:val="both"/>
      </w:pPr>
      <w:r>
        <w:rPr>
          <w:rFonts w:ascii="Times New Roman" w:hAnsi="Times New Roman" w:cs="Times New Roman"/>
          <w:rFonts w:ascii="Times New Roman" w:hAnsi="Times New Roman"/>
          <w:b/>
          <w:i w:val="0"/>
          <w:sz w:val="22"/>
          <w:u w:val="none"/>
        </w:rPr>
        <w:t>Droits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Mt à payer</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départementale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4.5 %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11 025,00</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communale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1.2 %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2 940,00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Frais d'assiette</w:t>
            </w:r>
            <w:r>
              <w:rPr>
                <w:rFonts w:ascii="Times New Roman" w:hAnsi="Times New Roman" w:cs="Times New Roman"/>
                <w:rFonts w:ascii="Times New Roman" w:hAnsi="Times New Roman"/>
                <w:b w:val="0"/>
                <w:i w:val="0"/>
                <w:sz w:val="22"/>
                <w:u w:val="none"/>
              </w:rPr>
              <w:t xml:space="preserve"> 11 025,00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2,37 %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261,00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r>
              <w:rPr>
                <w:rFonts w:ascii="Times New Roman" w:hAnsi="Times New Roman" w:cs="Times New Roman"/>
                <w:rFonts w:ascii="Times New Roman" w:hAnsi="Times New Roman"/>
                <w:b/>
                <w:i w:val="0"/>
                <w:sz w:val="22"/>
                <w:u w:val="none"/>
              </w:rPr>
              <w:t>TOTAL</w:t>
            </w: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14 226</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none"/>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En fonction des dispositions de l'acte à publier au fichier immobilier, la contribution de sécurité immobilière représentant la taxe au profit de l'État telle que fixée par l'article 879 du Code général des impôts s'élève à la somme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390"/>
          </w:tcPr>
          <w:p>
            <w:pPr>
              <w:spacing w:after="0" w:before="0"/>
              <w:ind w:firstLine="0"/>
              <w:jc w:val="left"/>
            </w:pPr>
            <w:r>
              <w:rPr>
                <w:rFonts w:ascii="Times New Roman" w:hAnsi="Times New Roman" w:cs="Times New Roman"/>
                <w:rFonts w:ascii="Times New Roman" w:hAnsi="Times New Roman"/>
                <w:b/>
                <w:i w:val="0"/>
                <w:sz w:val="22"/>
                <w:u w:val="none"/>
              </w:rPr>
              <w:t>Type de contribution</w:t>
            </w:r>
          </w:p>
        </w:tc>
        <w:tc>
          <w:tcPr>
            <w:tcW w:type="dxa" w:w="1351"/>
          </w:tcPr>
          <w:p>
            <w:pPr>
              <w:spacing w:after="0" w:before="0"/>
              <w:ind w:firstLine="0"/>
              <w:jc w:val="center"/>
            </w:pPr>
            <w:r>
              <w:rPr>
                <w:rFonts w:ascii="Times New Roman" w:hAnsi="Times New Roman" w:cs="Times New Roman"/>
                <w:rFonts w:ascii="Times New Roman" w:hAnsi="Times New Roman"/>
                <w:b/>
                <w:i w:val="0"/>
                <w:sz w:val="22"/>
                <w:u w:val="none"/>
              </w:rPr>
              <w:t>Assiette (€)</w:t>
            </w:r>
          </w:p>
        </w:tc>
        <w:tc>
          <w:tcPr>
            <w:tcW w:type="dxa" w:w="675"/>
          </w:tcPr>
          <w:p>
            <w:pPr>
              <w:spacing w:after="0" w:before="0"/>
              <w:ind w:firstLine="0"/>
              <w:jc w:val="center"/>
            </w:pPr>
            <w:r>
              <w:rPr>
                <w:rFonts w:ascii="Times New Roman" w:hAnsi="Times New Roman" w:cs="Times New Roman"/>
                <w:rFonts w:ascii="Times New Roman" w:hAnsi="Times New Roman"/>
                <w:b/>
                <w:i w:val="0"/>
                <w:sz w:val="22"/>
                <w:u w:val="none"/>
              </w:rPr>
              <w:t>Taux</w:t>
            </w:r>
          </w:p>
        </w:tc>
        <w:tc>
          <w:tcPr>
            <w:tcW w:type="dxa" w:w="1238"/>
          </w:tcPr>
          <w:p>
            <w:pPr>
              <w:spacing w:after="0" w:before="0"/>
              <w:ind w:firstLine="0"/>
              <w:jc w:val="center"/>
            </w:pPr>
            <w:r>
              <w:rPr>
                <w:rFonts w:ascii="Times New Roman" w:hAnsi="Times New Roman" w:cs="Times New Roman"/>
                <w:rFonts w:ascii="Times New Roman" w:hAnsi="Times New Roman"/>
                <w:b/>
                <w:i w:val="0"/>
                <w:sz w:val="22"/>
                <w:u w:val="none"/>
              </w:rPr>
              <w:t>Montant (€)</w:t>
            </w:r>
          </w:p>
        </w:tc>
      </w:tr>
      <w:tr>
        <w:tc>
          <w:tcPr>
            <w:tcW w:type="dxa" w:w="4390"/>
          </w:tcPr>
          <w:p>
            <w:pPr>
              <w:spacing w:after="0" w:before="0"/>
              <w:ind w:firstLine="0"/>
              <w:jc w:val="left"/>
            </w:pPr>
            <w:r>
              <w:rPr>
                <w:rFonts w:ascii="Times New Roman" w:hAnsi="Times New Roman" w:cs="Times New Roman"/>
                <w:rFonts w:ascii="Times New Roman" w:hAnsi="Times New Roman"/>
                <w:b w:val="0"/>
                <w:i w:val="0"/>
                <w:sz w:val="22"/>
                <w:u w:val="none"/>
              </w:rPr>
              <w:t>Contribution proportionnelle taux plein</w:t>
            </w:r>
          </w:p>
        </w:tc>
        <w:tc>
          <w:tcPr>
            <w:tcW w:type="dxa" w:w="1351"/>
          </w:tcPr>
          <w:p>
            <w:pPr>
              <w:spacing w:after="0" w:before="0"/>
              <w:ind w:firstLine="0"/>
              <w:jc w:val="center"/>
            </w:pPr>
            <w:r>
              <w:rPr>
                <w:rFonts w:ascii="Times New Roman" w:hAnsi="Times New Roman" w:cs="Times New Roman"/>
                <w:rFonts w:ascii="Times New Roman" w:hAnsi="Times New Roman"/>
                <w:b w:val="0"/>
                <w:i w:val="0"/>
                <w:sz w:val="22"/>
                <w:u w:val="none"/>
              </w:rPr>
              <w:t>245 000</w:t>
            </w:r>
          </w:p>
        </w:tc>
        <w:tc>
          <w:tcPr>
            <w:tcW w:type="dxa" w:w="675"/>
          </w:tcPr>
          <w:p>
            <w:pPr>
              <w:spacing w:after="0" w:before="0"/>
              <w:ind w:firstLine="0"/>
              <w:jc w:val="center"/>
            </w:pPr>
            <w:r>
              <w:rPr>
                <w:rFonts w:ascii="Times New Roman" w:hAnsi="Times New Roman" w:cs="Times New Roman"/>
                <w:rFonts w:ascii="Times New Roman" w:hAnsi="Times New Roman"/>
                <w:b w:val="0"/>
                <w:i w:val="0"/>
                <w:sz w:val="22"/>
                <w:u w:val="none"/>
              </w:rPr>
              <w:t>0,10%</w:t>
            </w:r>
          </w:p>
        </w:tc>
        <w:tc>
          <w:tcPr>
            <w:tcW w:type="dxa" w:w="1238"/>
          </w:tcPr>
          <w:p>
            <w:pPr>
              <w:spacing w:after="0" w:before="0"/>
              <w:ind w:firstLine="0"/>
              <w:jc w:val="center"/>
            </w:pPr>
            <w:r>
              <w:rPr>
                <w:rFonts w:ascii="Times New Roman" w:hAnsi="Times New Roman" w:cs="Times New Roman"/>
                <w:rFonts w:ascii="Times New Roman" w:hAnsi="Times New Roman"/>
                <w:b w:val="0"/>
                <w:i w:val="0"/>
                <w:sz w:val="22"/>
                <w:u w:val="none"/>
              </w:rPr>
              <w:t>245,00</w:t>
            </w:r>
          </w:p>
        </w:tc>
      </w:tr>
    </w:tbl>
    <w:p>
      <w:pPr>
        <w:spacing w:after="120" w:before="0"/>
      </w:pPr>
    </w:p>
    <w:p>
      <w:pPr>
        <w:pStyle w:val="Heading1"/>
      </w:pPr>
      <w:r>
        <w:rPr>
          <w:rFonts w:ascii="Times New Roman" w:hAnsi="Times New Roman" w:cs="Times New Roman"/>
          <w:rFonts w:ascii="Times New Roman" w:hAnsi="Times New Roman"/>
          <w:b/>
          <w:i w:val="0"/>
          <w:sz w:val="22"/>
          <w:u w:val="none"/>
        </w:rPr>
        <w:t>FIN DE PARTIE NORMALISEE</w:t>
      </w:r>
    </w:p>
    <w:p>
      <w:pPr>
        <w:pStyle w:val="Heading1"/>
      </w:pPr>
      <w:r>
        <w:rPr>
          <w:rFonts w:ascii="Times New Roman" w:hAnsi="Times New Roman" w:cs="Times New Roman"/>
          <w:rFonts w:ascii="Times New Roman" w:hAnsi="Times New Roman"/>
          <w:b/>
          <w:i w:val="0"/>
          <w:sz w:val="22"/>
          <w:u w:val="none"/>
        </w:rPr>
        <w:t>PARTIE DÉVELOPPÉE</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Les parties ont conclu, en vue de la réalisation de cette vente, une promesse unilatérale de vente aux termes d'un acte reçu par Maître Charlotte DIAZ, le 15 octobre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shd w:val="clear" w:color="auto" w:fill="D9D9D9"/>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pStyle w:val="Heading3"/>
      </w:pPr>
      <w:r>
        <w:rPr>
          <w:rFonts w:ascii="Times New Roman" w:hAnsi="Times New Roman" w:cs="Times New Roman"/>
          <w:rFonts w:ascii="Times New Roman" w:hAnsi="Times New Roman"/>
          <w:b/>
          <w:i w:val="0"/>
          <w:sz w:val="22"/>
          <w:u w:val="none"/>
        </w:rPr>
        <w:t>Amiante</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shd w:val="clear" w:color="auto" w:fill="D9D9D9"/>
        </w:rPr>
        <w:t>22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shd w:val="clear" w:color="auto" w:fill="D9D9D9"/>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Classe énergie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D</w:t>
      </w:r>
    </w:p>
    <w:p>
      <w:pPr>
        <w:spacing w:after="0" w:before="0"/>
        <w:ind w:firstLine="709"/>
        <w:jc w:val="both"/>
      </w:pP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'170 rue Joliot Curie', 'ville': 'TASSIN-LA-DEMI-LUNE'}</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'25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shd w:val="clear" w:color="auto" w:fill="D9D9D9"/>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shd w:val="clear" w:color="auto" w:fill="D9D9D9"/>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shd w:val="clear" w:color="auto" w:fill="D9D9D9"/>
        </w:rPr>
        <w:t>Maître DUPONT, notaire à LYON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shd w:val="clear" w:color="auto" w:fill="D9D9D9"/>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20788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shd w:val="clear" w:color="auto" w:fill="D9D9D9"/>
        </w:rPr>
        <w:t>Maître MARTIN, notaire à TASSIN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shd w:val="clear" w:color="auto" w:fill="D9D9D9"/>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4488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14</w:t>
      </w:r>
    </w:p>
    <w:p>
      <w:pPr>
        <w:pStyle w:val="Heading1"/>
      </w:pPr>
      <w:r>
        <w:rPr>
          <w:rFonts w:ascii="Times New Roman" w:hAnsi="Times New Roman" w:cs="Times New Roman"/>
          <w:rFonts w:ascii="Times New Roman" w:hAnsi="Times New Roman"/>
          <w:b/>
          <w:i w:val="0"/>
          <w:sz w:val="22"/>
          <w:u w:val="none"/>
        </w:rPr>
        <w:t>Désignation : Appartement T3</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troisième étage</w:t>
      </w:r>
    </w:p>
    <w:p>
      <w:pPr>
        <w:spacing w:after="0" w:before="0"/>
        <w:ind w:firstLine="709"/>
        <w:jc w:val="both"/>
      </w:pPr>
      <w:r>
        <w:rPr>
          <w:rFonts w:ascii="Times New Roman" w:hAnsi="Times New Roman" w:cs="Times New Roman"/>
          <w:rFonts w:ascii="Times New Roman" w:hAnsi="Times New Roman"/>
          <w:b/>
          <w:i w:val="0"/>
          <w:sz w:val="22"/>
          <w:u w:val="none"/>
        </w:rPr>
        <w:t>Surface privative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68.5</w:t>
      </w:r>
      <w:r>
        <w:rPr>
          <w:rFonts w:ascii="Times New Roman" w:hAnsi="Times New Roman" w:cs="Times New Roman"/>
          <w:rFonts w:ascii="Times New Roman" w:hAnsi="Times New Roman"/>
          <w:b w:val="0"/>
          <w:i w:val="0"/>
          <w:sz w:val="22"/>
          <w:u w:val="none"/>
        </w:rPr>
        <w:t xml:space="preserve"> m² (loi Carrez)</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29</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3</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48</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parking</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Droit de préemption urbain</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périmètre soumis au droit de préemption urbain.</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shd w:val="clear" w:color="auto" w:fill="D9D9D9"/>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L'installation intérieure d'électricité comporte une ou des anomalies</w:t>
      </w: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rPr>
        <w:t>Monsieur Jean 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36</w:t>
      </w:r>
      <w:r>
        <w:rPr>
          <w:rFonts w:ascii="Times New Roman" w:hAnsi="Times New Roman" w:cs="Times New Roman"/>
          <w:rFonts w:ascii="Times New Roman" w:hAnsi="Times New Roman"/>
          <w:b w:val="0"/>
          <w:i w:val="0"/>
          <w:sz w:val="22"/>
          <w:u w:val="none"/>
        </w:rPr>
        <w:t xml:space="preserve"> EUR</w:t>
      </w:r>
    </w:p>
    <w:p>
      <w:pPr>
        <w:pStyle w:val="Heading4"/>
      </w:pPr>
      <w:r>
        <w:rPr>
          <w:rFonts w:ascii="Times New Roman" w:hAnsi="Times New Roman" w:cs="Times New Roman"/>
          <w:rFonts w:ascii="Times New Roman" w:hAnsi="Times New Roman"/>
          <w:b/>
          <w:i w:val="0"/>
          <w:sz w:val="22"/>
          <w:u w:val="none"/>
        </w:rPr>
        <w:t>Madame Sophie BERNARD</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36</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36</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0.02</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244 964</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144.1</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Prêt n° 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shd w:val="clear" w:color="auto" w:fill="D9D9D9"/>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shd w:val="clear" w:color="auto" w:fill="D9D9D9"/>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shd w:val="clear" w:color="auto" w:fill="D9D9D9"/>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shd w:val="clear" w:color="auto" w:fill="D9D9D9"/>
        </w:rPr>
        <w:t>220 564</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shd w:val="clear" w:color="auto" w:fill="D9D9D9"/>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shd w:val="clear" w:color="auto" w:fill="D9D9D9"/>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shd w:val="clear" w:color="auto" w:fill="D9D9D9"/>
        </w:rPr>
        <w:t>3.09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1 056,29</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shd w:val="clear" w:color="auto" w:fill="D9D9D9"/>
        </w:rPr>
        <w:t>286 733,20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shd w:val="clear" w:color="auto" w:fill="D9D9D9"/>
        </w:rPr>
        <w:t>1er rang</w:t>
      </w:r>
    </w:p>
    <w:p>
      <w:pPr>
        <w:pStyle w:val="Heading4"/>
      </w:pPr>
      <w:r>
        <w:rPr>
          <w:rFonts w:ascii="Times New Roman" w:hAnsi="Times New Roman" w:cs="Times New Roman"/>
          <w:rFonts w:ascii="Times New Roman" w:hAnsi="Times New Roman"/>
          <w:b/>
          <w:i w:val="0"/>
          <w:sz w:val="22"/>
          <w:u w:val="none"/>
        </w:rPr>
        <w:t>Prêt n° 2</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shd w:val="clear" w:color="auto" w:fill="D9D9D9"/>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shd w:val="clear" w:color="auto" w:fill="D9D9D9"/>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shd w:val="clear" w:color="auto" w:fill="D9D9D9"/>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shd w:val="clear" w:color="auto" w:fill="D9D9D9"/>
        </w:rPr>
        <w:t>24 400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shd w:val="clear" w:color="auto" w:fill="D9D9D9"/>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shd w:val="clear" w:color="auto" w:fill="D9D9D9"/>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shd w:val="clear" w:color="auto" w:fill="D9D9D9"/>
        </w:rPr>
        <w:t>1.99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103,30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shd w:val="clear" w:color="auto" w:fill="D9D9D9"/>
        </w:rPr>
        <w:t>31 720,00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shd w:val="clear" w:color="auto" w:fill="D9D9D9"/>
        </w:rPr>
        <w:t>1er rang</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shd w:val="clear" w:color="auto" w:fill="D9D9D9"/>
        </w:rPr>
        <w:t>{'superficie_m2': 67.76, 'lot_concerne': 'quatorze (14)', 'date_mesurage': '2025-02-12', 'diagnostiqueur': 'ACHIN DIAG EXPERT'}</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shd w:val="clear" w:color="auto" w:fill="D9D9D9"/>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264 Rue Garibaldi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