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val="0"/>
          <w:i w:val="0"/>
          <w:sz w:val="22"/>
          <w:u w:val="none"/>
        </w:rPr>
        <w:t>100546101</w:t>
      </w:r>
    </w:p>
    <w:p>
      <w:pPr>
        <w:spacing w:after="0" w:before="0"/>
        <w:ind w:firstLine="709"/>
        <w:jc w:val="both"/>
      </w:pPr>
      <w:r>
        <w:rPr>
          <w:rFonts w:ascii="Times New Roman" w:hAnsi="Times New Roman" w:cs="Times New Roman"/>
          <w:rFonts w:ascii="Times New Roman" w:hAnsi="Times New Roman"/>
          <w:b w:val="0"/>
          <w:i w:val="0"/>
          <w:sz w:val="22"/>
          <w:u w:val="none"/>
        </w:rPr>
        <w:t>CDI/ALG/</w:t>
      </w:r>
    </w:p>
    <w:p>
      <w:pPr>
        <w:spacing w:after="0" w:before="0"/>
        <w:ind w:firstLine="709"/>
        <w:jc w:val="both"/>
      </w:pPr>
      <w:r>
        <w:rPr>
          <w:rFonts w:ascii="Times New Roman" w:hAnsi="Times New Roman" w:cs="Times New Roman"/>
          <w:rFonts w:ascii="Times New Roman" w:hAnsi="Times New Roman"/>
          <w:b/>
          <w:i w:val="0"/>
          <w:sz w:val="22"/>
          <w:u w:val="none"/>
        </w:rPr>
        <w:t>Le 26 janvier 2026</w:t>
      </w:r>
    </w:p>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Monsieur MARTIN et Monsieur MARTIN</w:t>
      </w:r>
    </w:p>
    <w:p>
      <w:pPr>
        <w:spacing w:after="0" w:before="0"/>
        <w:ind w:firstLine="709"/>
        <w:jc w:val="both"/>
      </w:pPr>
      <w:r>
        <w:rPr>
          <w:rFonts w:ascii="Times New Roman" w:hAnsi="Times New Roman" w:cs="Times New Roman"/>
          <w:rFonts w:ascii="Times New Roman" w:hAnsi="Times New Roman"/>
          <w:b/>
          <w:i w:val="0"/>
          <w:sz w:val="22"/>
          <w:u w:val="none"/>
        </w:rPr>
        <w:t>Au profit de Madame DUPONT et Madame 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VINGT-SIX,</w:t>
      </w:r>
    </w:p>
    <w:p>
      <w:pPr>
        <w:spacing w:after="0" w:before="0"/>
        <w:ind w:firstLine="709"/>
        <w:jc w:val="both"/>
      </w:pPr>
      <w:r>
        <w:rPr>
          <w:rFonts w:ascii="Times New Roman" w:hAnsi="Times New Roman" w:cs="Times New Roman"/>
          <w:rFonts w:ascii="Times New Roman" w:hAnsi="Times New Roman"/>
          <w:b/>
          <w:i w:val="0"/>
          <w:sz w:val="22"/>
          <w:u w:val="none"/>
        </w:rPr>
        <w:t>Le vingt-six JANVIER</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Jean DUPONT, notaire à LYON,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Monsieur Pierre MARTIN, Professeur,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LYON 6ème le 22 mai 1970.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78Courriel : 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 Philippe André MARTIN, Architecte,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3 novembre 1968.</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32Courriel : philippe.martin@email.fr</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Madame Marie DUPONT, Consultant,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GRENOBLE le 18 mars 1985.</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DUPONT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11 22 33 44Courriel : 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 Laura Marie PETIT, Avocate,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25 juillet 1987.</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PETIT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55 66 77 88Courriel : laura.petit@email.fr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DUPONT et Madame PETIT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DUPONT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PETIT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   .</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millièmes (44 /1000 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VINGT-NEUF (29). Etant ici précisé que la cave numérotée « 9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la cave utilisée est le numéro « 10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QUARANTE-HUIT (48) ; Etant ici précisé que l'emplacement de stationnement numéroté « 8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l'emplacement de stationnement utilisé est le numéro « 9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par le cabinet ,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chaudière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14, 29</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5</w:t>
      </w:r>
      <w:r>
        <w:rPr>
          <w:rFonts w:ascii="Times New Roman" w:hAnsi="Times New Roman" w:cs="Times New Roman"/>
          <w:rFonts w:ascii="Times New Roman" w:hAnsi="Times New Roman"/>
          <w:b w:val="0"/>
          <w:i w:val="0"/>
          <w:sz w:val="22"/>
          <w:u w:val="none"/>
        </w:rPr>
        <w:t xml:space="preserve"> le 22 juin 2021, volume 2021P, numéro 4488.</w:t>
      </w:r>
    </w:p>
    <w:p>
      <w:pPr>
        <w:pStyle w:val="Heading2"/>
      </w:pPr>
      <w:r>
        <w:rPr>
          <w:rFonts w:ascii="Times New Roman" w:hAnsi="Times New Roman" w:cs="Times New Roman"/>
          <w:rFonts w:ascii="Times New Roman" w:hAnsi="Times New Roman"/>
          <w:b/>
          <w:i w:val="0"/>
          <w:sz w:val="22"/>
          <w:u w:val="none"/>
        </w:rPr>
        <w:t>Concernant le lot numéro 48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1</w:t>
      </w:r>
      <w:r>
        <w:rPr>
          <w:rFonts w:ascii="Times New Roman" w:hAnsi="Times New Roman" w:cs="Times New Roman"/>
          <w:rFonts w:ascii="Times New Roman" w:hAnsi="Times New Roman"/>
          <w:b w:val="0"/>
          <w:i w:val="0"/>
          <w:sz w:val="22"/>
          <w:u w:val="none"/>
        </w:rPr>
        <w:t xml:space="preserve"> le 18 août 2025, volume 2025P, numéro 20788.</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 avec la participation de Maître Jean DUPONT, notaire à LYON.</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266 en date du 23 mai 2025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négociation</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néant (inclus)</w:t>
            </w: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249 797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45 000 EUR</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3 avril 2025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pStyle w:val="Heading4"/>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avril 2025. 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pStyle w:val="Heading4"/>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Il résulte d'un certificat délivré par l'autorité compétente le 3 avril 2025, annexé, que l'immeuble 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11 juin 2021 de AB Carrelage - 22 rue clos Suiphon - 69003 LYON.-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26 août 2021 de CUISINELLA CRAPONNE - 15 Avenue Edouard Millaud - 69290 CRAPONNE.-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19 juillet 2024 de K PAR K - chemin de la mouche - 69230 SAINT GENIS LAVAL.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21 juillet 2021 de ADI BRUNO ELEC - 36 rue Louise Michel - 69200 VENISSIEUX.</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ARLIANE LYON NORD - 203 montée de Choulans - 69005 LYON le 29 mars 2015,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diagnostic technique a été établi par AC ENVIRONNEMENT - 64 rue Clément Ader - 42153 RIORGES le 15 mars 2016.</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ACHIN DIAG EXPERT - 147 Chemin de la crouze-Le Haut Marjon - 69510 Soucieu en Jarrest le 22 mai 2025,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"L'installation intérieure d'électricité comporte une ou des anomalies"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ACHIN DIAG EXPERT - 147 chemin de la Crouze- le haut Marjon - 69510 Soucieu en Jarrest le 23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2569E1706974R</w:t>
      </w:r>
    </w:p>
    <w:p>
      <w:pPr>
        <w:pStyle w:val="Heading3"/>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des articles L 126-35-2 à L 126-35-11 et R 126-32 à R 126-34 du Code de la construction et de l'habitation, le carnet d'information du logement a été établi et est communiqué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transmettre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une copie de ce carnet d'information au plus tard à la date de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de travaux d'amélioration ou de modification affectant les parties communes ou privatives.</w:t>
      </w:r>
    </w:p>
    <w:p>
      <w:pPr>
        <w:spacing w:after="0" w:before="0"/>
        <w:ind w:firstLine="709"/>
        <w:jc w:val="both"/>
      </w:pPr>
      <w:r>
        <w:rPr>
          <w:rFonts w:ascii="Times New Roman" w:hAnsi="Times New Roman" w:cs="Times New Roman"/>
          <w:rFonts w:ascii="Times New Roman" w:hAnsi="Times New Roman"/>
          <w:b/>
          <w:i w:val="0"/>
          <w:sz w:val="22"/>
          <w:u w:val="none"/>
        </w:rPr>
        <w:t>Annexe n°13 : 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des obligations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immeubles non raccordés au réseau public de collecte doivent être dotés d'une installation d'assainissement non collectif dont le propriétaire assure l'entretien régulier et qu'il fait périodiquement contrôler par un service public d'assainissement non collectif.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vente d'un immeuble non raccordé, le propriétaire doit fournir l'attestation de contrôle de l'installation d'assainissement non collectif.</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22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2 (faible)</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Catégorie 1 (faible)</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spacing w:after="0" w:before="0"/>
        <w:ind w:firstLine="709"/>
        <w:jc w:val="both"/>
      </w:pPr>
      <w:r>
        <w:rPr>
          <w:rFonts w:ascii="Times New Roman" w:hAnsi="Times New Roman" w:cs="Times New Roman"/>
          <w:rFonts w:ascii="Times New Roman" w:hAnsi="Times New Roman"/>
          <w:b/>
          <w:i w:val="0"/>
          <w:sz w:val="22"/>
          <w:u w:val="none"/>
        </w:rPr>
        <w:t>Retrait-gonflement des argiles</w:t>
      </w:r>
      <w:r>
        <w:rPr>
          <w:rFonts w:ascii="Times New Roman" w:hAnsi="Times New Roman" w:cs="Times New Roman"/>
          <w:rFonts w:ascii="Times New Roman" w:hAnsi="Times New Roman"/>
          <w:b w:val="0"/>
          <w:i w:val="0"/>
          <w:sz w:val="22"/>
          <w:u w:val="none"/>
        </w:rPr>
        <w:t xml:space="preserve"> : Aléa faible</w:t>
      </w:r>
    </w:p>
    <w:p>
      <w:pPr>
        <w:spacing w:after="0" w:before="0"/>
        <w:ind w:firstLine="709"/>
        <w:jc w:val="both"/>
      </w:pPr>
      <w:r>
        <w:rPr>
          <w:rFonts w:ascii="Times New Roman" w:hAnsi="Times New Roman" w:cs="Times New Roman"/>
          <w:rFonts w:ascii="Times New Roman" w:hAnsi="Times New Roman"/>
          <w:b w:val="0"/>
          <w:i w:val="0"/>
          <w:sz w:val="22"/>
          <w:u w:val="none"/>
        </w:rPr>
        <w:t>Cet état est valable six mois à compter de sa date d'établissement.</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10 juin 2022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 – 264 Rue Garibaldi – 69003 LYON 3ÈME ARRONDISSEMENT</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14,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tblGrid>
      <w:tr>
        <w:tc>
          <w:tcPr>
            <w:tcW w:type="dxa" w:w="54"/>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84"/>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98"/>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94"/>
          </w:tcPr>
          <w:p>
            <w:pPr>
              <w:spacing w:after="0" w:before="0"/>
              <w:ind w:firstLine="0"/>
              <w:jc w:val="left"/>
            </w:pPr>
            <w:r>
              <w:rPr>
                <w:rFonts w:ascii="Times New Roman" w:hAnsi="Times New Roman" w:cs="Times New Roman"/>
                <w:rFonts w:ascii="Times New Roman" w:hAnsi="Times New Roman"/>
                <w:b/>
                <w:i w:val="0"/>
                <w:sz w:val="22"/>
                <w:u w:val="none"/>
              </w:rPr>
              <w:t>Observations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Classe D</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5</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État des risques et pollutions (ERP)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125-5 Code environnement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6</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Constat de risque d'exposition au plomb (CREP)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Immeuble construit avant 1949</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7</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Diagnostic amiante parties privatives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Permis de construire avant 01/07/1997</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8</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Diagnostic amiante parties communes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34"/>
          </w:tcPr>
          <w:p>
            <w:pPr>
              <w:spacing w:after="0" w:before="0"/>
              <w:ind w:firstLine="0"/>
            </w:pPr>
            <w:r>
              <w:rPr>
                <w:rFonts w:ascii="Times New Roman" w:hAnsi="Times New Roman" w:cs="Times New Roman"/>
                <w:rFonts w:ascii="Times New Roman" w:hAnsi="Times New Roman"/>
                <w:b w:val="0"/>
                <w:i w:val="0"/>
                <w:sz w:val="22"/>
                <w:u w:val="none"/>
              </w:rPr>
              <w:t>DTA copropriété</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9</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État relatif aux termites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61"/>
          </w:tcPr>
          <w:p>
            <w:pPr>
              <w:spacing w:after="0" w:before="0"/>
              <w:ind w:firstLine="0"/>
            </w:pPr>
            <w:r>
              <w:rPr>
                <w:rFonts w:ascii="Times New Roman" w:hAnsi="Times New Roman" w:cs="Times New Roman"/>
                <w:rFonts w:ascii="Times New Roman" w:hAnsi="Times New Roman"/>
                <w:b w:val="0"/>
                <w:i w:val="0"/>
                <w:sz w:val="22"/>
                <w:u w:val="none"/>
              </w:rPr>
              <w:t>Zone de protection</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10</w:t>
            </w:r>
          </w:p>
        </w:tc>
        <w:tc>
          <w:tcPr>
            <w:tcW w:type="dxa" w:w="357"/>
          </w:tcPr>
          <w:p>
            <w:pPr>
              <w:spacing w:after="0" w:before="0"/>
              <w:ind w:firstLine="0"/>
            </w:pPr>
            <w:r>
              <w:rPr>
                <w:rFonts w:ascii="Times New Roman" w:hAnsi="Times New Roman" w:cs="Times New Roman"/>
                <w:rFonts w:ascii="Times New Roman" w:hAnsi="Times New Roman"/>
                <w:b w:val="0"/>
                <w:i w:val="0"/>
                <w:sz w:val="22"/>
                <w:u w:val="none"/>
              </w:rPr>
              <w:t>État de l'installation intérieure de gaz</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11</w:t>
            </w:r>
          </w:p>
        </w:tc>
        <w:tc>
          <w:tcPr>
            <w:tcW w:type="dxa" w:w="419"/>
          </w:tcPr>
          <w:p>
            <w:pPr>
              <w:spacing w:after="0" w:before="0"/>
              <w:ind w:firstLine="0"/>
            </w:pPr>
            <w:r>
              <w:rPr>
                <w:rFonts w:ascii="Times New Roman" w:hAnsi="Times New Roman" w:cs="Times New Roman"/>
                <w:rFonts w:ascii="Times New Roman" w:hAnsi="Times New Roman"/>
                <w:b w:val="0"/>
                <w:i w:val="0"/>
                <w:sz w:val="22"/>
                <w:u w:val="none"/>
              </w:rPr>
              <w:t>État de l'installation intérieure d'électricité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12</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Diagnostic assainissement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0"/>
          </w:tcPr>
          <w:p>
            <w:pPr>
              <w:spacing w:after="0" w:before="0"/>
              <w:ind w:firstLine="0"/>
            </w:pPr>
            <w:r>
              <w:rPr>
                <w:rFonts w:ascii="Times New Roman" w:hAnsi="Times New Roman" w:cs="Times New Roman"/>
                <w:rFonts w:ascii="Times New Roman" w:hAnsi="Times New Roman"/>
                <w:b w:val="0"/>
                <w:i w:val="0"/>
                <w:sz w:val="22"/>
                <w:u w:val="none"/>
              </w:rPr>
              <w:t>Assainissement non collectif</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15</w:t>
            </w:r>
          </w:p>
        </w:tc>
        <w:tc>
          <w:tcPr>
            <w:tcW w:type="dxa" w:w="285"/>
          </w:tcPr>
          <w:p>
            <w:pPr>
              <w:spacing w:after="0" w:before="0"/>
              <w:ind w:firstLine="0"/>
            </w:pPr>
            <w:r>
              <w:rPr>
                <w:rFonts w:ascii="Times New Roman" w:hAnsi="Times New Roman" w:cs="Times New Roman"/>
                <w:rFonts w:ascii="Times New Roman" w:hAnsi="Times New Roman"/>
                <w:b w:val="0"/>
                <w:i w:val="0"/>
                <w:sz w:val="22"/>
                <w:u w:val="none"/>
              </w:rPr>
              <w:t>Carnet d'information du logement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Remis si existant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16</w:t>
            </w:r>
          </w:p>
        </w:tc>
        <w:tc>
          <w:tcPr>
            <w:tcW w:type="dxa" w:w="143"/>
          </w:tcPr>
          <w:p>
            <w:pPr>
              <w:spacing w:after="0" w:before="0"/>
              <w:ind w:firstLine="0"/>
            </w:pPr>
            <w:r>
              <w:rPr>
                <w:rFonts w:ascii="Times New Roman" w:hAnsi="Times New Roman" w:cs="Times New Roman"/>
                <w:rFonts w:ascii="Times New Roman" w:hAnsi="Times New Roman"/>
                <w:b w:val="0"/>
                <w:i w:val="0"/>
                <w:sz w:val="22"/>
                <w:u w:val="none"/>
              </w:rPr>
              <w:t>Note d'urbanisme</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Situation du bien</w:t>
            </w: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18</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Certificat de non-péril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État de l'immeuble</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19</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Règlement de copropriété et ses modificatifs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Applicable au bien</w:t>
            </w: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N° AD9-775-875</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23</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Fiche synthétique de la copropriété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711-2 CCH</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24</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Procès-verbaux des AG (3 dernières années)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Information acquéreur</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25</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Pré état-daté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Article 10-1 loi du 10 juillet 1965</w:t>
            </w: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