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val="0"/>
          <w:i w:val="0"/>
          <w:sz w:val="22"/>
          <w:u w:val="none"/>
        </w:rPr>
        <w:t>100546101</w:t>
      </w:r>
    </w:p>
    <w:p>
      <w:pPr>
        <w:spacing w:after="0" w:before="0"/>
        <w:ind w:firstLine="709"/>
        <w:jc w:val="both"/>
      </w:pPr>
      <w:r>
        <w:rPr>
          <w:rFonts w:ascii="Times New Roman" w:hAnsi="Times New Roman" w:cs="Times New Roman"/>
          <w:rFonts w:ascii="Times New Roman" w:hAnsi="Times New Roman"/>
          <w:b w:val="0"/>
          <w:i w:val="0"/>
          <w:sz w:val="22"/>
          <w:u w:val="none"/>
        </w:rPr>
        <w:t>CDI/ALG/</w:t>
      </w:r>
    </w:p>
    <w:p>
      <w:pPr>
        <w:spacing w:after="0" w:before="0"/>
        <w:ind w:firstLine="709"/>
        <w:jc w:val="both"/>
      </w:pPr>
      <w:r>
        <w:rPr>
          <w:rFonts w:ascii="Times New Roman" w:hAnsi="Times New Roman" w:cs="Times New Roman"/>
          <w:rFonts w:ascii="Times New Roman" w:hAnsi="Times New Roman"/>
          <w:b/>
          <w:i w:val="0"/>
          <w:sz w:val="22"/>
          <w:u w:val="none"/>
        </w:rPr>
        <w:t>Le 4 août 2025</w:t>
      </w:r>
    </w:p>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Par Madame MARTIN et Monsieur MARTIN</w:t>
      </w:r>
    </w:p>
    <w:p>
      <w:pPr>
        <w:spacing w:after="0" w:before="0"/>
        <w:ind w:firstLine="709"/>
        <w:jc w:val="both"/>
      </w:pPr>
      <w:r>
        <w:rPr>
          <w:rFonts w:ascii="Times New Roman" w:hAnsi="Times New Roman" w:cs="Times New Roman"/>
          <w:rFonts w:ascii="Times New Roman" w:hAnsi="Times New Roman"/>
          <w:b/>
          <w:i w:val="0"/>
          <w:sz w:val="22"/>
          <w:u w:val="none"/>
        </w:rPr>
        <w:t>Au profit de Monsieur DUBOIS et Madame PETIT</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VINGT-CINQ,</w:t>
      </w:r>
    </w:p>
    <w:p>
      <w:pPr>
        <w:spacing w:after="0" w:before="0"/>
        <w:ind w:firstLine="709"/>
        <w:jc w:val="both"/>
      </w:pPr>
      <w:r>
        <w:rPr>
          <w:rFonts w:ascii="Times New Roman" w:hAnsi="Times New Roman" w:cs="Times New Roman"/>
          <w:rFonts w:ascii="Times New Roman" w:hAnsi="Times New Roman"/>
          <w:b/>
          <w:i w:val="0"/>
          <w:sz w:val="22"/>
          <w:u w:val="none"/>
        </w:rPr>
        <w:t>Le quatre AOÛT</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SAS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Avec la participation de Maître Jean DUPONT, notaire à LYON, assistant le BENEFICIAIRE.</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rPr>
        <w:t>Madame Claire Emilie MARTIN, Professeur,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Née à LYON 6ème le 22 mai 1970.</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12 34 56 78Courriel : claire.martin@email.fr</w:t>
      </w:r>
    </w:p>
    <w:p>
      <w:pPr>
        <w:spacing w:after="0" w:before="0"/>
        <w:ind w:firstLine="709"/>
        <w:jc w:val="both"/>
      </w:pPr>
      <w:r>
        <w:rPr>
          <w:rFonts w:ascii="Times New Roman" w:hAnsi="Times New Roman" w:cs="Times New Roman"/>
          <w:rFonts w:ascii="Times New Roman" w:hAnsi="Times New Roman"/>
          <w:b w:val="0"/>
          <w:i w:val="0"/>
          <w:sz w:val="22"/>
          <w:u w:val="none"/>
        </w:rPr>
        <w:t>Monsieur Philippe André MARTIN, Architecte,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VILLEURBANNE le 3 novembre 1968.</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98 76 54 32Courriel : philippe.martin@email.fr</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Monsieur Antoine Marc DUBOIS, Consultant,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 à GRENOBLE le 18 mars 1985.</w:t>
      </w:r>
    </w:p>
    <w:p>
      <w:pPr>
        <w:spacing w:after="0" w:before="0"/>
        <w:ind w:firstLine="709"/>
        <w:jc w:val="both"/>
      </w:pPr>
      <w:r>
        <w:rPr>
          <w:rFonts w:ascii="Times New Roman" w:hAnsi="Times New Roman" w:cs="Times New Roman"/>
          <w:rFonts w:ascii="Times New Roman" w:hAnsi="Times New Roman"/>
          <w:b w:val="0"/>
          <w:i w:val="0"/>
          <w:sz w:val="22"/>
          <w:u w:val="none"/>
        </w:rPr>
        <w:t>Soumis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DUBOIS</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11 22 33 44Courriel : antoine.dubois@email.fr</w:t>
      </w:r>
    </w:p>
    <w:p>
      <w:pPr>
        <w:spacing w:after="0" w:before="0"/>
        <w:ind w:firstLine="709"/>
        <w:jc w:val="both"/>
      </w:pPr>
      <w:r>
        <w:rPr>
          <w:rFonts w:ascii="Times New Roman" w:hAnsi="Times New Roman" w:cs="Times New Roman"/>
          <w:rFonts w:ascii="Times New Roman" w:hAnsi="Times New Roman"/>
          <w:b w:val="0"/>
          <w:i w:val="0"/>
          <w:sz w:val="22"/>
          <w:u w:val="none"/>
        </w:rPr>
        <w:t>Madame Laura Marie PETIT, Avocate,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Née à LYON 3ème le 25 juillet 1987.</w:t>
      </w:r>
    </w:p>
    <w:p>
      <w:pPr>
        <w:spacing w:after="0" w:before="0"/>
        <w:ind w:firstLine="709"/>
        <w:jc w:val="both"/>
      </w:pPr>
      <w:r>
        <w:rPr>
          <w:rFonts w:ascii="Times New Roman" w:hAnsi="Times New Roman" w:cs="Times New Roman"/>
          <w:rFonts w:ascii="Times New Roman" w:hAnsi="Times New Roman"/>
          <w:b w:val="0"/>
          <w:i w:val="0"/>
          <w:sz w:val="22"/>
          <w:u w:val="none"/>
        </w:rPr>
        <w:t>Soumise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PETIT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55 66 77 88Courriel : laura.petit@email.fr</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DUBOIS et Madame PETIT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Concernant Madame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DUBOIS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PETIT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MARTIN est présente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DUBOIS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PETIT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soumis au régime de la copropriété situé à TASSIN-LA-DEMI-LUNE (RHÔNE) 69160 170 Rue Joliot Curie.</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millièmes (44 /1000 millièmes)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VINGT-NEUF (29). Etant ici précisé que la cave numérotée « 9 » n'est pas celle utilisée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la cave utilisée est le numéro « 10 » au plan demeuré annexé.</w:t>
      </w:r>
      <w:r>
        <w:rPr>
          <w:rFonts w:ascii="Times New Roman" w:hAnsi="Times New Roman" w:cs="Times New Roman"/>
          <w:rFonts w:ascii="Times New Roman" w:hAnsi="Times New Roman"/>
          <w:b w:val="0"/>
          <w:i w:val="0"/>
          <w:sz w:val="22"/>
          <w:u w:val="none"/>
        </w:rPr>
        <w:t xml:space="preserve">- Une copie du plan de masse faisant apparaître le lot de stationnement, numéro QUARANTE-HUIT (48) ; Etant ici précisé que l'emplacement de stationnement numéroté « 8 » n'est pas celui utilisé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l'emplacement de stationnement utilisé est le numéro « 9 » au plan de masse.</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67.76 m².</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établie le 12 février 2025 par le cabinet ACHIN DIAG EXPERT - 147 Chemin de la crouze-Le Haut Marjon - 69510 Soucieu en Jarrest,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la promesse comprendra le mobilier suivant non valorisé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chaudière collective au gaz dont l'entretien est assuré par le syndic.</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Concernant les lots numéros 14, 29</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5</w:t>
      </w:r>
      <w:r>
        <w:rPr>
          <w:rFonts w:ascii="Times New Roman" w:hAnsi="Times New Roman" w:cs="Times New Roman"/>
          <w:rFonts w:ascii="Times New Roman" w:hAnsi="Times New Roman"/>
          <w:b w:val="0"/>
          <w:i w:val="0"/>
          <w:sz w:val="22"/>
          <w:u w:val="none"/>
        </w:rPr>
        <w:t xml:space="preserve"> le 22 juin 2021, volume 2021P, numéro 4488.</w:t>
      </w:r>
    </w:p>
    <w:p>
      <w:pPr>
        <w:pStyle w:val="Heading2"/>
      </w:pPr>
      <w:r>
        <w:rPr>
          <w:rFonts w:ascii="Times New Roman" w:hAnsi="Times New Roman" w:cs="Times New Roman"/>
          <w:rFonts w:ascii="Times New Roman" w:hAnsi="Times New Roman"/>
          <w:b/>
          <w:i w:val="0"/>
          <w:sz w:val="22"/>
          <w:u w:val="none"/>
        </w:rPr>
        <w:t>Concernant le lot numéro 48</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1</w:t>
      </w:r>
      <w:r>
        <w:rPr>
          <w:rFonts w:ascii="Times New Roman" w:hAnsi="Times New Roman" w:cs="Times New Roman"/>
          <w:rFonts w:ascii="Times New Roman" w:hAnsi="Times New Roman"/>
          <w:b w:val="0"/>
          <w:i w:val="0"/>
          <w:sz w:val="22"/>
          <w:u w:val="none"/>
        </w:rPr>
        <w:t xml:space="preserve"> le 18 août 2025, volume 2025P, numéro 20788.</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4 novembre 2025</w:t>
      </w:r>
      <w:r>
        <w:rPr>
          <w:rFonts w:ascii="Times New Roman" w:hAnsi="Times New Roman" w:cs="Times New Roman"/>
          <w:rFonts w:ascii="Times New Roman" w:hAnsi="Times New Roman"/>
          <w:b w:val="0"/>
          <w:i w:val="0"/>
          <w:sz w:val="22"/>
          <w:u w:val="none"/>
        </w:rPr>
        <w:t>, à seize heures.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L'acte authentique constatant la réalisation de la vente sera reçu par Maître Charlotte DIAZ, notaire soussigné avec la participation de Maître Jean DUPONT, notaire à LYON.</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QUATRE CENT CINQUANTE MILLE EUROS (450 000 EUR)</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reconnaissent que le prix a été négocié par </w:t>
      </w:r>
      <w:r>
        <w:rPr>
          <w:rFonts w:ascii="Times New Roman" w:hAnsi="Times New Roman" w:cs="Times New Roman"/>
          <w:rFonts w:ascii="Times New Roman" w:hAnsi="Times New Roman"/>
          <w:b/>
          <w:i w:val="0"/>
          <w:sz w:val="22"/>
          <w:u w:val="none"/>
        </w:rPr>
        <w:t>AGENCE IMMOBILIERE LYONNAISE</w:t>
      </w:r>
      <w:r>
        <w:rPr>
          <w:rFonts w:ascii="Times New Roman" w:hAnsi="Times New Roman" w:cs="Times New Roman"/>
          <w:rFonts w:ascii="Times New Roman" w:hAnsi="Times New Roman"/>
          <w:b w:val="0"/>
          <w:i w:val="0"/>
          <w:sz w:val="22"/>
          <w:u w:val="none"/>
        </w:rPr>
        <w:t xml:space="preserve"> titulaire d'un mandat donné par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sous le numéro 266 en date du 23 mai 2025 non encore expiré, ainsi déclaré.</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qui en a seul la charge aux termes du mandat, doit à l'agence une rémunération de </w:t>
      </w:r>
      <w:r>
        <w:rPr>
          <w:rFonts w:ascii="Times New Roman" w:hAnsi="Times New Roman" w:cs="Times New Roman"/>
          <w:rFonts w:ascii="Times New Roman" w:hAnsi="Times New Roman"/>
          <w:b/>
          <w:i w:val="0"/>
          <w:sz w:val="22"/>
          <w:u w:val="none"/>
        </w:rPr>
        <w:t>8 000 EUR</w:t>
      </w:r>
      <w:r>
        <w:rPr>
          <w:rFonts w:ascii="Times New Roman" w:hAnsi="Times New Roman" w:cs="Times New Roman"/>
          <w:rFonts w:ascii="Times New Roman" w:hAnsi="Times New Roman"/>
          <w:b w:val="0"/>
          <w:i w:val="0"/>
          <w:sz w:val="22"/>
          <w:u w:val="none"/>
        </w:rPr>
        <w:t>, taxe sur la valeur ajoutée incluse.</w:t>
      </w:r>
    </w:p>
    <w:p>
      <w:pPr>
        <w:spacing w:after="0" w:before="0"/>
        <w:ind w:firstLine="709"/>
        <w:jc w:val="both"/>
      </w:pPr>
      <w:r>
        <w:rPr>
          <w:rFonts w:ascii="Times New Roman" w:hAnsi="Times New Roman" w:cs="Times New Roman"/>
          <w:rFonts w:ascii="Times New Roman" w:hAnsi="Times New Roman"/>
          <w:b w:val="0"/>
          <w:i w:val="0"/>
          <w:sz w:val="22"/>
          <w:u w:val="none"/>
        </w:rPr>
        <w:t>Cette rémunération sera payée le jour de la constatation authentique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le montant de la négociation est compris dans le prix indiqué ci-dessus.</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450 000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négociation</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néant (inclus)</w:t>
            </w: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249 797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45 000 EUR</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vingt-quatre mille cinq cents euros</w:t>
      </w:r>
      <w:r>
        <w:rPr>
          <w:rFonts w:ascii="Times New Roman" w:hAnsi="Times New Roman" w:cs="Times New Roman"/>
          <w:rFonts w:ascii="Times New Roman" w:hAnsi="Times New Roman"/>
          <w:b w:val="0"/>
          <w:i w:val="0"/>
          <w:sz w:val="22"/>
          <w:u w:val="none"/>
        </w:rPr>
        <w:t xml:space="preserve"> (représentant 10%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à titre de dépôt de garantie la somme de vingt-quatre mille cinq cents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SAS DES CEDRES, 93 avenue du 11 Novembre 1918, TASSIN-LA-DEMI-LUNE (69160) susnommée, </w:t>
      </w:r>
      <w:r>
        <w:rPr>
          <w:rFonts w:ascii="Times New Roman" w:hAnsi="Times New Roman" w:cs="Times New Roman"/>
          <w:rFonts w:ascii="Times New Roman" w:hAnsi="Times New Roman"/>
          <w:b/>
          <w:i w:val="0"/>
          <w:sz w:val="22"/>
          <w:u w:val="none"/>
        </w:rPr>
        <w:t>au plus tard dans les QUINZE (15)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À cet effet, avec l'accord des parties, elle sera versée en la comptabilité du notaire rédacteur des présentes au sein de la SAS DES CEDRES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 POUR CENT (10 %)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4"/>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l'intention de recourir pour le paiement du prix de cette acquisition, à un ou plusieurs prêts rentrant dans le champ d'application de l'article L 313-40 du Code de la consommation, et répondant aux caractéristiques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Montant maximal de la somme empruntée : </w:t>
      </w:r>
      <w:r>
        <w:rPr>
          <w:rFonts w:ascii="Times New Roman" w:hAnsi="Times New Roman" w:cs="Times New Roman"/>
          <w:rFonts w:ascii="Times New Roman" w:hAnsi="Times New Roman"/>
          <w:b/>
          <w:i w:val="0"/>
          <w:sz w:val="22"/>
          <w:u w:val="none"/>
        </w:rPr>
        <w:t>249 797 euros</w:t>
      </w:r>
    </w:p>
    <w:p>
      <w:pPr>
        <w:spacing w:after="0" w:before="0"/>
        <w:ind w:firstLine="709"/>
        <w:jc w:val="both"/>
      </w:pPr>
      <w:r>
        <w:rPr>
          <w:rFonts w:ascii="Times New Roman" w:hAnsi="Times New Roman" w:cs="Times New Roman"/>
          <w:rFonts w:ascii="Times New Roman" w:hAnsi="Times New Roman"/>
          <w:b w:val="0"/>
          <w:i w:val="0"/>
          <w:sz w:val="22"/>
          <w:u w:val="none"/>
        </w:rPr>
        <w:t xml:space="preserve">Durée maximale de remboursement : </w:t>
      </w:r>
      <w:r>
        <w:rPr>
          <w:rFonts w:ascii="Times New Roman" w:hAnsi="Times New Roman" w:cs="Times New Roman"/>
          <w:rFonts w:ascii="Times New Roman" w:hAnsi="Times New Roman"/>
          <w:b/>
          <w:i w:val="0"/>
          <w:sz w:val="22"/>
          <w:u w:val="none"/>
        </w:rPr>
        <w:t>25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Taux nominal d'intérêt maximal : </w:t>
      </w:r>
      <w:r>
        <w:rPr>
          <w:rFonts w:ascii="Times New Roman" w:hAnsi="Times New Roman" w:cs="Times New Roman"/>
          <w:rFonts w:ascii="Times New Roman" w:hAnsi="Times New Roman"/>
          <w:b/>
          <w:i w:val="0"/>
          <w:sz w:val="22"/>
          <w:u w:val="none"/>
        </w:rPr>
        <w:t>3.4 % l'an (hors assurances)</w:t>
      </w:r>
    </w:p>
    <w:p>
      <w:pPr>
        <w:spacing w:after="0" w:before="0"/>
        <w:ind w:firstLine="709"/>
        <w:jc w:val="both"/>
      </w:pPr>
      <w:r>
        <w:rPr>
          <w:rFonts w:ascii="Times New Roman" w:hAnsi="Times New Roman" w:cs="Times New Roman"/>
          <w:rFonts w:ascii="Times New Roman" w:hAnsi="Times New Roman"/>
          <w:b w:val="0"/>
          <w:i w:val="0"/>
          <w:sz w:val="22"/>
          <w:u w:val="none"/>
        </w:rPr>
        <w:t>Toute demande non conforme aux stipulations contractuelles, notamment quant au montant emprunté, au taux et à la durée de l'emprunt, entraînera la réalisation fictive de la condition au sens du premier alinéa de l'article 1304-3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l'indication d'un montant maximal de prêt ne peut contraindre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accepter toute offre d'un montant inférieur.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condition suspensive sera réalisée en cas d'obtention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d'une ou plusieurs offres écrites de prêt aux conditions sus-indiquées </w:t>
      </w:r>
      <w:r>
        <w:rPr>
          <w:rFonts w:ascii="Times New Roman" w:hAnsi="Times New Roman" w:cs="Times New Roman"/>
          <w:rFonts w:ascii="Times New Roman" w:hAnsi="Times New Roman"/>
          <w:b/>
          <w:i w:val="0"/>
          <w:sz w:val="22"/>
          <w:u w:val="none"/>
        </w:rPr>
        <w:t>au plus tard le 6 octobre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durée de validité de cette condition suspensive ne peut être inférieure à un mois à compter de la date de signature de l'acte (article L 313-41 du Code de la consommation).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d'empêchement à l'octroi de ces prêts qui seront sollicités.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d'obstacle à la mise en place d'une assurance décès-invalidité.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déclare avoir connaissance des dispositions de l'alinéa premier de l'article 1304-3 du Code civil qui dispose que :</w:t>
      </w:r>
    </w:p>
    <w:p>
      <w:pPr>
        <w:spacing w:after="0" w:before="0"/>
        <w:ind w:firstLine="709"/>
        <w:jc w:val="both"/>
      </w:pPr>
      <w:r>
        <w:rPr>
          <w:rFonts w:ascii="Times New Roman" w:hAnsi="Times New Roman" w:cs="Times New Roman"/>
          <w:rFonts w:ascii="Times New Roman" w:hAnsi="Times New Roman"/>
          <w:b w:val="0"/>
          <w:i/>
          <w:sz w:val="22"/>
          <w:u w:val="none"/>
        </w:rPr>
        <w:t>"La condition suspensive est réputée accomplie si celui qui y avait intérêt en a empêché l'accomplissement."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L'obtention ou la non-obtention de l'offre de prêt, demandé aux conditions ci-dessus, devra être notifiée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A défaut de cette notification,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aura, à compter du lendemain de la date indiquée ci-dessus, la faculté de mettre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demeure de lui justifier sous huitaine de la réalisation ou de la défaillance de la condition.</w:t>
      </w:r>
    </w:p>
    <w:p>
      <w:pPr>
        <w:spacing w:after="0" w:before="0"/>
        <w:ind w:firstLine="709"/>
        <w:jc w:val="both"/>
      </w:pPr>
      <w:r>
        <w:rPr>
          <w:rFonts w:ascii="Times New Roman" w:hAnsi="Times New Roman" w:cs="Times New Roman"/>
          <w:rFonts w:ascii="Times New Roman" w:hAnsi="Times New Roman"/>
          <w:b w:val="0"/>
          <w:i w:val="0"/>
          <w:sz w:val="22"/>
          <w:u w:val="none"/>
        </w:rPr>
        <w:t>Cette demande devra être faite par lettre recommandée avec avis de réception à son adresse, avec une copie en lettre simple pour le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Passé ce délai de huit jours décompté du jour de la première présentation, sans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ait apporté la preuve de la remise d'une offre écrite conforme, la condition sera censée défaillie et les présentes seront donc caduques de plein droit. Dans ce cas,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l'expiration du délai de huit jours susvisé,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renoncer au bénéfice de la condition suspensive légale de l'article L 313-41 du Code de la consommation, soit en acceptant des offres de prêt à des conditions moins favorables que celles ci-dessus exprimées, et en notifiant ces offre et acceptation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soit en exprimant une intention contraire à celle ci-dessus exprimée, c'est-à-dire de ne plus faire appel à un emprunt et en doublant cette volonté nouvelle de la mention manuscrite voulue par l'article L 313-42 de ce Code ; cette volonté nouvelle et la mention feraient, dans cette hypothèse, l'objet d'un écrit notifié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Refus de prêt – justification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en cas de non-obtention du financement demandé, à justifier de deux refus de prêt répondant aux caractéristiques ci-dessus. En conséquence,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à déposer deux demandes de prêt.</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La commune a répondu le 3 avril 2025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val="0"/>
          <w:i w:val="0"/>
          <w:sz w:val="22"/>
          <w:u w:val="none"/>
        </w:rPr>
        <w:t>La note d'urbanisme révèle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terrain est situé dans le champ d'application territorial du Droit de préemption urbain simple.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d'étude de la ligne de Tramway Expresse de l'Ouest Lyonnais.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de classement des infrastructures de transports terrestres bruyantes.</w:t>
      </w:r>
    </w:p>
    <w:p>
      <w:pPr>
        <w:pStyle w:val="Heading4"/>
      </w:pPr>
      <w:r>
        <w:rPr>
          <w:rFonts w:ascii="Times New Roman" w:hAnsi="Times New Roman" w:cs="Times New Roman"/>
          <w:rFonts w:ascii="Times New Roman" w:hAnsi="Times New Roman"/>
          <w:b/>
          <w:i w:val="0"/>
          <w:sz w:val="22"/>
          <w:u w:val="non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Une note de renseignements de voirie annexée a été délivrée par l'autorité compétente le 3 avril 2025. Il résulte de cette note que « l'emprise foncière n'est concernée par aucun emplacement réserve de voirie ou emplacement réservé aux cheminements piétons ou cyclistes ».</w:t>
      </w:r>
    </w:p>
    <w:p>
      <w:pPr>
        <w:spacing w:after="0" w:before="0"/>
        <w:ind w:firstLine="709"/>
        <w:jc w:val="both"/>
      </w:pPr>
      <w:r>
        <w:rPr>
          <w:rFonts w:ascii="Times New Roman" w:hAnsi="Times New Roman" w:cs="Times New Roman"/>
          <w:rFonts w:ascii="Times New Roman" w:hAnsi="Times New Roman"/>
          <w:b/>
          <w:i w:val="0"/>
          <w:sz w:val="22"/>
          <w:u w:val="none"/>
        </w:rPr>
        <w:t>Annexe n°5 : Note de voirie</w:t>
      </w:r>
    </w:p>
    <w:p>
      <w:pPr>
        <w:pStyle w:val="Heading4"/>
      </w:pPr>
      <w:r>
        <w:rPr>
          <w:rFonts w:ascii="Times New Roman" w:hAnsi="Times New Roman" w:cs="Times New Roman"/>
          <w:rFonts w:ascii="Times New Roman" w:hAnsi="Times New Roman"/>
          <w:b/>
          <w:i w:val="0"/>
          <w:sz w:val="22"/>
          <w:u w:val="none"/>
        </w:rPr>
        <w:t>Certificat de non-péril</w:t>
      </w:r>
    </w:p>
    <w:p>
      <w:pPr>
        <w:spacing w:after="0" w:before="0"/>
        <w:ind w:firstLine="709"/>
        <w:jc w:val="both"/>
      </w:pPr>
      <w:r>
        <w:rPr>
          <w:rFonts w:ascii="Times New Roman" w:hAnsi="Times New Roman" w:cs="Times New Roman"/>
          <w:rFonts w:ascii="Times New Roman" w:hAnsi="Times New Roman"/>
          <w:b w:val="0"/>
          <w:i w:val="0"/>
          <w:sz w:val="22"/>
          <w:u w:val="none"/>
        </w:rPr>
        <w:t>Il résulte d'un certificat délivré par l'autorité compétente le 3 avril 2025, annexé, que l'immeuble aucune procédure de péril et de sécurité relevant des pouvoirs de police spéciale du Président de la Métropole de Lyon n'a été ouverte depuis le 1er janvier 2015</w:t>
      </w:r>
    </w:p>
    <w:p>
      <w:pPr>
        <w:spacing w:after="0" w:before="0"/>
        <w:ind w:firstLine="709"/>
        <w:jc w:val="both"/>
      </w:pPr>
      <w:r>
        <w:rPr>
          <w:rFonts w:ascii="Times New Roman" w:hAnsi="Times New Roman" w:cs="Times New Roman"/>
          <w:rFonts w:ascii="Times New Roman" w:hAnsi="Times New Roman"/>
          <w:b/>
          <w:i w:val="0"/>
          <w:sz w:val="22"/>
          <w:u w:val="none"/>
        </w:rPr>
        <w:t>Annexe n°6 : Certificat de non-péril</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Depuis son acquisition,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travaux ci-après indiqués ont été effectués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Rénovation de la salle de bains et pose de carrelage dans l'ensemble de l'appartement (sauf la salle de bains et les chambres)</w:t>
      </w:r>
      <w:r>
        <w:rPr>
          <w:rFonts w:ascii="Times New Roman" w:hAnsi="Times New Roman" w:cs="Times New Roman"/>
          <w:rFonts w:ascii="Times New Roman" w:hAnsi="Times New Roman"/>
          <w:b w:val="0"/>
          <w:i w:val="0"/>
          <w:sz w:val="22"/>
          <w:u w:val="none"/>
        </w:rPr>
        <w:t xml:space="preserve"> suivant facture du 11 juin 2021 de AB Carrelage - 22 rue clos Suiphon - 69003 LYON.- </w:t>
      </w:r>
      <w:r>
        <w:rPr>
          <w:rFonts w:ascii="Times New Roman" w:hAnsi="Times New Roman" w:cs="Times New Roman"/>
          <w:rFonts w:ascii="Times New Roman" w:hAnsi="Times New Roman"/>
          <w:b/>
          <w:i w:val="0"/>
          <w:sz w:val="22"/>
          <w:u w:val="none"/>
        </w:rPr>
        <w:t>Pose de la cuisine</w:t>
      </w:r>
      <w:r>
        <w:rPr>
          <w:rFonts w:ascii="Times New Roman" w:hAnsi="Times New Roman" w:cs="Times New Roman"/>
          <w:rFonts w:ascii="Times New Roman" w:hAnsi="Times New Roman"/>
          <w:b w:val="0"/>
          <w:i w:val="0"/>
          <w:sz w:val="22"/>
          <w:u w:val="none"/>
        </w:rPr>
        <w:t xml:space="preserve"> suivant facture du 26 août 2021 de CUISINELLA CRAPONNE - 15 Avenue Edouard Millaud - 69290 CRAPONNE.- </w:t>
      </w:r>
      <w:r>
        <w:rPr>
          <w:rFonts w:ascii="Times New Roman" w:hAnsi="Times New Roman" w:cs="Times New Roman"/>
          <w:rFonts w:ascii="Times New Roman" w:hAnsi="Times New Roman"/>
          <w:b/>
          <w:i w:val="0"/>
          <w:sz w:val="22"/>
          <w:u w:val="none"/>
        </w:rPr>
        <w:t>Pose d'un volet roulant et d'une porte blindée</w:t>
      </w:r>
      <w:r>
        <w:rPr>
          <w:rFonts w:ascii="Times New Roman" w:hAnsi="Times New Roman" w:cs="Times New Roman"/>
          <w:rFonts w:ascii="Times New Roman" w:hAnsi="Times New Roman"/>
          <w:b w:val="0"/>
          <w:i w:val="0"/>
          <w:sz w:val="22"/>
          <w:u w:val="none"/>
        </w:rPr>
        <w:t xml:space="preserve"> suivant facture du 19 juillet 2024 de K PAR K - chemin de la mouche - 69230 SAINT GENIS LAVAL. L'assurance décennale de cette entreprise est fournie.- </w:t>
      </w:r>
      <w:r>
        <w:rPr>
          <w:rFonts w:ascii="Times New Roman" w:hAnsi="Times New Roman" w:cs="Times New Roman"/>
          <w:rFonts w:ascii="Times New Roman" w:hAnsi="Times New Roman"/>
          <w:b/>
          <w:i w:val="0"/>
          <w:sz w:val="22"/>
          <w:u w:val="none"/>
        </w:rPr>
        <w:t>Réfection de l'électricité</w:t>
      </w:r>
      <w:r>
        <w:rPr>
          <w:rFonts w:ascii="Times New Roman" w:hAnsi="Times New Roman" w:cs="Times New Roman"/>
          <w:rFonts w:ascii="Times New Roman" w:hAnsi="Times New Roman"/>
          <w:b w:val="0"/>
          <w:i w:val="0"/>
          <w:sz w:val="22"/>
          <w:u w:val="none"/>
        </w:rPr>
        <w:t xml:space="preserve"> suivant facture du 21 juillet 2021 de ADI BRUNO ELEC - 36 rue Louise Michel - 69200 VENISSIEUX.</w:t>
      </w:r>
    </w:p>
    <w:p>
      <w:pPr>
        <w:spacing w:after="0" w:before="0"/>
        <w:ind w:firstLine="709"/>
        <w:jc w:val="both"/>
      </w:pPr>
      <w:r>
        <w:rPr>
          <w:rFonts w:ascii="Times New Roman" w:hAnsi="Times New Roman" w:cs="Times New Roman"/>
          <w:rFonts w:ascii="Times New Roman" w:hAnsi="Times New Roman"/>
          <w:b/>
          <w:i w:val="0"/>
          <w:sz w:val="22"/>
          <w:u w:val="none"/>
        </w:rPr>
        <w:t>Annexe n°7 : Factures et décennale susvisés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travaux, compte tenu de la description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ne nécessitaient pas de déclaration préalable.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r>
        <w:rPr>
          <w:rFonts w:ascii="Times New Roman" w:hAnsi="Times New Roman" w:cs="Times New Roman"/>
          <w:rFonts w:ascii="Times New Roman" w:hAnsi="Times New Roman"/>
          <w:b/>
          <w:i w:val="0"/>
          <w:sz w:val="22"/>
          <w:u w:val="none"/>
        </w:rPr>
        <w:t>qu'aucune police d'assurance dommages ouvrage</w:t>
      </w:r>
      <w:r>
        <w:rPr>
          <w:rFonts w:ascii="Times New Roman" w:hAnsi="Times New Roman" w:cs="Times New Roman"/>
          <w:rFonts w:ascii="Times New Roman" w:hAnsi="Times New Roman"/>
          <w:b w:val="0"/>
          <w:i w:val="0"/>
          <w:sz w:val="22"/>
          <w:u w:val="none"/>
        </w:rPr>
        <w:t xml:space="preserve"> ni d'assurance de responsabilité décennale "constructeurs non réalisateur" n'a été souscrite pour la réalisation des rénovations.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reçu du notaire soussigné toutes explications utiles concernant les conséquences pouvant résulter des garanties et responsabilité du vendeur attachées à ces constructions, et de l'absence de souscription de telles polices d'assurances.</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ACHIN DIAG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IMMOBILIER</w:t>
      </w:r>
      <w:r>
        <w:rPr>
          <w:rFonts w:ascii="Times New Roman" w:hAnsi="Times New Roman" w:cs="Times New Roman"/>
          <w:rFonts w:ascii="Times New Roman" w:hAnsi="Times New Roman"/>
          <w:b w:val="0"/>
          <w:i w:val="0"/>
          <w:sz w:val="22"/>
          <w:u w:val="none"/>
        </w:rPr>
        <w:t xml:space="preserve"> a été construit depuis le 1er janvier 1949, en conséquence il n'entre pas dans le champ d'application des dispositions des articles L 1334-5 et suivants du Code de la santé publique relatifs à la lutte contre la présence de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Un état établi par ARLIANE LYON NORD - 203 montée de Choulans - 69005 LYON le 29 mars 2015,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Cet état ne révèle pas la présence d'amiante dans les matériaux et produits des listes A ou B</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spacing w:after="0" w:before="0"/>
        <w:ind w:firstLine="709"/>
        <w:jc w:val="both"/>
      </w:pPr>
      <w:r>
        <w:rPr>
          <w:rFonts w:ascii="Times New Roman" w:hAnsi="Times New Roman" w:cs="Times New Roman"/>
          <w:rFonts w:ascii="Times New Roman" w:hAnsi="Times New Roman"/>
          <w:b/>
          <w:i w:val="0"/>
          <w:sz w:val="22"/>
          <w:u w:val="none"/>
        </w:rPr>
        <w:t>Pour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Un diagnostic technique a été établi par AC ENVIRONNEMENT - 64 rue Clément Ader - 42153 RIORGES le 15 mars 2016.</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"Dans le cadre de la mission décrite en tête de rapport, il a été repéré des matériaux et produits contenant de l'amiante"</w:t>
      </w:r>
    </w:p>
    <w:p>
      <w:pPr>
        <w:spacing w:after="0" w:before="0"/>
        <w:ind w:firstLine="709"/>
        <w:jc w:val="both"/>
      </w:pPr>
      <w:r>
        <w:rPr>
          <w:rFonts w:ascii="Times New Roman" w:hAnsi="Times New Roman" w:cs="Times New Roman"/>
          <w:rFonts w:ascii="Times New Roman" w:hAnsi="Times New Roman"/>
          <w:b/>
          <w:i w:val="0"/>
          <w:sz w:val="22"/>
          <w:u w:val="none"/>
        </w:rPr>
        <w:t>Annexe n°9 : Diagnostic amiante parties communes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constaté l'existence de zones de condensation interne, de moisissures ou encore de présence d'effritements ou de déformation dans le bois ou l'existence de filaments blancs à l'aspect cotonneux.</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possède pas d'installation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ACHIN DIAG EXPERT - 147 Chemin de la crouze-Le Haut Marjon - 69510 Soucieu en Jarrest le 22 mai 2025,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"L'installation intérieure d'électricité comporte une ou des anomalies"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Un diagnostic établi par ACHIN DIAG EXPERT - 147 chemin de la Crouze- le haut Marjon - 69510 Soucieu en Jarrest le 23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174 kWhep/m².an (Classe 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25 kg éqCO2/m².an (Classe 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Numéro d'enregistrement ADEME : 2569E1706974R</w:t>
      </w:r>
    </w:p>
    <w:p>
      <w:pPr>
        <w:pStyle w:val="Heading3"/>
      </w:pPr>
      <w:r>
        <w:rPr>
          <w:rFonts w:ascii="Times New Roman" w:hAnsi="Times New Roman" w:cs="Times New Roman"/>
          <w:rFonts w:ascii="Times New Roman" w:hAnsi="Times New Roman"/>
          <w:b/>
          <w:i w:val="0"/>
          <w:sz w:val="22"/>
          <w:u w:val="none"/>
        </w:rPr>
        <w:t>Carnet d'information du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des articles L 126-35-2 à L 126-35-11 et R 126-32 à R 126-34 du Code de la construction et de l'habitation, le carnet d'information du logement a été établi et est communiqué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transmettre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une copie de ce carnet d'information au plus tard à la date de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Le nouveau propriétaire est informé qu'il devra mettre à jour ce carnet en cas d'extension du logement, de travaux d'amélioration ou de modification affectant les parties communes ou privatives.</w:t>
      </w:r>
    </w:p>
    <w:p>
      <w:pPr>
        <w:spacing w:after="0" w:before="0"/>
        <w:ind w:firstLine="709"/>
        <w:jc w:val="both"/>
      </w:pPr>
      <w:r>
        <w:rPr>
          <w:rFonts w:ascii="Times New Roman" w:hAnsi="Times New Roman" w:cs="Times New Roman"/>
          <w:rFonts w:ascii="Times New Roman" w:hAnsi="Times New Roman"/>
          <w:b/>
          <w:i w:val="0"/>
          <w:sz w:val="22"/>
          <w:u w:val="none"/>
        </w:rPr>
        <w:t>Annexe n°13 : 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se trouvant </w:t>
      </w:r>
      <w:r>
        <w:rPr>
          <w:rFonts w:ascii="Times New Roman" w:hAnsi="Times New Roman" w:cs="Times New Roman"/>
          <w:rFonts w:ascii="Times New Roman" w:hAnsi="Times New Roman"/>
          <w:b/>
          <w:i w:val="0"/>
          <w:sz w:val="22"/>
          <w:u w:val="none"/>
        </w:rPr>
        <w:t>en zone 1 (faible)</w:t>
      </w:r>
      <w:r>
        <w:rPr>
          <w:rFonts w:ascii="Times New Roman" w:hAnsi="Times New Roman" w:cs="Times New Roman"/>
          <w:rFonts w:ascii="Times New Roman" w:hAnsi="Times New Roman"/>
          <w:b w:val="0"/>
          <w:i w:val="0"/>
          <w:sz w:val="22"/>
          <w:u w:val="none"/>
        </w:rPr>
        <w:t>, l'obligation d'information n'est pas nécessaire, ainsi qu'il résulte de l'état des risques ci-annexé.</w:t>
      </w:r>
    </w:p>
    <w:p>
      <w:pPr>
        <w:pStyle w:val="Heading3"/>
      </w:pPr>
      <w:r>
        <w:rPr>
          <w:rFonts w:ascii="Times New Roman" w:hAnsi="Times New Roman" w:cs="Times New Roman"/>
          <w:rFonts w:ascii="Times New Roman" w:hAnsi="Times New Roman"/>
          <w:b/>
          <w:i w:val="0"/>
          <w:sz w:val="22"/>
          <w:u w:val="none"/>
        </w:rPr>
        <w:t>Assainissement</w:t>
      </w:r>
    </w:p>
    <w:p>
      <w:pPr>
        <w:spacing w:after="0" w:before="0"/>
        <w:ind w:firstLine="709"/>
        <w:jc w:val="both"/>
      </w:pPr>
      <w:r>
        <w:rPr>
          <w:rFonts w:ascii="Times New Roman" w:hAnsi="Times New Roman" w:cs="Times New Roman"/>
          <w:rFonts w:ascii="Times New Roman" w:hAnsi="Times New Roman"/>
          <w:b w:val="0"/>
          <w:i w:val="0"/>
          <w:sz w:val="22"/>
          <w:u w:val="none"/>
        </w:rPr>
        <w:t>En ce qui concerne l'installation de l'ensemble immobilier dont dépendent les biens objet des présentes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est raccordé à un réseau d'assainissement collectif.</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des articles L 1331-4 et L 1331-6 de ce Code, les parties sont informées des obligations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immeubles non raccordés au réseau public de collecte doivent être dotés d'une installation d'assainissement non collectif dont le propriétaire assure l'entretien régulier et qu'il fait périodiquement contrôler par un service public d'assainissement non collectif.</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vente d'un immeuble non raccordé, le propriétaire doit fournir l'attestation de contrôle de l'installation d'assainissement non collectif.</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en date du 22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i w:val="0"/>
          <w:sz w:val="22"/>
          <w:u w:val="none"/>
        </w:rPr>
        <w:t>Date d'établissement</w:t>
      </w:r>
      <w:r>
        <w:rPr>
          <w:rFonts w:ascii="Times New Roman" w:hAnsi="Times New Roman" w:cs="Times New Roman"/>
          <w:rFonts w:ascii="Times New Roman" w:hAnsi="Times New Roman"/>
          <w:b w:val="0"/>
          <w:i w:val="0"/>
          <w:sz w:val="22"/>
          <w:u w:val="none"/>
        </w:rPr>
        <w:t xml:space="preserve"> : 22 mai 2025</w:t>
      </w:r>
    </w:p>
    <w:p>
      <w:pPr>
        <w:spacing w:after="0" w:before="0"/>
        <w:ind w:firstLine="709"/>
        <w:jc w:val="both"/>
      </w:pPr>
      <w:r>
        <w:rPr>
          <w:rFonts w:ascii="Times New Roman" w:hAnsi="Times New Roman" w:cs="Times New Roman"/>
          <w:rFonts w:ascii="Times New Roman" w:hAnsi="Times New Roman"/>
          <w:b/>
          <w:i w:val="0"/>
          <w:sz w:val="22"/>
          <w:u w:val="none"/>
        </w:rPr>
        <w:t>Zone de sismicité</w:t>
      </w:r>
      <w:r>
        <w:rPr>
          <w:rFonts w:ascii="Times New Roman" w:hAnsi="Times New Roman" w:cs="Times New Roman"/>
          <w:rFonts w:ascii="Times New Roman" w:hAnsi="Times New Roman"/>
          <w:b w:val="0"/>
          <w:i w:val="0"/>
          <w:sz w:val="22"/>
          <w:u w:val="none"/>
        </w:rPr>
        <w:t xml:space="preserve"> : 2 (faible)</w:t>
      </w:r>
    </w:p>
    <w:p>
      <w:pPr>
        <w:spacing w:after="0" w:before="0"/>
        <w:ind w:firstLine="709"/>
        <w:jc w:val="both"/>
      </w:pPr>
      <w:r>
        <w:rPr>
          <w:rFonts w:ascii="Times New Roman" w:hAnsi="Times New Roman" w:cs="Times New Roman"/>
          <w:rFonts w:ascii="Times New Roman" w:hAnsi="Times New Roman"/>
          <w:b/>
          <w:i w:val="0"/>
          <w:sz w:val="22"/>
          <w:u w:val="none"/>
        </w:rPr>
        <w:t>Potentiel radon</w:t>
      </w:r>
      <w:r>
        <w:rPr>
          <w:rFonts w:ascii="Times New Roman" w:hAnsi="Times New Roman" w:cs="Times New Roman"/>
          <w:rFonts w:ascii="Times New Roman" w:hAnsi="Times New Roman"/>
          <w:b w:val="0"/>
          <w:i w:val="0"/>
          <w:sz w:val="22"/>
          <w:u w:val="none"/>
        </w:rPr>
        <w:t xml:space="preserve"> : Catégorie 1 (faible)</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le périmètre d'un Plan de Prévention des Risques.</w:t>
      </w:r>
    </w:p>
    <w:p>
      <w:pPr>
        <w:spacing w:after="0" w:before="0"/>
        <w:ind w:firstLine="709"/>
        <w:jc w:val="both"/>
      </w:pPr>
      <w:r>
        <w:rPr>
          <w:rFonts w:ascii="Times New Roman" w:hAnsi="Times New Roman" w:cs="Times New Roman"/>
          <w:rFonts w:ascii="Times New Roman" w:hAnsi="Times New Roman"/>
          <w:b/>
          <w:i w:val="0"/>
          <w:sz w:val="22"/>
          <w:u w:val="none"/>
        </w:rPr>
        <w:t>Retrait-gonflement des argiles</w:t>
      </w:r>
      <w:r>
        <w:rPr>
          <w:rFonts w:ascii="Times New Roman" w:hAnsi="Times New Roman" w:cs="Times New Roman"/>
          <w:rFonts w:ascii="Times New Roman" w:hAnsi="Times New Roman"/>
          <w:b w:val="0"/>
          <w:i w:val="0"/>
          <w:sz w:val="22"/>
          <w:u w:val="none"/>
        </w:rPr>
        <w:t xml:space="preserve"> : Aléa faible</w:t>
      </w:r>
    </w:p>
    <w:p>
      <w:pPr>
        <w:spacing w:after="0" w:before="0"/>
        <w:ind w:firstLine="709"/>
        <w:jc w:val="both"/>
      </w:pPr>
      <w:r>
        <w:rPr>
          <w:rFonts w:ascii="Times New Roman" w:hAnsi="Times New Roman" w:cs="Times New Roman"/>
          <w:rFonts w:ascii="Times New Roman" w:hAnsi="Times New Roman"/>
          <w:b w:val="0"/>
          <w:i w:val="0"/>
          <w:sz w:val="22"/>
          <w:u w:val="none"/>
        </w:rPr>
        <w:t>Cet état est valable six mois à compter de sa date d'établissement.</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AD9-775-875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Fiche synthétique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fiche synthétique </w:t>
      </w:r>
      <w:r>
        <w:rPr>
          <w:rFonts w:ascii="Times New Roman" w:hAnsi="Times New Roman" w:cs="Times New Roman"/>
          <w:rFonts w:ascii="Times New Roman" w:hAnsi="Times New Roman"/>
          <w:b/>
          <w:i w:val="0"/>
          <w:sz w:val="22"/>
          <w:u w:val="none"/>
        </w:rPr>
        <w:t>a été établie</w:t>
      </w:r>
      <w:r>
        <w:rPr>
          <w:rFonts w:ascii="Times New Roman" w:hAnsi="Times New Roman" w:cs="Times New Roman"/>
          <w:rFonts w:ascii="Times New Roman" w:hAnsi="Times New Roman"/>
          <w:b w:val="0"/>
          <w:i w:val="0"/>
          <w:sz w:val="22"/>
          <w:u w:val="none"/>
        </w:rPr>
        <w:t xml:space="preserve"> le 10 juin 2022 dont une copie est annexée.</w:t>
      </w:r>
    </w:p>
    <w:p>
      <w:pPr>
        <w:spacing w:after="0" w:before="0"/>
        <w:ind w:firstLine="709"/>
        <w:jc w:val="both"/>
      </w:pPr>
      <w:r>
        <w:rPr>
          <w:rFonts w:ascii="Times New Roman" w:hAnsi="Times New Roman" w:cs="Times New Roman"/>
          <w:rFonts w:ascii="Times New Roman" w:hAnsi="Times New Roman"/>
          <w:b/>
          <w:i w:val="0"/>
          <w:sz w:val="22"/>
          <w:u w:val="none"/>
        </w:rPr>
        <w:t>Annexe n°16 : Fiche synthétique</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SAINT-LOUIS – 264 Rue Garibaldi – 69003 LYON 3ÈME ARRONDISSEMENT</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6 février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L 31-10-3 du Code de la construction et de l'habitation,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s'appliquera pas à l'acte authentique de réitération des présentes.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Concernant les lots numéros 14,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dans les QUINZE (15)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DUBOIS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DUBOIS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gridCol w:w="142"/>
      </w:tblGrid>
      <w:tr>
        <w:tc>
          <w:tcPr>
            <w:tcW w:type="dxa" w:w="54"/>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84"/>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98"/>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294"/>
          </w:tcPr>
          <w:p>
            <w:pPr>
              <w:spacing w:after="0" w:before="0"/>
              <w:ind w:firstLine="0"/>
              <w:jc w:val="left"/>
            </w:pPr>
            <w:r>
              <w:rPr>
                <w:rFonts w:ascii="Times New Roman" w:hAnsi="Times New Roman" w:cs="Times New Roman"/>
                <w:rFonts w:ascii="Times New Roman" w:hAnsi="Times New Roman"/>
                <w:b/>
                <w:i w:val="0"/>
                <w:sz w:val="22"/>
                <w:u w:val="none"/>
              </w:rPr>
              <w:t>Observations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Classe D</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5</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État des risques et pollutions (ERP)</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Article L. 125-5 Code environnement</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6</w:t>
            </w:r>
          </w:p>
        </w:tc>
        <w:tc>
          <w:tcPr>
            <w:tcW w:type="dxa" w:w="410"/>
          </w:tcPr>
          <w:p>
            <w:pPr>
              <w:spacing w:after="0" w:before="0"/>
              <w:ind w:firstLine="0"/>
            </w:pPr>
            <w:r>
              <w:rPr>
                <w:rFonts w:ascii="Times New Roman" w:hAnsi="Times New Roman" w:cs="Times New Roman"/>
                <w:rFonts w:ascii="Times New Roman" w:hAnsi="Times New Roman"/>
                <w:b w:val="0"/>
                <w:i w:val="0"/>
                <w:sz w:val="22"/>
                <w:u w:val="none"/>
              </w:rPr>
              <w:t>Constat de risque d'exposition au plomb (CREP)</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259"/>
          </w:tcPr>
          <w:p>
            <w:pPr>
              <w:spacing w:after="0" w:before="0"/>
              <w:ind w:firstLine="0"/>
            </w:pPr>
            <w:r>
              <w:rPr>
                <w:rFonts w:ascii="Times New Roman" w:hAnsi="Times New Roman" w:cs="Times New Roman"/>
                <w:rFonts w:ascii="Times New Roman" w:hAnsi="Times New Roman"/>
                <w:b w:val="0"/>
                <w:i w:val="0"/>
                <w:sz w:val="22"/>
                <w:u w:val="none"/>
              </w:rPr>
              <w:t>Immeuble construit avant 1949</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7</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Diagnostic amiante parties privatives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Permis de construire avant 01/07/1997</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8</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Diagnostic amiante parties communes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34"/>
          </w:tcPr>
          <w:p>
            <w:pPr>
              <w:spacing w:after="0" w:before="0"/>
              <w:ind w:firstLine="0"/>
            </w:pPr>
            <w:r>
              <w:rPr>
                <w:rFonts w:ascii="Times New Roman" w:hAnsi="Times New Roman" w:cs="Times New Roman"/>
                <w:rFonts w:ascii="Times New Roman" w:hAnsi="Times New Roman"/>
                <w:b w:val="0"/>
                <w:i w:val="0"/>
                <w:sz w:val="22"/>
                <w:u w:val="none"/>
              </w:rPr>
              <w:t>DTA copropriété</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9</w:t>
            </w:r>
          </w:p>
        </w:tc>
        <w:tc>
          <w:tcPr>
            <w:tcW w:type="dxa" w:w="223"/>
          </w:tcPr>
          <w:p>
            <w:pPr>
              <w:spacing w:after="0" w:before="0"/>
              <w:ind w:firstLine="0"/>
            </w:pPr>
            <w:r>
              <w:rPr>
                <w:rFonts w:ascii="Times New Roman" w:hAnsi="Times New Roman" w:cs="Times New Roman"/>
                <w:rFonts w:ascii="Times New Roman" w:hAnsi="Times New Roman"/>
                <w:b w:val="0"/>
                <w:i w:val="0"/>
                <w:sz w:val="22"/>
                <w:u w:val="none"/>
              </w:rPr>
              <w:t>État relatif aux termites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61"/>
          </w:tcPr>
          <w:p>
            <w:pPr>
              <w:spacing w:after="0" w:before="0"/>
              <w:ind w:firstLine="0"/>
            </w:pPr>
            <w:r>
              <w:rPr>
                <w:rFonts w:ascii="Times New Roman" w:hAnsi="Times New Roman" w:cs="Times New Roman"/>
                <w:rFonts w:ascii="Times New Roman" w:hAnsi="Times New Roman"/>
                <w:b w:val="0"/>
                <w:i w:val="0"/>
                <w:sz w:val="22"/>
                <w:u w:val="none"/>
              </w:rPr>
              <w:t>Zone de protection</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10</w:t>
            </w:r>
          </w:p>
        </w:tc>
        <w:tc>
          <w:tcPr>
            <w:tcW w:type="dxa" w:w="357"/>
          </w:tcPr>
          <w:p>
            <w:pPr>
              <w:spacing w:after="0" w:before="0"/>
              <w:ind w:firstLine="0"/>
            </w:pPr>
            <w:r>
              <w:rPr>
                <w:rFonts w:ascii="Times New Roman" w:hAnsi="Times New Roman" w:cs="Times New Roman"/>
                <w:rFonts w:ascii="Times New Roman" w:hAnsi="Times New Roman"/>
                <w:b w:val="0"/>
                <w:i w:val="0"/>
                <w:sz w:val="22"/>
                <w:u w:val="none"/>
              </w:rPr>
              <w:t>État de l'installation intérieure de gaz</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87"/>
          </w:tcPr>
          <w:p>
            <w:pPr>
              <w:spacing w:after="0" w:before="0"/>
              <w:ind w:firstLine="0"/>
            </w:pPr>
            <w:r>
              <w:rPr>
                <w:rFonts w:ascii="Times New Roman" w:hAnsi="Times New Roman" w:cs="Times New Roman"/>
                <w:rFonts w:ascii="Times New Roman" w:hAnsi="Times New Roman"/>
                <w:b w:val="0"/>
                <w:i w:val="0"/>
                <w:sz w:val="22"/>
                <w:u w:val="none"/>
              </w:rPr>
              <w:t>Installation &gt; 15 ans</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11</w:t>
            </w:r>
          </w:p>
        </w:tc>
        <w:tc>
          <w:tcPr>
            <w:tcW w:type="dxa" w:w="419"/>
          </w:tcPr>
          <w:p>
            <w:pPr>
              <w:spacing w:after="0" w:before="0"/>
              <w:ind w:firstLine="0"/>
            </w:pPr>
            <w:r>
              <w:rPr>
                <w:rFonts w:ascii="Times New Roman" w:hAnsi="Times New Roman" w:cs="Times New Roman"/>
                <w:rFonts w:ascii="Times New Roman" w:hAnsi="Times New Roman"/>
                <w:b w:val="0"/>
                <w:i w:val="0"/>
                <w:sz w:val="22"/>
                <w:u w:val="none"/>
              </w:rPr>
              <w:t>État de l'installation intérieure d'électricité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187"/>
          </w:tcPr>
          <w:p>
            <w:pPr>
              <w:spacing w:after="0" w:before="0"/>
              <w:ind w:firstLine="0"/>
            </w:pPr>
            <w:r>
              <w:rPr>
                <w:rFonts w:ascii="Times New Roman" w:hAnsi="Times New Roman" w:cs="Times New Roman"/>
                <w:rFonts w:ascii="Times New Roman" w:hAnsi="Times New Roman"/>
                <w:b w:val="0"/>
                <w:i w:val="0"/>
                <w:sz w:val="22"/>
                <w:u w:val="none"/>
              </w:rPr>
              <w:t>Installation &gt; 15 ans</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12</w:t>
            </w:r>
          </w:p>
        </w:tc>
        <w:tc>
          <w:tcPr>
            <w:tcW w:type="dxa" w:w="223"/>
          </w:tcPr>
          <w:p>
            <w:pPr>
              <w:spacing w:after="0" w:before="0"/>
              <w:ind w:firstLine="0"/>
            </w:pPr>
            <w:r>
              <w:rPr>
                <w:rFonts w:ascii="Times New Roman" w:hAnsi="Times New Roman" w:cs="Times New Roman"/>
                <w:rFonts w:ascii="Times New Roman" w:hAnsi="Times New Roman"/>
                <w:b w:val="0"/>
                <w:i w:val="0"/>
                <w:sz w:val="22"/>
                <w:u w:val="none"/>
              </w:rPr>
              <w:t>Diagnostic assainissement</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250"/>
          </w:tcPr>
          <w:p>
            <w:pPr>
              <w:spacing w:after="0" w:before="0"/>
              <w:ind w:firstLine="0"/>
            </w:pPr>
            <w:r>
              <w:rPr>
                <w:rFonts w:ascii="Times New Roman" w:hAnsi="Times New Roman" w:cs="Times New Roman"/>
                <w:rFonts w:ascii="Times New Roman" w:hAnsi="Times New Roman"/>
                <w:b w:val="0"/>
                <w:i w:val="0"/>
                <w:sz w:val="22"/>
                <w:u w:val="none"/>
              </w:rPr>
              <w:t>Assainissement non collectif</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15</w:t>
            </w:r>
          </w:p>
        </w:tc>
        <w:tc>
          <w:tcPr>
            <w:tcW w:type="dxa" w:w="285"/>
          </w:tcPr>
          <w:p>
            <w:pPr>
              <w:spacing w:after="0" w:before="0"/>
              <w:ind w:firstLine="0"/>
            </w:pPr>
            <w:r>
              <w:rPr>
                <w:rFonts w:ascii="Times New Roman" w:hAnsi="Times New Roman" w:cs="Times New Roman"/>
                <w:rFonts w:ascii="Times New Roman" w:hAnsi="Times New Roman"/>
                <w:b w:val="0"/>
                <w:i w:val="0"/>
                <w:sz w:val="22"/>
                <w:u w:val="none"/>
              </w:rPr>
              <w:t>Carnet d'information du logement</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Non</w:t>
            </w:r>
          </w:p>
        </w:tc>
        <w:tc>
          <w:tcPr>
            <w:tcW w:type="dxa" w:w="152"/>
          </w:tcPr>
          <w:p>
            <w:pPr>
              <w:spacing w:after="0" w:before="0"/>
              <w:ind w:firstLine="0"/>
            </w:pPr>
            <w:r>
              <w:rPr>
                <w:rFonts w:ascii="Times New Roman" w:hAnsi="Times New Roman" w:cs="Times New Roman"/>
                <w:rFonts w:ascii="Times New Roman" w:hAnsi="Times New Roman"/>
                <w:b w:val="0"/>
                <w:i w:val="0"/>
                <w:sz w:val="22"/>
                <w:u w:val="none"/>
              </w:rPr>
              <w:t>Remis si existant</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16</w:t>
            </w:r>
          </w:p>
        </w:tc>
        <w:tc>
          <w:tcPr>
            <w:tcW w:type="dxa" w:w="143"/>
          </w:tcPr>
          <w:p>
            <w:pPr>
              <w:spacing w:after="0" w:before="0"/>
              <w:ind w:firstLine="0"/>
            </w:pPr>
            <w:r>
              <w:rPr>
                <w:rFonts w:ascii="Times New Roman" w:hAnsi="Times New Roman" w:cs="Times New Roman"/>
                <w:rFonts w:ascii="Times New Roman" w:hAnsi="Times New Roman"/>
                <w:b w:val="0"/>
                <w:i w:val="0"/>
                <w:sz w:val="22"/>
                <w:u w:val="none"/>
              </w:rPr>
              <w:t>Note d'urbanisme</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152"/>
          </w:tcPr>
          <w:p>
            <w:pPr>
              <w:spacing w:after="0" w:before="0"/>
              <w:ind w:firstLine="0"/>
            </w:pPr>
            <w:r>
              <w:rPr>
                <w:rFonts w:ascii="Times New Roman" w:hAnsi="Times New Roman" w:cs="Times New Roman"/>
                <w:rFonts w:ascii="Times New Roman" w:hAnsi="Times New Roman"/>
                <w:b w:val="0"/>
                <w:i w:val="0"/>
                <w:sz w:val="22"/>
                <w:u w:val="none"/>
              </w:rPr>
              <w:t>Situation du bien</w:t>
            </w: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18</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Certificat de non-péril</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État de l'immeuble</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19</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Règlement de copropriété et ses modificatifs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Applicable au bien</w:t>
            </w: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c>
          <w:tcPr>
            <w:tcW w:type="dxa" w:w="54"/>
          </w:tcPr>
          <w:p>
            <w:pPr>
              <w:spacing w:after="0" w:before="0"/>
              <w:ind w:firstLine="0"/>
            </w:pPr>
          </w:p>
        </w:tc>
        <w:tc>
          <w:tcPr>
            <w:tcW w:type="dxa" w:w="54"/>
          </w:tcPr>
          <w:p>
            <w:pPr>
              <w:spacing w:after="0" w:before="0"/>
              <w:ind w:firstLine="0"/>
            </w:pPr>
          </w:p>
        </w:tc>
        <w:tc>
          <w:tcPr>
            <w:tcW w:type="dxa" w:w="392"/>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0"/>
          </w:tcPr>
          <w:p>
            <w:pPr>
              <w:spacing w:after="0" w:before="0"/>
              <w:ind w:firstLine="0"/>
            </w:pPr>
          </w:p>
        </w:tc>
        <w:tc>
          <w:tcPr>
            <w:tcW w:type="dxa" w:w="54"/>
          </w:tcPr>
          <w:p>
            <w:pPr>
              <w:spacing w:after="0" w:before="0"/>
              <w:ind w:firstLine="0"/>
            </w:pPr>
          </w:p>
        </w:tc>
        <w:tc>
          <w:tcPr>
            <w:tcW w:type="dxa" w:w="259"/>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33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r>
        <w:tc>
          <w:tcPr>
            <w:tcW w:type="dxa" w:w="54"/>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84"/>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98"/>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94"/>
          </w:tcPr>
          <w:p>
            <w:pPr>
              <w:spacing w:after="0" w:before="0"/>
              <w:ind w:firstLine="0"/>
              <w:jc w:val="left"/>
            </w:pPr>
            <w:r>
              <w:rPr>
                <w:rFonts w:ascii="Times New Roman" w:hAnsi="Times New Roman" w:cs="Times New Roman"/>
                <w:rFonts w:ascii="Times New Roman" w:hAnsi="Times New Roman"/>
                <w:b w:val="0"/>
                <w:i w:val="0"/>
                <w:sz w:val="22"/>
                <w:u w:val="none"/>
              </w:rPr>
              <w:t>N° AD9-775-875</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23</w:t>
            </w:r>
          </w:p>
        </w:tc>
        <w:tc>
          <w:tcPr>
            <w:tcW w:type="dxa" w:w="392"/>
          </w:tcPr>
          <w:p>
            <w:pPr>
              <w:spacing w:after="0" w:before="0"/>
              <w:ind w:firstLine="0"/>
            </w:pPr>
            <w:r>
              <w:rPr>
                <w:rFonts w:ascii="Times New Roman" w:hAnsi="Times New Roman" w:cs="Times New Roman"/>
                <w:rFonts w:ascii="Times New Roman" w:hAnsi="Times New Roman"/>
                <w:b w:val="0"/>
                <w:i w:val="0"/>
                <w:sz w:val="22"/>
                <w:u w:val="none"/>
              </w:rPr>
              <w:t>Fiche synthétique de la copropriété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12"/>
          </w:tcPr>
          <w:p>
            <w:pPr>
              <w:spacing w:after="0" w:before="0"/>
              <w:ind w:firstLine="0"/>
            </w:pPr>
            <w:r>
              <w:rPr>
                <w:rFonts w:ascii="Times New Roman" w:hAnsi="Times New Roman" w:cs="Times New Roman"/>
                <w:rFonts w:ascii="Times New Roman" w:hAnsi="Times New Roman"/>
                <w:b w:val="0"/>
                <w:i w:val="0"/>
                <w:sz w:val="22"/>
                <w:u w:val="none"/>
              </w:rPr>
              <w:t>Article L. 711-2 CCH</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24</w:t>
            </w:r>
          </w:p>
        </w:tc>
        <w:tc>
          <w:tcPr>
            <w:tcW w:type="dxa" w:w="410"/>
          </w:tcPr>
          <w:p>
            <w:pPr>
              <w:spacing w:after="0" w:before="0"/>
              <w:ind w:firstLine="0"/>
            </w:pPr>
            <w:r>
              <w:rPr>
                <w:rFonts w:ascii="Times New Roman" w:hAnsi="Times New Roman" w:cs="Times New Roman"/>
                <w:rFonts w:ascii="Times New Roman" w:hAnsi="Times New Roman"/>
                <w:b w:val="0"/>
                <w:i w:val="0"/>
                <w:sz w:val="22"/>
                <w:u w:val="none"/>
              </w:rPr>
              <w:t>Procès-verbaux des AG (3 dernières années)</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259"/>
          </w:tcPr>
          <w:p>
            <w:pPr>
              <w:spacing w:after="0" w:before="0"/>
              <w:ind w:firstLine="0"/>
            </w:pPr>
            <w:r>
              <w:rPr>
                <w:rFonts w:ascii="Times New Roman" w:hAnsi="Times New Roman" w:cs="Times New Roman"/>
                <w:rFonts w:ascii="Times New Roman" w:hAnsi="Times New Roman"/>
                <w:b w:val="0"/>
                <w:i w:val="0"/>
                <w:sz w:val="22"/>
                <w:u w:val="none"/>
              </w:rPr>
              <w:t>Information acquéreur</w:t>
            </w:r>
          </w:p>
        </w:tc>
        <w:tc>
          <w:tcPr>
            <w:tcW w:type="dxa" w:w="54"/>
          </w:tcPr>
          <w:p>
            <w:pPr>
              <w:spacing w:after="0" w:before="0"/>
              <w:ind w:firstLine="0"/>
            </w:pPr>
          </w:p>
        </w:tc>
        <w:tc>
          <w:tcPr>
            <w:tcW w:type="dxa" w:w="54"/>
          </w:tcPr>
          <w:p>
            <w:pPr>
              <w:spacing w:after="0" w:before="0"/>
              <w:ind w:firstLine="0"/>
            </w:pPr>
            <w:r>
              <w:rPr>
                <w:rFonts w:ascii="Times New Roman" w:hAnsi="Times New Roman" w:cs="Times New Roman"/>
                <w:rFonts w:ascii="Times New Roman" w:hAnsi="Times New Roman"/>
                <w:b w:val="0"/>
                <w:i w:val="0"/>
                <w:sz w:val="22"/>
                <w:u w:val="none"/>
              </w:rPr>
              <w:t>25</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Pré état-daté</w:t>
            </w:r>
          </w:p>
        </w:tc>
        <w:tc>
          <w:tcPr>
            <w:tcW w:type="dxa" w:w="54"/>
          </w:tcPr>
          <w:p>
            <w:pPr>
              <w:spacing w:after="0" w:before="0"/>
              <w:ind w:firstLine="0"/>
            </w:pPr>
            <w:r>
              <w:rPr>
                <w:rFonts w:ascii="Times New Roman" w:hAnsi="Times New Roman" w:cs="Times New Roman"/>
                <w:rFonts w:ascii="Times New Roman" w:hAnsi="Times New Roman"/>
                <w:b w:val="0"/>
                <w:i w:val="0"/>
                <w:sz w:val="22"/>
                <w:u w:val="none"/>
              </w:rPr>
              <w:t>Oui</w:t>
            </w:r>
          </w:p>
        </w:tc>
        <w:tc>
          <w:tcPr>
            <w:tcW w:type="dxa" w:w="330"/>
          </w:tcPr>
          <w:p>
            <w:pPr>
              <w:spacing w:after="0" w:before="0"/>
              <w:ind w:firstLine="0"/>
            </w:pPr>
            <w:r>
              <w:rPr>
                <w:rFonts w:ascii="Times New Roman" w:hAnsi="Times New Roman" w:cs="Times New Roman"/>
                <w:rFonts w:ascii="Times New Roman" w:hAnsi="Times New Roman"/>
                <w:b w:val="0"/>
                <w:i w:val="0"/>
                <w:sz w:val="22"/>
                <w:u w:val="none"/>
              </w:rPr>
              <w:t>Article 10-1 loi du 10 juillet 1965</w:t>
            </w:r>
          </w:p>
        </w:tc>
        <w:tc>
          <w:tcPr>
            <w:tcW w:type="dxa" w:w="54"/>
          </w:tcPr>
          <w:p>
            <w:pPr>
              <w:spacing w:after="0" w:before="0"/>
              <w:ind w:firstLine="0"/>
            </w:pPr>
          </w:p>
        </w:tc>
        <w:tc>
          <w:tcPr>
            <w:tcW w:type="dxa" w:w="54"/>
          </w:tcPr>
          <w:p>
            <w:pPr>
              <w:spacing w:after="0" w:before="0"/>
              <w:ind w:firstLine="0"/>
            </w:pPr>
          </w:p>
        </w:tc>
        <w:tc>
          <w:tcPr>
            <w:tcW w:type="dxa" w:w="312"/>
          </w:tcPr>
          <w:p>
            <w:pPr>
              <w:spacing w:after="0" w:before="0"/>
              <w:ind w:firstLine="0"/>
            </w:pPr>
          </w:p>
        </w:tc>
        <w:tc>
          <w:tcPr>
            <w:tcW w:type="dxa" w:w="54"/>
          </w:tcPr>
          <w:p>
            <w:pPr>
              <w:spacing w:after="0" w:before="0"/>
              <w:ind w:firstLine="0"/>
            </w:pPr>
          </w:p>
        </w:tc>
        <w:tc>
          <w:tcPr>
            <w:tcW w:type="dxa" w:w="134"/>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161"/>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357"/>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419"/>
          </w:tcPr>
          <w:p>
            <w:pPr>
              <w:spacing w:after="0" w:before="0"/>
              <w:ind w:firstLine="0"/>
            </w:pPr>
          </w:p>
        </w:tc>
        <w:tc>
          <w:tcPr>
            <w:tcW w:type="dxa" w:w="54"/>
          </w:tcPr>
          <w:p>
            <w:pPr>
              <w:spacing w:after="0" w:before="0"/>
              <w:ind w:firstLine="0"/>
            </w:pPr>
          </w:p>
        </w:tc>
        <w:tc>
          <w:tcPr>
            <w:tcW w:type="dxa" w:w="187"/>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23"/>
          </w:tcPr>
          <w:p>
            <w:pPr>
              <w:spacing w:after="0" w:before="0"/>
              <w:ind w:firstLine="0"/>
            </w:pPr>
          </w:p>
        </w:tc>
        <w:tc>
          <w:tcPr>
            <w:tcW w:type="dxa" w:w="54"/>
          </w:tcPr>
          <w:p>
            <w:pPr>
              <w:spacing w:after="0" w:before="0"/>
              <w:ind w:firstLine="0"/>
            </w:pPr>
          </w:p>
        </w:tc>
        <w:tc>
          <w:tcPr>
            <w:tcW w:type="dxa" w:w="250"/>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285"/>
          </w:tcPr>
          <w:p>
            <w:pPr>
              <w:spacing w:after="0" w:before="0"/>
              <w:ind w:firstLine="0"/>
            </w:pPr>
          </w:p>
        </w:tc>
        <w:tc>
          <w:tcPr>
            <w:tcW w:type="dxa" w:w="54"/>
          </w:tcPr>
          <w:p>
            <w:pPr>
              <w:spacing w:after="0" w:before="0"/>
              <w:ind w:firstLine="0"/>
            </w:pPr>
          </w:p>
        </w:tc>
        <w:tc>
          <w:tcPr>
            <w:tcW w:type="dxa" w:w="152"/>
          </w:tcPr>
          <w:p>
            <w:pPr>
              <w:spacing w:after="0" w:before="0"/>
              <w:ind w:firstLine="0"/>
            </w:pPr>
          </w:p>
        </w:tc>
        <w:tc>
          <w:tcPr>
            <w:tcW w:type="dxa" w:w="54"/>
          </w:tcPr>
          <w:p>
            <w:pPr>
              <w:spacing w:after="0" w:before="0"/>
              <w:ind w:firstLine="0"/>
            </w:pPr>
          </w:p>
        </w:tc>
        <w:tc>
          <w:tcPr>
            <w:tcW w:type="dxa" w:w="54"/>
          </w:tcPr>
          <w:p>
            <w:pPr>
              <w:spacing w:after="0" w:before="0"/>
              <w:ind w:firstLine="0"/>
            </w:pPr>
          </w:p>
        </w:tc>
        <w:tc>
          <w:tcPr>
            <w:tcW w:type="dxa" w:w="143"/>
          </w:tcPr>
          <w:p>
            <w:pPr>
              <w:spacing w:after="0" w:before="0"/>
              <w:ind w:firstLine="0"/>
            </w:pPr>
          </w:p>
        </w:tc>
        <w:tc>
          <w:tcPr>
            <w:tcW w:type="dxa" w:w="54"/>
          </w:tcPr>
          <w:p>
            <w:pPr>
              <w:spacing w:after="0" w:before="0"/>
              <w:ind w:firstLine="0"/>
            </w:pPr>
          </w:p>
        </w:tc>
        <w:tc>
          <w:tcPr>
            <w:tcW w:type="dxa" w:w="152"/>
          </w:tcPr>
          <w:p>
            <w:pPr>
              <w:spacing w:after="0" w:before="0"/>
              <w:ind w:firstLine="0"/>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